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1DA" w:rsidP="004851DA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Mandátový a imunitný výbor  </w:t>
      </w:r>
    </w:p>
    <w:p w:rsidR="004851DA" w:rsidP="004851DA">
      <w:pPr>
        <w:widowControl w:val="0"/>
        <w:bidi w:val="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ind w:left="5664"/>
        <w:jc w:val="both"/>
        <w:rPr>
          <w:rFonts w:ascii="Times New Roman" w:eastAsia="Times New Roman" w:hAnsi="Times New Roman"/>
        </w:rPr>
      </w:pPr>
    </w:p>
    <w:p w:rsidR="004851DA" w:rsidP="004851DA">
      <w:pPr>
        <w:widowControl w:val="0"/>
        <w:bidi w:val="0"/>
        <w:ind w:left="5672"/>
        <w:jc w:val="left"/>
        <w:rPr>
          <w:rFonts w:ascii="Times New Roman" w:eastAsia="Times New Roman" w:hAnsi="Times New Roman"/>
        </w:rPr>
      </w:pPr>
      <w:r w:rsidR="00844D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B6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4851DA" w:rsidP="00804369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</w:t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KNR-MIV-</w:t>
      </w:r>
      <w:r w:rsidR="00AE0A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4891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AE0A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075EB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806D8" w:rsidRPr="00844DDD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B1AF1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15</w:t>
      </w:r>
    </w:p>
    <w:p w:rsidR="004851DA" w:rsidP="004851DA">
      <w:pPr>
        <w:pStyle w:val="Heading2"/>
        <w:keepNext w:val="0"/>
        <w:widowControl w:val="0"/>
        <w:bidi w:val="0"/>
        <w:jc w:val="center"/>
        <w:rPr>
          <w:rFonts w:ascii="Times New Roman" w:eastAsia="Times New Roman" w:hAnsi="Times New Roman"/>
          <w:szCs w:val="28"/>
        </w:rPr>
      </w:pPr>
      <w:r w:rsidR="0080436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z n e s e n i e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Mandátového a imunitného výboru 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</w:rPr>
      </w:pPr>
      <w:r w:rsidR="005E73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4851DA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075EB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27248" w:rsidP="00706A9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16E47" w:rsidR="00047E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 žiadosti o preskúmanie podnetu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</w:t>
      </w:r>
      <w:r w:rsidR="00FF4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slanca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Národnej rady Slovenskej republiky </w:t>
      </w:r>
      <w:r w:rsidR="00FF4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Gábora Grendela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 ktorý predniesol na rokovaní 19. schôdze Národnej rady Slovenskej republiky 2</w:t>
      </w:r>
      <w:r w:rsidR="00FF4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5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 septembra 2024.</w:t>
      </w:r>
    </w:p>
    <w:p w:rsidR="00844DDD" w:rsidRPr="00916E47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070DC3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78183A" w:rsidRPr="00AE3B4C" w:rsidP="00844DDD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844DDD" w:rsidRPr="00122D93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C806D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Mandátový </w:t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 imunitný výbor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Národnej rady Slovenskej republiky 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844DDD" w:rsidP="009C5C8A">
      <w:pPr>
        <w:pStyle w:val="Title"/>
        <w:numPr>
          <w:numId w:val="15"/>
        </w:numPr>
        <w:tabs>
          <w:tab w:val="left" w:pos="940"/>
        </w:tabs>
        <w:bidi w:val="0"/>
        <w:ind w:left="851" w:hanging="851"/>
        <w:jc w:val="left"/>
        <w:rPr>
          <w:rFonts w:ascii="Times New Roman" w:eastAsia="Times New Roman" w:hAnsi="Times New Roman"/>
          <w:bCs/>
          <w:szCs w:val="28"/>
        </w:rPr>
      </w:pPr>
      <w:r w:rsidR="009C5C8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b e r i e   n a   v e</w:t>
      </w:r>
      <w:r w:rsidR="00EF15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9C5C8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d o m i e, </w:t>
      </w:r>
    </w:p>
    <w:p w:rsidR="009C5C8A" w:rsidP="009C5C8A">
      <w:pPr>
        <w:bidi w:val="0"/>
        <w:jc w:val="both"/>
        <w:rPr>
          <w:rFonts w:ascii="Times New Roman" w:eastAsia="Times New Roman" w:hAnsi="Times New Roman"/>
        </w:rPr>
      </w:pPr>
    </w:p>
    <w:p w:rsidR="005508AA" w:rsidP="009C5C8A">
      <w:pPr>
        <w:bidi w:val="0"/>
        <w:ind w:firstLine="106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že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dňa 30. septembra 2024 bola Mandátovému a imunitnému  výboru  Národnej rady Slovenskej republiky doručená  žiadosť </w:t>
      </w:r>
      <w:r w:rsidR="00153D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preskúmanie podnetu po</w:t>
      </w:r>
      <w:r w:rsidR="00FF4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slanca</w:t>
      </w:r>
      <w:r w:rsidR="00153D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="00FF4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Gábora Grendela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ktorý predniesol na  rokovaní 19.  schôdze Národnej rady Slovenskej republiky dňa 25. septembra 2024.</w:t>
      </w:r>
    </w:p>
    <w:p w:rsidR="005508AA" w:rsidP="005508AA">
      <w:pPr>
        <w:bidi w:val="0"/>
        <w:jc w:val="both"/>
        <w:rPr>
          <w:rFonts w:ascii="Times New Roman" w:eastAsia="Times New Roman" w:hAnsi="Times New Roman"/>
        </w:rPr>
      </w:pPr>
    </w:p>
    <w:p w:rsidR="009C5C8A" w:rsidP="009C5C8A">
      <w:pPr>
        <w:bidi w:val="0"/>
        <w:jc w:val="both"/>
        <w:rPr>
          <w:rFonts w:ascii="Times New Roman" w:eastAsia="Times New Roman" w:hAnsi="Times New Roman"/>
        </w:rPr>
      </w:pPr>
    </w:p>
    <w:p w:rsidR="009C5C8A" w:rsidP="009C5C8A">
      <w:pPr>
        <w:pStyle w:val="Title"/>
        <w:numPr>
          <w:numId w:val="15"/>
        </w:numPr>
        <w:tabs>
          <w:tab w:val="left" w:pos="940"/>
        </w:tabs>
        <w:bidi w:val="0"/>
        <w:ind w:left="851" w:hanging="851"/>
        <w:jc w:val="lef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k o n š t a t u j e, </w:t>
      </w:r>
    </w:p>
    <w:p w:rsidR="009C5C8A" w:rsidP="009C5C8A">
      <w:pPr>
        <w:bidi w:val="0"/>
        <w:spacing w:after="160" w:line="256" w:lineRule="auto"/>
        <w:jc w:val="both"/>
        <w:rPr>
          <w:rFonts w:ascii="Times New Roman" w:eastAsia="Times New Roman" w:hAnsi="Times New Roman"/>
        </w:rPr>
      </w:pPr>
    </w:p>
    <w:p w:rsidR="003A5C38" w:rsidP="009C5C8A">
      <w:pPr>
        <w:bidi w:val="0"/>
        <w:spacing w:after="160" w:line="256" w:lineRule="auto"/>
        <w:ind w:firstLine="99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že súčasná právna úprava disciplinárneho konania a oprávnenie Mandátového a imunitného výboru Národnej rady Slovenskej republiky neumožňujú postupovať podľa § 135 zákona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350/1996 Z. z. o rokovacom poriadku Národnej rady Slovenskej republiky v znení neskorších prepisov vzhľadom na to, že Rudolf Huliak si od 5. marca 2025 neuplatňuje mandát poslanca Národnej rady Slovenskej republiky;</w:t>
      </w:r>
    </w:p>
    <w:p w:rsidR="00EF15F8" w:rsidP="00F60983">
      <w:pPr>
        <w:bidi w:val="0"/>
        <w:ind w:left="945"/>
        <w:jc w:val="both"/>
        <w:rPr>
          <w:rFonts w:ascii="Times New Roman" w:eastAsia="Times New Roman" w:hAnsi="Times New Roman"/>
        </w:rPr>
      </w:pPr>
    </w:p>
    <w:p w:rsidR="005F4DA2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E51CDB" w:rsidP="003663E2">
      <w:pPr>
        <w:bidi w:val="0"/>
        <w:spacing w:after="160" w:line="256" w:lineRule="auto"/>
        <w:jc w:val="both"/>
        <w:rPr>
          <w:rFonts w:ascii="Times New Roman" w:eastAsia="Times New Roman" w:hAnsi="Times New Roman"/>
        </w:rPr>
      </w:pPr>
    </w:p>
    <w:p w:rsidR="00E51CDB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5F4DA2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C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  <w:tab/>
        <w:t>ž i a</w:t>
      </w:r>
      <w:r w:rsidR="000B1AF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d</w:t>
      </w:r>
      <w:r w:rsidR="000B1AF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a </w:t>
      </w:r>
    </w:p>
    <w:p w:rsidR="005F4DA2" w:rsidRPr="00E51CDB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ab/>
      </w:r>
      <w:r w:rsidRPr="00E51C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predsedu výboru </w:t>
      </w:r>
    </w:p>
    <w:p w:rsidR="005F4DA2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  <w:lang w:eastAsia="en-US"/>
        </w:rPr>
      </w:pPr>
    </w:p>
    <w:p w:rsidR="00EF15F8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informovať </w:t>
      </w:r>
      <w:r w:rsidR="00FC73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</w:t>
      </w:r>
      <w:r w:rsidR="003A5C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slanca</w:t>
      </w:r>
      <w:r w:rsidR="00FC73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Národnej rady Slovenskej republiky </w:t>
      </w:r>
      <w:r w:rsidR="003A5C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Gábora Grendela</w:t>
      </w:r>
      <w:r w:rsidR="00FC73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 prijatom uznesení výboru. </w:t>
      </w:r>
    </w:p>
    <w:p w:rsidR="00A50CF7" w:rsidRPr="009A3CD4" w:rsidP="009A3CD4">
      <w:pPr>
        <w:pStyle w:val="ListParagraph"/>
        <w:bidi w:val="0"/>
        <w:spacing w:line="240" w:lineRule="auto"/>
        <w:ind w:left="0" w:firstLine="708"/>
        <w:jc w:val="both"/>
        <w:rPr>
          <w:rFonts w:eastAsia="Times New Roman"/>
          <w:b/>
          <w:sz w:val="24"/>
          <w:szCs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50CF7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851DA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2C3E8F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  S a l o ň</w:t>
        <w:tab/>
        <w:t xml:space="preserve"> 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 xml:space="preserve">      </w:t>
        <w:tab/>
        <w:t xml:space="preserve">  </w:t>
        <w:tab/>
        <w:t xml:space="preserve">                     </w:t>
        <w:tab/>
        <w:tab/>
        <w:tab/>
        <w:tab/>
        <w:t xml:space="preserve">             </w:t>
      </w:r>
      <w:r w:rsidR="00924417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851DA" w:rsidRPr="003F04AD" w:rsidP="008B5C3B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  <w:i w:val="0"/>
          <w:sz w:val="24"/>
        </w:rPr>
      </w:pPr>
      <w:r w:rsidR="00136425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sk-SK" w:eastAsia="sk-SK" w:bidi="ar-SA"/>
        </w:rPr>
        <w:t>Peter Kalivoda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6D70"/>
    <w:multiLevelType w:val="hybridMultilevel"/>
    <w:tmpl w:val="BE320FB2"/>
    <w:lvl w:ilvl="0">
      <w:start w:val="1"/>
      <w:numFmt w:val="decimal"/>
      <w:lvlText w:val="%1."/>
      <w:lvlJc w:val="left"/>
      <w:pPr>
        <w:ind w:left="130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2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4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6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8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0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2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4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65" w:hanging="180"/>
      </w:pPr>
      <w:rPr>
        <w:rFonts w:cs="Times New Roman" w:hint="cs"/>
        <w:rtl w:val="0"/>
        <w:cs w:val="0"/>
      </w:rPr>
    </w:lvl>
  </w:abstractNum>
  <w:abstractNum w:abstractNumId="1">
    <w:nsid w:val="17D50B58"/>
    <w:multiLevelType w:val="hybridMultilevel"/>
    <w:tmpl w:val="301E4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7CB5469"/>
    <w:multiLevelType w:val="hybridMultilevel"/>
    <w:tmpl w:val="1BE8E7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F9623D8"/>
    <w:multiLevelType w:val="hybridMultilevel"/>
    <w:tmpl w:val="328452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40106161"/>
    <w:multiLevelType w:val="hybridMultilevel"/>
    <w:tmpl w:val="D3D2A6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5">
    <w:nsid w:val="41D707BB"/>
    <w:multiLevelType w:val="hybridMultilevel"/>
    <w:tmpl w:val="170A589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6">
    <w:nsid w:val="4CA10351"/>
    <w:multiLevelType w:val="hybridMultilevel"/>
    <w:tmpl w:val="A4FE47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7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B0D597A"/>
    <w:multiLevelType w:val="hybridMultilevel"/>
    <w:tmpl w:val="D0E46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5D2341D1"/>
    <w:multiLevelType w:val="hybridMultilevel"/>
    <w:tmpl w:val="666E0C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0">
    <w:nsid w:val="5E9E10CD"/>
    <w:multiLevelType w:val="hybridMultilevel"/>
    <w:tmpl w:val="3B3AAC52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>
    <w:nsid w:val="5F0D33D1"/>
    <w:multiLevelType w:val="hybridMultilevel"/>
    <w:tmpl w:val="CC9273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2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 w:hint="cs"/>
        <w:rtl w:val="0"/>
        <w:cs w:val="0"/>
      </w:rPr>
    </w:lvl>
  </w:abstractNum>
  <w:abstractNum w:abstractNumId="13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abstractNum w:abstractNumId="14">
    <w:nsid w:val="7C1C101F"/>
    <w:multiLevelType w:val="hybridMultilevel"/>
    <w:tmpl w:val="DEE47EAE"/>
    <w:lvl w:ilvl="0">
      <w:start w:val="1"/>
      <w:numFmt w:val="upperLetter"/>
      <w:lvlText w:val="%1."/>
      <w:lvlJc w:val="left"/>
      <w:pPr>
        <w:ind w:left="1305" w:hanging="945"/>
      </w:pPr>
      <w:rPr>
        <w:rFonts w:cs="Times New Roman" w:hint="cs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libri Light" w:eastAsia="Times New Roman" w:hAnsi="Calibri Light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851DA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851DA"/>
    <w:rPr>
      <w:rFonts w:cs="Times New Roman" w:hint="cs"/>
      <w:b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851D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unhideWhenUsed/>
    <w:rsid w:val="00DF76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F7655"/>
    <w:rPr>
      <w:rFonts w:cs="Times New Roman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C3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C3E8F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231</Words>
  <Characters>1319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7</cp:revision>
  <cp:lastPrinted>2025-06-18T14:28:00Z</cp:lastPrinted>
  <dcterms:created xsi:type="dcterms:W3CDTF">2025-06-16T14:26:00Z</dcterms:created>
  <dcterms:modified xsi:type="dcterms:W3CDTF">2025-06-18T14:28:00Z</dcterms:modified>
</cp:coreProperties>
</file>