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737AAE">
        <w:rPr>
          <w:rFonts w:ascii="AT*Toronto" w:hAnsi="AT*Toronto"/>
        </w:rPr>
        <w:t>14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3E2CED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788</w:t>
      </w:r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E2CED">
        <w:rPr>
          <w:rFonts w:ascii="AT*Toronto" w:hAnsi="AT*Toronto"/>
        </w:rPr>
        <w:t xml:space="preserve"> 18</w:t>
      </w:r>
      <w:bookmarkStart w:id="0" w:name="_GoBack"/>
      <w:bookmarkEnd w:id="0"/>
      <w:r w:rsidR="00A2503C">
        <w:rPr>
          <w:rFonts w:ascii="AT*Toronto" w:hAnsi="AT*Toronto"/>
        </w:rPr>
        <w:t xml:space="preserve">. </w:t>
      </w:r>
      <w:r w:rsidR="00737AAE">
        <w:rPr>
          <w:rFonts w:ascii="AT*Toronto" w:hAnsi="AT*Toronto"/>
        </w:rPr>
        <w:t xml:space="preserve">mája </w:t>
      </w:r>
      <w:r w:rsidR="008100B6">
        <w:rPr>
          <w:rFonts w:ascii="AT*Toronto" w:hAnsi="AT*Toronto"/>
        </w:rPr>
        <w:t>20</w:t>
      </w:r>
      <w:r w:rsidR="00737AAE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0879B9" w:rsidRPr="00447232" w:rsidRDefault="00A958D2" w:rsidP="000879B9">
      <w:pPr>
        <w:ind w:firstLine="540"/>
        <w:jc w:val="both"/>
      </w:pPr>
      <w:r>
        <w:t xml:space="preserve">v konaní vo veci ochrany verejného záujmu a zamedzenia rozporu záujmov </w:t>
      </w:r>
      <w:r>
        <w:br/>
        <w:t xml:space="preserve">č. </w:t>
      </w:r>
      <w:r w:rsidR="00A2503C">
        <w:t>V</w:t>
      </w:r>
      <w:r>
        <w:t>P/</w:t>
      </w:r>
      <w:r w:rsidR="003E2CED">
        <w:t>427/20/K</w:t>
      </w:r>
      <w:r>
        <w:t xml:space="preserve"> voči verejn</w:t>
      </w:r>
      <w:r w:rsidR="003E2CED">
        <w:t>ej funkcionárke Daniele Švecovej, bývalej predsedníčke Najvyššieho súdu Slovenskej republiky.</w:t>
      </w:r>
    </w:p>
    <w:p w:rsidR="00A2503C" w:rsidRDefault="00A958D2" w:rsidP="00476E17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3E2CED" w:rsidRPr="003E2CED" w:rsidRDefault="00A958D2" w:rsidP="00A2503C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 w:rsidR="00A2503C">
        <w:rPr>
          <w:rFonts w:ascii="Times New Roman" w:hAnsi="Times New Roman"/>
          <w:b w:val="0"/>
          <w:szCs w:val="24"/>
        </w:rPr>
        <w:t xml:space="preserve">uznesením č. </w:t>
      </w:r>
      <w:r w:rsidR="003E2CED">
        <w:rPr>
          <w:rFonts w:ascii="Times New Roman" w:hAnsi="Times New Roman"/>
          <w:b w:val="0"/>
          <w:szCs w:val="24"/>
        </w:rPr>
        <w:t xml:space="preserve">543 </w:t>
      </w:r>
      <w:r w:rsidR="00A2503C">
        <w:rPr>
          <w:rFonts w:ascii="Times New Roman" w:hAnsi="Times New Roman"/>
          <w:b w:val="0"/>
          <w:szCs w:val="24"/>
        </w:rPr>
        <w:t xml:space="preserve">zo dňa </w:t>
      </w:r>
      <w:r w:rsidR="003E2CED">
        <w:rPr>
          <w:rFonts w:ascii="Times New Roman" w:hAnsi="Times New Roman"/>
          <w:b w:val="0"/>
          <w:szCs w:val="24"/>
        </w:rPr>
        <w:t>1. decembra 2020 z</w:t>
      </w:r>
      <w:r w:rsidR="00A2503C">
        <w:rPr>
          <w:rFonts w:ascii="Times New Roman" w:hAnsi="Times New Roman"/>
          <w:b w:val="0"/>
          <w:szCs w:val="24"/>
        </w:rPr>
        <w:t xml:space="preserve">a porušenie čl. </w:t>
      </w:r>
      <w:r w:rsidR="003E2CED">
        <w:rPr>
          <w:rFonts w:ascii="Times New Roman" w:hAnsi="Times New Roman"/>
          <w:b w:val="0"/>
          <w:szCs w:val="24"/>
        </w:rPr>
        <w:t>8</w:t>
      </w:r>
      <w:r w:rsidR="00A2503C">
        <w:rPr>
          <w:rFonts w:ascii="Times New Roman" w:hAnsi="Times New Roman"/>
          <w:b w:val="0"/>
          <w:szCs w:val="24"/>
        </w:rPr>
        <w:t xml:space="preserve"> ods. </w:t>
      </w:r>
      <w:r w:rsidR="003E2CED">
        <w:rPr>
          <w:rFonts w:ascii="Times New Roman" w:hAnsi="Times New Roman"/>
          <w:b w:val="0"/>
          <w:szCs w:val="24"/>
        </w:rPr>
        <w:t>5</w:t>
      </w:r>
      <w:r w:rsidR="00A2503C">
        <w:rPr>
          <w:rFonts w:ascii="Times New Roman" w:hAnsi="Times New Roman"/>
          <w:b w:val="0"/>
          <w:szCs w:val="24"/>
        </w:rPr>
        <w:t xml:space="preserve"> ústavného zákona č. 357/2004 </w:t>
      </w:r>
      <w:r w:rsidR="008100B6">
        <w:rPr>
          <w:rFonts w:ascii="Times New Roman" w:hAnsi="Times New Roman"/>
          <w:b w:val="0"/>
          <w:szCs w:val="24"/>
        </w:rPr>
        <w:br/>
      </w:r>
      <w:r w:rsidR="00A2503C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</w:t>
      </w:r>
      <w:r w:rsidR="008100B6">
        <w:rPr>
          <w:rFonts w:ascii="Times New Roman" w:hAnsi="Times New Roman"/>
          <w:b w:val="0"/>
          <w:szCs w:val="24"/>
        </w:rPr>
        <w:t xml:space="preserve">neskorších predpisov </w:t>
      </w:r>
      <w:r w:rsidR="008100B6" w:rsidRPr="008100B6">
        <w:rPr>
          <w:b w:val="0"/>
        </w:rPr>
        <w:t>voči verejn</w:t>
      </w:r>
      <w:r w:rsidR="003E2CED">
        <w:rPr>
          <w:b w:val="0"/>
        </w:rPr>
        <w:t xml:space="preserve">ej funkcionárke </w:t>
      </w:r>
      <w:r w:rsidR="003E2CED" w:rsidRPr="003E2CED">
        <w:rPr>
          <w:b w:val="0"/>
        </w:rPr>
        <w:t>Daniele Švecovej, bývalej predsedníčke Najvyššieho súdu Slovenskej republiky</w:t>
      </w:r>
    </w:p>
    <w:p w:rsidR="008100B6" w:rsidRDefault="008100B6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737AAE" w:rsidRPr="00737AAE" w:rsidRDefault="00737AAE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737AAE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8100B6" w:rsidRDefault="008100B6" w:rsidP="008100B6">
      <w:pPr>
        <w:spacing w:line="240" w:lineRule="atLeast"/>
        <w:jc w:val="both"/>
        <w:rPr>
          <w:sz w:val="22"/>
        </w:rPr>
      </w:pPr>
      <w:r>
        <w:t>overovate</w:t>
      </w:r>
      <w:r w:rsidR="00737AAE">
        <w:t>lia</w:t>
      </w:r>
      <w:r>
        <w:t xml:space="preserve"> výboru</w:t>
      </w:r>
    </w:p>
    <w:p w:rsidR="008100B6" w:rsidRDefault="008100B6" w:rsidP="008100B6">
      <w:pPr>
        <w:spacing w:line="240" w:lineRule="atLeast"/>
        <w:jc w:val="both"/>
      </w:pPr>
    </w:p>
    <w:p w:rsidR="00D275CC" w:rsidRDefault="00D275CC" w:rsidP="008100B6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3F9A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</cp:revision>
  <cp:lastPrinted>2021-05-24T12:55:00Z</cp:lastPrinted>
  <dcterms:created xsi:type="dcterms:W3CDTF">2020-11-04T08:58:00Z</dcterms:created>
  <dcterms:modified xsi:type="dcterms:W3CDTF">2021-05-24T12:55:00Z</dcterms:modified>
</cp:coreProperties>
</file>