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EC5F3F" w:rsidRPr="008349BA">
      <w:pPr>
        <w:ind w:left="4248"/>
        <w:jc w:val="right"/>
      </w:pPr>
      <w:r w:rsidRPr="008349BA">
        <w:t xml:space="preserve">                                        </w:t>
      </w:r>
      <w:r w:rsidR="004B6FD2">
        <w:t>79</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A75A31">
        <w:t>174</w:t>
      </w:r>
      <w:r w:rsidR="00B2036D">
        <w:t>2</w:t>
      </w:r>
      <w:r w:rsidRPr="00053FB9" w:rsidR="003371B9">
        <w:t>/</w:t>
      </w:r>
      <w:r w:rsidR="00053FB9">
        <w:t>201</w:t>
      </w:r>
      <w:r w:rsidR="004B6FD2">
        <w:t>9</w:t>
      </w:r>
    </w:p>
    <w:p w:rsidR="0004001B" w:rsidP="00067F0B">
      <w:pPr>
        <w:ind w:left="3540" w:firstLine="708"/>
        <w:rPr>
          <w:b/>
        </w:rPr>
      </w:pPr>
    </w:p>
    <w:p w:rsidR="009B024D" w:rsidP="00067F0B">
      <w:pPr>
        <w:ind w:left="3540" w:firstLine="708"/>
        <w:rPr>
          <w:b/>
        </w:rPr>
      </w:pPr>
      <w:r w:rsidR="0011101B">
        <w:rPr>
          <w:b/>
        </w:rPr>
        <w:t xml:space="preserve">        </w:t>
      </w:r>
    </w:p>
    <w:p w:rsidR="00A75A31" w:rsidP="00067F0B">
      <w:pPr>
        <w:ind w:left="3540" w:firstLine="708"/>
        <w:rPr>
          <w:b/>
        </w:rPr>
      </w:pPr>
    </w:p>
    <w:p w:rsidR="00A75A31" w:rsidP="00067F0B">
      <w:pPr>
        <w:ind w:left="3540" w:firstLine="708"/>
        <w:rPr>
          <w:b/>
        </w:rPr>
      </w:pPr>
      <w:r w:rsidR="00CE19BB">
        <w:rPr>
          <w:b/>
        </w:rPr>
        <w:t xml:space="preserve">        498</w:t>
      </w:r>
    </w:p>
    <w:p w:rsidR="00EC5F3F" w:rsidP="004B6FD2">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w:t>
      </w:r>
      <w:r>
        <w:rPr>
          <w:b/>
        </w:rPr>
        <w:t>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4B6FD2">
        <w:rPr>
          <w:b/>
        </w:rPr>
        <w:t>10</w:t>
      </w:r>
      <w:r w:rsidR="00C72FBD">
        <w:rPr>
          <w:b/>
        </w:rPr>
        <w:t xml:space="preserve">. </w:t>
      </w:r>
      <w:r w:rsidR="008A7014">
        <w:rPr>
          <w:b/>
        </w:rPr>
        <w:t>októbra</w:t>
      </w:r>
      <w:r w:rsidR="00830899">
        <w:rPr>
          <w:b/>
        </w:rPr>
        <w:t xml:space="preserve"> 201</w:t>
      </w:r>
      <w:r w:rsidR="004B6FD2">
        <w:rPr>
          <w:b/>
        </w:rPr>
        <w:t>9</w:t>
      </w:r>
    </w:p>
    <w:p w:rsidR="00FC15F7" w:rsidP="00FC15F7">
      <w:pPr>
        <w:keepNext/>
        <w:shd w:val="clear" w:color="auto" w:fill="FFFFFF"/>
        <w:jc w:val="both"/>
        <w:outlineLvl w:val="1"/>
        <w:rPr>
          <w:b/>
        </w:rPr>
      </w:pPr>
    </w:p>
    <w:p w:rsidR="00EC5F3F" w:rsidRPr="005D2E69" w:rsidP="00A75A31">
      <w:pPr>
        <w:jc w:val="both"/>
      </w:pPr>
      <w:r w:rsidRPr="005D2E69">
        <w:t>Výbor Národnej rady Sl</w:t>
      </w:r>
      <w:r w:rsidRPr="005D2E69" w:rsidR="003371B9">
        <w:t>ovenskej republiky pre financie a</w:t>
      </w:r>
      <w:r w:rsidRPr="005D2E69">
        <w:t xml:space="preserve"> rozpočet </w:t>
      </w:r>
      <w:r w:rsidRPr="005D2E69" w:rsidR="00F966EF">
        <w:t>prerokoval</w:t>
      </w:r>
      <w:r w:rsidR="00CA4BFA">
        <w:t xml:space="preserve"> </w:t>
      </w:r>
      <w:r w:rsidRPr="00B2036D" w:rsidR="00B2036D">
        <w:t>vládny návrh zákona, ktorým sa mení a dopĺňa zákon č. 563/2009 Z. z. o správe daní (daňový poriadok) a o zmene a doplnení niektorých zákonov v znení neskorších predpisov a ktorým sa menia a dopĺňajú niektoré zákony (tlač 1595)</w:t>
      </w:r>
      <w:r w:rsidR="00B2036D">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B6FD2" w:rsidP="00B2036D">
      <w:pPr>
        <w:pStyle w:val="BodyText"/>
        <w:spacing w:after="0"/>
        <w:ind w:firstLine="567"/>
        <w:jc w:val="both"/>
        <w:rPr>
          <w:color w:val="000000"/>
        </w:rPr>
      </w:pPr>
      <w:r w:rsidR="00321A20">
        <w:t>s</w:t>
      </w:r>
      <w:r w:rsidR="00A40EE3">
        <w:t> </w:t>
      </w:r>
      <w:r w:rsidRPr="00B2036D" w:rsidR="00B2036D">
        <w:t>vládny</w:t>
      </w:r>
      <w:r w:rsidR="00B2036D">
        <w:t>m</w:t>
      </w:r>
      <w:r w:rsidRPr="00B2036D" w:rsidR="00B2036D">
        <w:t xml:space="preserve"> návrh</w:t>
      </w:r>
      <w:r w:rsidR="00B2036D">
        <w:t>om</w:t>
      </w:r>
      <w:r w:rsidRPr="00B2036D" w:rsidR="00B2036D">
        <w:t xml:space="preserve"> zákona, ktorým sa mení a dopĺňa zákon č. 563/2009 Z. z. o správe daní (daňový poriadok) a o zmene a doplnení niektorých zákonov v znení neskorších predpisov a ktorým sa menia a dopĺňajú niektoré zákony (tlač 1595)</w:t>
      </w:r>
    </w:p>
    <w:p w:rsidR="00A75A31" w:rsidP="00E20A99">
      <w:pPr>
        <w:pStyle w:val="BodyText"/>
        <w:spacing w:after="0"/>
        <w:ind w:left="1416" w:firstLine="708"/>
        <w:jc w:val="both"/>
        <w:rPr>
          <w:color w:val="000000"/>
        </w:rPr>
      </w:pPr>
    </w:p>
    <w:p w:rsidR="00B2036D" w:rsidP="00E20A99">
      <w:pPr>
        <w:pStyle w:val="BodyText"/>
        <w:spacing w:after="0"/>
        <w:ind w:left="1416" w:firstLine="708"/>
        <w:jc w:val="both"/>
        <w:rPr>
          <w:color w:val="000000"/>
        </w:rPr>
      </w:pPr>
    </w:p>
    <w:p w:rsidR="00A75A31"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CA4BFA" w:rsidP="009B024D">
      <w:pPr>
        <w:pStyle w:val="Heading1"/>
        <w:ind w:left="0" w:firstLine="567"/>
        <w:jc w:val="both"/>
      </w:pPr>
    </w:p>
    <w:p w:rsidR="00EC5F3F" w:rsidRPr="00E20A99" w:rsidP="009B024D">
      <w:pPr>
        <w:pStyle w:val="Heading1"/>
        <w:ind w:left="0" w:firstLine="567"/>
        <w:jc w:val="both"/>
      </w:pPr>
      <w:r w:rsidRPr="00B2036D" w:rsidR="00B2036D">
        <w:rPr>
          <w:b w:val="0"/>
        </w:rPr>
        <w:t>vládny návrh zákona, ktorým sa mení a dopĺňa zákon č. 563/2009 Z. z. o správe daní (daňový poriadok) a o zmene a doplnení niektorých zákonov v znení neskorších predpisov a ktorým sa menia a dopĺňajú niektoré zákony (tlač 1595)</w:t>
      </w:r>
      <w:r w:rsidR="004B6FD2">
        <w:rPr>
          <w:bCs w:val="0"/>
          <w:iCs/>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A75A31"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w:t>
      </w:r>
      <w:r w:rsidRPr="00B1559A" w:rsidR="004D0847">
        <w:t>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8349BA" w:rsidP="00C739C2"/>
    <w:p w:rsidR="00A45E0F"/>
    <w:p w:rsidR="00A75A31"/>
    <w:p w:rsidR="00EA2CA3"/>
    <w:p w:rsidR="008A7014" w:rsidP="008A7014">
      <w:pPr>
        <w:ind w:left="5664" w:firstLine="708"/>
        <w:rPr>
          <w:b/>
          <w:bCs w:val="0"/>
        </w:rPr>
      </w:pPr>
    </w:p>
    <w:p w:rsidR="008A7014" w:rsidP="008A7014">
      <w:pPr>
        <w:ind w:left="5664" w:firstLine="708"/>
        <w:rPr>
          <w:b/>
        </w:rPr>
      </w:pPr>
      <w:r>
        <w:rPr>
          <w:b/>
          <w:bCs w:val="0"/>
        </w:rPr>
        <w:t xml:space="preserve">       </w:t>
      </w:r>
      <w:r w:rsidR="004B6FD2">
        <w:rPr>
          <w:b/>
          <w:bCs w:val="0"/>
        </w:rPr>
        <w:t xml:space="preserve">    </w:t>
      </w:r>
      <w:r>
        <w:rPr>
          <w:b/>
          <w:bCs w:val="0"/>
        </w:rPr>
        <w:t xml:space="preserve"> </w:t>
      </w:r>
      <w:r w:rsidR="004B6FD2">
        <w:rPr>
          <w:b/>
          <w:bCs w:val="0"/>
        </w:rPr>
        <w:t>Róbert Puci</w:t>
      </w:r>
      <w:r>
        <w:rPr>
          <w:b/>
          <w:bCs w:val="0"/>
        </w:rPr>
        <w:t xml:space="preserve"> </w:t>
      </w:r>
    </w:p>
    <w:p w:rsidR="008A7014" w:rsidP="008A7014">
      <w:pPr>
        <w:ind w:left="5664" w:firstLine="708"/>
      </w:pPr>
      <w:r>
        <w:t xml:space="preserve">           predseda výboru</w:t>
      </w:r>
    </w:p>
    <w:p w:rsidR="008A7014" w:rsidP="008A7014">
      <w:pPr>
        <w:jc w:val="both"/>
        <w:rPr>
          <w:b/>
          <w:bCs w:val="0"/>
        </w:rPr>
      </w:pPr>
      <w:r>
        <w:rPr>
          <w:b/>
        </w:rPr>
        <w:t xml:space="preserve">  </w:t>
      </w:r>
      <w:r w:rsidR="004B6FD2">
        <w:rPr>
          <w:b/>
          <w:bCs w:val="0"/>
        </w:rPr>
        <w:t>Igor Federič</w:t>
      </w:r>
    </w:p>
    <w:p w:rsidR="008A7014" w:rsidP="008A7014">
      <w:pPr>
        <w:jc w:val="both"/>
        <w:rPr>
          <w:b/>
          <w:bCs w:val="0"/>
        </w:rPr>
      </w:pPr>
      <w:r>
        <w:rPr>
          <w:b/>
          <w:bCs w:val="0"/>
        </w:rPr>
        <w:t xml:space="preserve"> Peter Štarchoň</w:t>
      </w:r>
    </w:p>
    <w:p w:rsidR="008A7014" w:rsidRPr="008F51E4" w:rsidP="008A7014">
      <w:pPr>
        <w:jc w:val="both"/>
        <w:rPr>
          <w:bCs w:val="0"/>
        </w:rPr>
      </w:pPr>
      <w:r>
        <w:rPr>
          <w:bCs w:val="0"/>
        </w:rPr>
        <w:t>overovateľ výboru</w:t>
      </w:r>
    </w:p>
    <w:p w:rsidR="00AC2960"/>
    <w:p w:rsidR="00065DBF"/>
    <w:p w:rsidR="00A75A31" w:rsidRPr="00A75A31" w:rsidP="00A75A31"/>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2312ED" w:rsidP="000D14F9">
      <w:pPr>
        <w:rPr>
          <w:rFonts w:ascii="AT*Zurich Calligraphic" w:hAnsi="AT*Zurich Calligraphic"/>
          <w:b/>
        </w:rPr>
      </w:pPr>
    </w:p>
    <w:p w:rsidR="002312ED" w:rsidP="000D14F9">
      <w:pPr>
        <w:rPr>
          <w:rFonts w:ascii="AT*Zurich Calligraphic" w:hAnsi="AT*Zurich Calligraphic"/>
          <w:b/>
        </w:rPr>
      </w:pP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65532A">
        <w:rPr>
          <w:b/>
        </w:rPr>
        <w:t xml:space="preserve"> </w:t>
      </w:r>
      <w:r w:rsidR="00CE19BB">
        <w:rPr>
          <w:b/>
        </w:rPr>
        <w:t>498</w:t>
      </w:r>
    </w:p>
    <w:p w:rsidR="000D14F9" w:rsidRPr="003371B9" w:rsidP="000D14F9">
      <w:pPr>
        <w:jc w:val="right"/>
      </w:pPr>
      <w:r w:rsidR="005D63B3">
        <w:rPr>
          <w:bCs w:val="0"/>
        </w:rPr>
        <w:t>7</w:t>
      </w:r>
      <w:r w:rsidR="004B6FD2">
        <w:rPr>
          <w:bCs w:val="0"/>
        </w:rPr>
        <w:t>9</w:t>
      </w:r>
      <w:r w:rsidRPr="003371B9">
        <w:rPr>
          <w:bCs w:val="0"/>
        </w:rPr>
        <w:t xml:space="preserve">. </w:t>
      </w:r>
      <w:r w:rsidRPr="003371B9">
        <w:t>schôdza</w:t>
      </w:r>
    </w:p>
    <w:p w:rsidR="00E563B5" w:rsidP="000D14F9">
      <w:pPr>
        <w:jc w:val="center"/>
        <w:rPr>
          <w:b/>
        </w:rPr>
      </w:pPr>
    </w:p>
    <w:p w:rsidR="002312ED"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B2036D" w:rsidP="00B2036D">
      <w:pPr>
        <w:pStyle w:val="Heading1"/>
        <w:pBdr>
          <w:bottom w:val="single" w:sz="6" w:space="1" w:color="auto"/>
        </w:pBdr>
        <w:ind w:left="360"/>
        <w:jc w:val="center"/>
      </w:pPr>
      <w:r w:rsidR="00117627">
        <w:t>k</w:t>
      </w:r>
      <w:r w:rsidR="00AC2960">
        <w:t> </w:t>
      </w:r>
      <w:r w:rsidRPr="005458EF" w:rsidR="00843997">
        <w:t xml:space="preserve"> </w:t>
      </w:r>
      <w:r w:rsidRPr="00B2036D">
        <w:t>vládn</w:t>
      </w:r>
      <w:r>
        <w:t>emu</w:t>
      </w:r>
      <w:r w:rsidRPr="00B2036D">
        <w:t xml:space="preserve"> návrh</w:t>
      </w:r>
      <w:r>
        <w:t>u</w:t>
      </w:r>
      <w:r w:rsidRPr="00B2036D">
        <w:t xml:space="preserve"> zákona, ktorým sa mení a dopĺňa zákon č. 563/2009 Z. z. o správe daní (daňový poriadok) a o zmene a doplnení niektorých zákonov v znení neskorších predpisov a ktorým sa menia a dopĺňajú niektoré zákony (tlač 1595)</w:t>
      </w:r>
    </w:p>
    <w:p w:rsidR="00CE19BB" w:rsidP="00CE19BB"/>
    <w:p w:rsidR="004A4B42" w:rsidRPr="004A4B42" w:rsidP="004A4B42">
      <w:pPr>
        <w:pStyle w:val="ListParagraph"/>
        <w:numPr>
          <w:ilvl w:val="0"/>
          <w:numId w:val="11"/>
        </w:numPr>
        <w:overflowPunct w:val="0"/>
        <w:spacing w:after="0" w:line="240" w:lineRule="auto"/>
        <w:jc w:val="both"/>
        <w:rPr>
          <w:rFonts w:ascii="Times New Roman" w:hAnsi="Times New Roman"/>
          <w:b/>
          <w:sz w:val="24"/>
          <w:szCs w:val="24"/>
        </w:rPr>
      </w:pPr>
      <w:r w:rsidRPr="004A4B42">
        <w:rPr>
          <w:rFonts w:ascii="Times New Roman" w:hAnsi="Times New Roman"/>
          <w:b/>
          <w:sz w:val="24"/>
          <w:szCs w:val="24"/>
        </w:rPr>
        <w:t xml:space="preserve">K čl. I, 10. bodu </w:t>
      </w:r>
    </w:p>
    <w:p w:rsidR="004A4B42" w:rsidRPr="004A4B42" w:rsidP="004A4B42">
      <w:pPr>
        <w:pStyle w:val="ListParagraph"/>
        <w:overflowPunct w:val="0"/>
        <w:spacing w:after="0" w:line="240" w:lineRule="auto"/>
        <w:ind w:left="284" w:firstLine="424"/>
        <w:jc w:val="both"/>
        <w:rPr>
          <w:rFonts w:ascii="Times New Roman" w:hAnsi="Times New Roman"/>
          <w:sz w:val="24"/>
          <w:szCs w:val="24"/>
        </w:rPr>
      </w:pPr>
      <w:r w:rsidRPr="004A4B42">
        <w:rPr>
          <w:rFonts w:ascii="Times New Roman" w:hAnsi="Times New Roman"/>
          <w:sz w:val="24"/>
          <w:szCs w:val="24"/>
        </w:rPr>
        <w:t xml:space="preserve">V čl. I, 10. bode, § 19a sa za slovo „polície“ vkladajú slová „Policajného zboru“. </w:t>
      </w:r>
    </w:p>
    <w:p w:rsidR="004A4B42" w:rsidRPr="004A4B42" w:rsidP="004A4B42">
      <w:pPr>
        <w:pStyle w:val="ListParagraph"/>
        <w:overflowPunct w:val="0"/>
        <w:spacing w:after="0" w:line="240" w:lineRule="auto"/>
        <w:ind w:left="284" w:hanging="284"/>
        <w:jc w:val="both"/>
        <w:rPr>
          <w:rFonts w:ascii="Times New Roman" w:hAnsi="Times New Roman"/>
          <w:sz w:val="24"/>
          <w:szCs w:val="24"/>
        </w:rPr>
      </w:pPr>
    </w:p>
    <w:p w:rsidR="004A4B42" w:rsidP="004A4B42">
      <w:pPr>
        <w:pStyle w:val="ListParagraph"/>
        <w:overflowPunct w:val="0"/>
        <w:spacing w:after="0" w:line="240" w:lineRule="auto"/>
        <w:ind w:left="3969"/>
        <w:jc w:val="both"/>
        <w:rPr>
          <w:rFonts w:ascii="Times New Roman" w:hAnsi="Times New Roman"/>
          <w:sz w:val="24"/>
          <w:szCs w:val="24"/>
        </w:rPr>
      </w:pPr>
      <w:r w:rsidRPr="004A4B42">
        <w:rPr>
          <w:rFonts w:ascii="Times New Roman" w:hAnsi="Times New Roman"/>
          <w:sz w:val="24"/>
          <w:szCs w:val="24"/>
        </w:rPr>
        <w:t xml:space="preserve">Pozmeňujúci návrh terminologicky precizuje novelizačné ustanovenie, nakoľko v zmysle § 4 ods. 1 zákona č. 171/1993 Z. z. o Policajnom zbore v znení neskorších predpisov sú služby finančnej polície a služby kriminálnej polície útvarmi Policajného zboru. </w:t>
      </w:r>
    </w:p>
    <w:p w:rsidR="004A4B42" w:rsidP="004A4B42">
      <w:pPr>
        <w:pStyle w:val="ListParagraph"/>
        <w:overflowPunct w:val="0"/>
        <w:spacing w:after="0" w:line="240" w:lineRule="auto"/>
        <w:ind w:left="3969"/>
        <w:jc w:val="both"/>
        <w:rPr>
          <w:rFonts w:ascii="Times New Roman" w:hAnsi="Times New Roman"/>
          <w:sz w:val="24"/>
          <w:szCs w:val="24"/>
        </w:rPr>
      </w:pPr>
    </w:p>
    <w:p w:rsidR="004A4B42" w:rsidRPr="004A4B42" w:rsidP="004A4B42">
      <w:pPr>
        <w:numPr>
          <w:ilvl w:val="0"/>
          <w:numId w:val="11"/>
        </w:numPr>
        <w:jc w:val="both"/>
        <w:rPr>
          <w:color w:val="000000"/>
        </w:rPr>
      </w:pPr>
      <w:r w:rsidRPr="004A4B42">
        <w:rPr>
          <w:b/>
          <w:color w:val="000000"/>
        </w:rPr>
        <w:t>K čl. I, nový bod</w:t>
      </w:r>
    </w:p>
    <w:p w:rsidR="004A4B42" w:rsidRPr="004A4B42" w:rsidP="004A4B42">
      <w:pPr>
        <w:ind w:firstLine="708"/>
        <w:jc w:val="both"/>
        <w:rPr>
          <w:color w:val="000000"/>
        </w:rPr>
      </w:pPr>
      <w:r w:rsidRPr="004A4B42">
        <w:rPr>
          <w:color w:val="000000"/>
        </w:rPr>
        <w:t>Za doterajší bod 32 sa vkladá nový bod 33, ktorý znie:</w:t>
      </w:r>
    </w:p>
    <w:p w:rsidR="004A4B42" w:rsidRPr="005E5E66" w:rsidP="004A4B42">
      <w:pPr>
        <w:ind w:left="708"/>
        <w:jc w:val="both"/>
        <w:rPr>
          <w:b/>
          <w:color w:val="FF0000"/>
        </w:rPr>
      </w:pPr>
      <w:r w:rsidRPr="005E5E66">
        <w:t>„33. V</w:t>
      </w:r>
      <w:r w:rsidRPr="004A4B42">
        <w:rPr>
          <w:color w:val="000000"/>
        </w:rPr>
        <w:t xml:space="preserve"> § 69 ods. 4 sa za slovo „konaní“  vkladajú slová „alebo orgánov Policajného zboru“</w:t>
      </w:r>
      <w:r w:rsidRPr="005E5E66">
        <w:t xml:space="preserve">.“. </w:t>
      </w:r>
    </w:p>
    <w:p w:rsidR="004A4B42" w:rsidRPr="004A4B42" w:rsidP="004A4B42">
      <w:pPr>
        <w:jc w:val="both"/>
        <w:rPr>
          <w:color w:val="000000"/>
        </w:rPr>
      </w:pPr>
    </w:p>
    <w:p w:rsidR="004A4B42" w:rsidRPr="004A4B42" w:rsidP="004A4B42">
      <w:pPr>
        <w:ind w:firstLine="708"/>
        <w:jc w:val="both"/>
        <w:rPr>
          <w:color w:val="000000"/>
        </w:rPr>
      </w:pPr>
      <w:r w:rsidRPr="004A4B42">
        <w:rPr>
          <w:color w:val="000000"/>
        </w:rPr>
        <w:t xml:space="preserve">Doterajšie body sa primerane prečíslujú. </w:t>
      </w:r>
    </w:p>
    <w:p w:rsidR="004A4B42" w:rsidP="004A4B42">
      <w:pPr>
        <w:jc w:val="both"/>
      </w:pPr>
    </w:p>
    <w:p w:rsidR="004A4B42" w:rsidRPr="005E5E66" w:rsidP="004A4B42">
      <w:pPr>
        <w:ind w:left="708"/>
        <w:jc w:val="both"/>
      </w:pPr>
      <w:r w:rsidRPr="005E5E66">
        <w:t xml:space="preserve">Nový bod 33 nadobudne účinnosť 1. januára 2020, čo sa premietne v ustanovení o účinnosti pri spracúvaní čistopisu schváleného zákona. </w:t>
      </w:r>
    </w:p>
    <w:p w:rsidR="004A4B42" w:rsidRPr="004A4B42" w:rsidP="004A4B42">
      <w:pPr>
        <w:jc w:val="both"/>
        <w:rPr>
          <w:color w:val="000000"/>
        </w:rPr>
      </w:pPr>
    </w:p>
    <w:p w:rsidR="004A4B42" w:rsidRPr="004A4B42" w:rsidP="004A4B42">
      <w:pPr>
        <w:jc w:val="both"/>
        <w:rPr>
          <w:b/>
          <w:color w:val="000000"/>
        </w:rPr>
      </w:pPr>
      <w:r w:rsidRPr="004A4B42">
        <w:rPr>
          <w:b/>
          <w:color w:val="000000"/>
        </w:rPr>
        <w:t xml:space="preserve"> </w:t>
        <w:tab/>
        <w:tab/>
        <w:tab/>
        <w:tab/>
        <w:tab/>
      </w:r>
    </w:p>
    <w:p w:rsidR="004A4B42" w:rsidRPr="004A4B42" w:rsidP="004A4B42">
      <w:pPr>
        <w:ind w:left="4248"/>
        <w:jc w:val="both"/>
        <w:rPr>
          <w:color w:val="000000"/>
        </w:rPr>
      </w:pPr>
      <w:r w:rsidRPr="004A4B42">
        <w:rPr>
          <w:color w:val="000000"/>
        </w:rPr>
        <w:t>Nadväzne na novelizačný bod 15, ktorý umožňuje vykonanie daňovej kontroly aj na požiadanie orgánov Policajného zboru je potrebné premietnuť toto oprávnenie aj do nadväzujúceho ustanovenia zákona upravujúce lehotu pre zánik práva vyrubiť daň.</w:t>
      </w:r>
    </w:p>
    <w:p w:rsidR="004A4B42" w:rsidP="004A4B42">
      <w:pPr>
        <w:pStyle w:val="ListParagraph"/>
        <w:overflowPunct w:val="0"/>
        <w:spacing w:after="0" w:line="240" w:lineRule="auto"/>
        <w:ind w:left="3969"/>
        <w:jc w:val="both"/>
        <w:rPr>
          <w:rFonts w:ascii="Times New Roman" w:hAnsi="Times New Roman"/>
          <w:sz w:val="24"/>
          <w:szCs w:val="24"/>
        </w:rPr>
      </w:pPr>
    </w:p>
    <w:p w:rsidR="004A4B42" w:rsidRPr="004A4B42" w:rsidP="004A4B42">
      <w:pPr>
        <w:pStyle w:val="ListParagraph"/>
        <w:overflowPunct w:val="0"/>
        <w:spacing w:after="0" w:line="240" w:lineRule="auto"/>
        <w:ind w:left="3969"/>
        <w:jc w:val="both"/>
        <w:rPr>
          <w:rFonts w:ascii="Times New Roman" w:hAnsi="Times New Roman"/>
          <w:sz w:val="24"/>
          <w:szCs w:val="24"/>
        </w:rPr>
      </w:pPr>
    </w:p>
    <w:p w:rsidR="004A4B42" w:rsidRPr="004A4B42" w:rsidP="004A4B42">
      <w:pPr>
        <w:pStyle w:val="ListParagraph"/>
        <w:numPr>
          <w:ilvl w:val="0"/>
          <w:numId w:val="11"/>
        </w:numPr>
        <w:overflowPunct w:val="0"/>
        <w:spacing w:after="0" w:line="240" w:lineRule="auto"/>
        <w:jc w:val="both"/>
        <w:rPr>
          <w:rFonts w:ascii="Times New Roman" w:hAnsi="Times New Roman"/>
          <w:b/>
          <w:sz w:val="24"/>
          <w:szCs w:val="24"/>
        </w:rPr>
      </w:pPr>
      <w:r w:rsidRPr="004A4B42">
        <w:rPr>
          <w:rFonts w:ascii="Times New Roman" w:hAnsi="Times New Roman"/>
          <w:b/>
          <w:sz w:val="24"/>
          <w:szCs w:val="24"/>
        </w:rPr>
        <w:t xml:space="preserve">K čl. I, 35. bodu </w:t>
      </w:r>
    </w:p>
    <w:p w:rsidR="004A4B42" w:rsidRPr="004A4B42" w:rsidP="004A4B42">
      <w:pPr>
        <w:overflowPunct w:val="0"/>
        <w:ind w:left="708"/>
        <w:jc w:val="both"/>
      </w:pPr>
      <w:r w:rsidRPr="004A4B42">
        <w:t xml:space="preserve">V čl. I, 35. bode, § 79 ods. 6 prvej vete sa za slovo „žiadosti“ vkladajú slová „o vrátenie daňového preplatku“. </w:t>
      </w:r>
    </w:p>
    <w:p w:rsidR="004A4B42" w:rsidRPr="004A4B42" w:rsidP="004A4B42">
      <w:pPr>
        <w:overflowPunct w:val="0"/>
        <w:jc w:val="both"/>
      </w:pPr>
    </w:p>
    <w:p w:rsidR="004A4B42" w:rsidRPr="004A4B42" w:rsidP="004A4B42">
      <w:pPr>
        <w:pStyle w:val="ListParagraph"/>
        <w:overflowPunct w:val="0"/>
        <w:spacing w:after="0" w:line="240" w:lineRule="auto"/>
        <w:ind w:left="3969"/>
        <w:jc w:val="both"/>
        <w:rPr>
          <w:rFonts w:ascii="Times New Roman" w:hAnsi="Times New Roman"/>
          <w:sz w:val="24"/>
          <w:szCs w:val="24"/>
        </w:rPr>
      </w:pPr>
      <w:r w:rsidRPr="004A4B42">
        <w:rPr>
          <w:rFonts w:ascii="Times New Roman" w:hAnsi="Times New Roman"/>
          <w:sz w:val="24"/>
          <w:szCs w:val="24"/>
        </w:rPr>
        <w:t xml:space="preserve">Pozmeňujúci návrh pojmovo vylepšuje </w:t>
      </w:r>
      <w:r w:rsidRPr="004A4B42">
        <w:rPr>
          <w:rFonts w:ascii="Times New Roman" w:hAnsi="Times New Roman"/>
          <w:sz w:val="24"/>
          <w:szCs w:val="24"/>
        </w:rPr>
        <w:t xml:space="preserve">navrhované ustanovenie. </w:t>
      </w: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P="004A4B42">
      <w:pPr>
        <w:pStyle w:val="ListParagraph"/>
        <w:overflowPunct w:val="0"/>
        <w:spacing w:after="0" w:line="240" w:lineRule="auto"/>
        <w:ind w:left="284" w:firstLine="3685"/>
        <w:jc w:val="both"/>
        <w:rPr>
          <w:rFonts w:ascii="Times New Roman" w:hAnsi="Times New Roman"/>
          <w:sz w:val="24"/>
          <w:szCs w:val="24"/>
        </w:rPr>
      </w:pPr>
    </w:p>
    <w:p w:rsidR="004A4B42" w:rsidRPr="004A4B42" w:rsidP="004A4B42">
      <w:pPr>
        <w:pStyle w:val="ListParagraph"/>
        <w:overflowPunct w:val="0"/>
        <w:spacing w:after="0" w:line="240" w:lineRule="auto"/>
        <w:ind w:left="284" w:firstLine="3685"/>
        <w:jc w:val="both"/>
        <w:rPr>
          <w:rFonts w:ascii="Times New Roman" w:hAnsi="Times New Roman"/>
          <w:sz w:val="24"/>
          <w:szCs w:val="24"/>
        </w:rPr>
      </w:pPr>
    </w:p>
    <w:p w:rsidR="004A4B42" w:rsidRPr="004A4B42" w:rsidP="004A4B42">
      <w:pPr>
        <w:pStyle w:val="ListParagraph"/>
        <w:numPr>
          <w:ilvl w:val="0"/>
          <w:numId w:val="11"/>
        </w:numPr>
        <w:overflowPunct w:val="0"/>
        <w:spacing w:after="0" w:line="240" w:lineRule="auto"/>
        <w:jc w:val="both"/>
        <w:rPr>
          <w:rFonts w:ascii="Times New Roman" w:hAnsi="Times New Roman"/>
          <w:b/>
          <w:sz w:val="24"/>
          <w:szCs w:val="24"/>
        </w:rPr>
      </w:pPr>
      <w:r w:rsidRPr="004A4B42">
        <w:rPr>
          <w:rFonts w:ascii="Times New Roman" w:hAnsi="Times New Roman"/>
          <w:b/>
          <w:sz w:val="24"/>
          <w:szCs w:val="24"/>
        </w:rPr>
        <w:t xml:space="preserve">K čl. I, 37. a 38. bodu </w:t>
      </w:r>
    </w:p>
    <w:p w:rsidR="004A4B42" w:rsidRPr="004A4B42" w:rsidP="004A4B42">
      <w:pPr>
        <w:overflowPunct w:val="0"/>
        <w:ind w:left="708"/>
        <w:jc w:val="both"/>
      </w:pPr>
      <w:r w:rsidRPr="004A4B42">
        <w:t xml:space="preserve">V čl. I, 37. bode (§ 81 ods. 1) sa slová „piatej vete“ nahrádzajú slovami „šiestej vete“ a v čl. I, 38. bode (§ 81 ods. 1) sa slová „desiatej vete“ nahrádzajú slovami „jedenástej vete“. </w:t>
      </w:r>
    </w:p>
    <w:p w:rsidR="004A4B42" w:rsidRPr="004A4B42" w:rsidP="004A4B42">
      <w:pPr>
        <w:overflowPunct w:val="0"/>
        <w:jc w:val="both"/>
      </w:pPr>
    </w:p>
    <w:p w:rsidR="004A4B42" w:rsidRPr="004A4B42" w:rsidP="004A4B42">
      <w:pPr>
        <w:pStyle w:val="ListParagraph"/>
        <w:overflowPunct w:val="0"/>
        <w:spacing w:after="0" w:line="240" w:lineRule="auto"/>
        <w:ind w:left="3969"/>
        <w:jc w:val="both"/>
        <w:rPr>
          <w:rFonts w:ascii="Times New Roman" w:hAnsi="Times New Roman"/>
          <w:sz w:val="24"/>
          <w:szCs w:val="24"/>
        </w:rPr>
      </w:pPr>
      <w:r w:rsidRPr="004A4B42">
        <w:rPr>
          <w:rFonts w:ascii="Times New Roman" w:hAnsi="Times New Roman"/>
          <w:sz w:val="24"/>
          <w:szCs w:val="24"/>
        </w:rPr>
        <w:t xml:space="preserve">Pozmeňujúci návrh legislatívno-technickej povahy koriguje nesprávne uvedené novelizačné ustanovenia vzhľadom na zmenu vykonanú v čl. I, 36. bode návrhu zákona. </w:t>
      </w:r>
    </w:p>
    <w:p w:rsidR="004A4B42" w:rsidP="004A4B42">
      <w:pPr>
        <w:overflowPunct w:val="0"/>
        <w:jc w:val="both"/>
      </w:pPr>
    </w:p>
    <w:p w:rsidR="004A4B42" w:rsidP="004A4B42">
      <w:pPr>
        <w:overflowPunct w:val="0"/>
        <w:jc w:val="both"/>
      </w:pPr>
    </w:p>
    <w:p w:rsidR="004A4B42" w:rsidRPr="004A4B42" w:rsidP="004A4B42">
      <w:pPr>
        <w:overflowPunct w:val="0"/>
        <w:jc w:val="both"/>
      </w:pPr>
    </w:p>
    <w:p w:rsidR="004A4B42" w:rsidRPr="004A4B42" w:rsidP="004A4B42">
      <w:pPr>
        <w:pStyle w:val="ListParagraph"/>
        <w:numPr>
          <w:ilvl w:val="0"/>
          <w:numId w:val="11"/>
        </w:numPr>
        <w:overflowPunct w:val="0"/>
        <w:spacing w:after="0" w:line="240" w:lineRule="auto"/>
        <w:jc w:val="both"/>
        <w:rPr>
          <w:rFonts w:ascii="Times New Roman" w:hAnsi="Times New Roman"/>
          <w:b/>
          <w:kern w:val="24"/>
          <w:sz w:val="24"/>
          <w:szCs w:val="24"/>
        </w:rPr>
      </w:pPr>
      <w:r w:rsidRPr="004A4B42">
        <w:rPr>
          <w:rFonts w:ascii="Times New Roman" w:hAnsi="Times New Roman"/>
          <w:b/>
          <w:kern w:val="24"/>
          <w:sz w:val="24"/>
          <w:szCs w:val="24"/>
        </w:rPr>
        <w:t xml:space="preserve">K čl. I, 42. bodu </w:t>
      </w:r>
    </w:p>
    <w:p w:rsidR="004A4B42" w:rsidRPr="004A4B42" w:rsidP="004A4B42">
      <w:pPr>
        <w:pStyle w:val="ListParagraph"/>
        <w:spacing w:after="0" w:line="240" w:lineRule="auto"/>
        <w:ind w:left="708"/>
        <w:jc w:val="both"/>
        <w:rPr>
          <w:rStyle w:val="awspan1"/>
          <w:rFonts w:ascii="Times New Roman" w:hAnsi="Times New Roman"/>
          <w:kern w:val="24"/>
        </w:rPr>
      </w:pPr>
      <w:r w:rsidRPr="004A4B42">
        <w:rPr>
          <w:rFonts w:ascii="Times New Roman" w:hAnsi="Times New Roman"/>
          <w:kern w:val="24"/>
          <w:sz w:val="24"/>
          <w:szCs w:val="24"/>
        </w:rPr>
        <w:t>V čl. I, 42. bode, § 83 ods. 2 sa text za slovami „ktoré nie je daňou,“ nahrádza tex</w:t>
      </w:r>
      <w:r w:rsidRPr="004A4B42">
        <w:rPr>
          <w:rFonts w:ascii="Times New Roman" w:hAnsi="Times New Roman"/>
          <w:kern w:val="24"/>
          <w:sz w:val="24"/>
          <w:szCs w:val="24"/>
        </w:rPr>
        <w:t>tom, ktorý znie: „</w:t>
      </w:r>
      <w:r w:rsidRPr="004A4B42">
        <w:rPr>
          <w:rStyle w:val="awspan1"/>
          <w:rFonts w:ascii="Times New Roman" w:hAnsi="Times New Roman"/>
          <w:kern w:val="24"/>
        </w:rPr>
        <w:t xml:space="preserve">uložené rozhodnutím správcu dane podľa tohto zákona vrátane exekučných nákladov a hotových výdavkov.“. </w:t>
      </w:r>
    </w:p>
    <w:p w:rsidR="004A4B42" w:rsidRPr="004A4B42" w:rsidP="004A4B42">
      <w:pPr>
        <w:rPr>
          <w:rStyle w:val="awspan1"/>
        </w:rPr>
      </w:pPr>
    </w:p>
    <w:p w:rsidR="004A4B42" w:rsidRPr="004A4B42" w:rsidP="004A4B42">
      <w:pPr>
        <w:pStyle w:val="ListParagraph"/>
        <w:overflowPunct w:val="0"/>
        <w:spacing w:after="0" w:line="240" w:lineRule="auto"/>
        <w:ind w:left="3969"/>
        <w:jc w:val="both"/>
        <w:rPr>
          <w:rFonts w:ascii="Times New Roman" w:hAnsi="Times New Roman"/>
          <w:sz w:val="24"/>
          <w:szCs w:val="24"/>
        </w:rPr>
      </w:pPr>
      <w:r w:rsidRPr="004A4B42">
        <w:rPr>
          <w:rFonts w:ascii="Times New Roman" w:hAnsi="Times New Roman"/>
          <w:sz w:val="24"/>
          <w:szCs w:val="24"/>
        </w:rPr>
        <w:t>Pozmeňujúci návrh terminologicky precizuje a zároveň harmonizuje navrhované ustanovenie so znením čl. I, 45. bodu návrhu zákona (§ 86</w:t>
      </w:r>
      <w:r w:rsidRPr="004A4B42">
        <w:rPr>
          <w:rFonts w:ascii="Times New Roman" w:hAnsi="Times New Roman"/>
          <w:sz w:val="24"/>
          <w:szCs w:val="24"/>
        </w:rPr>
        <w:t xml:space="preserve"> ods. 8). </w:t>
      </w:r>
    </w:p>
    <w:p w:rsidR="004A4B42" w:rsidP="004A4B42">
      <w:pPr>
        <w:ind w:left="3969"/>
        <w:jc w:val="both"/>
      </w:pPr>
    </w:p>
    <w:p w:rsidR="004A4B42" w:rsidRPr="004A4B42" w:rsidP="004A4B42">
      <w:pPr>
        <w:ind w:left="3969"/>
        <w:jc w:val="both"/>
      </w:pPr>
    </w:p>
    <w:p w:rsidR="004A4B42" w:rsidRPr="004A4B42" w:rsidP="004A4B42">
      <w:pPr>
        <w:pStyle w:val="ListParagraph"/>
        <w:numPr>
          <w:ilvl w:val="0"/>
          <w:numId w:val="11"/>
        </w:numPr>
        <w:tabs>
          <w:tab w:val="left" w:pos="284"/>
        </w:tabs>
        <w:overflowPunct w:val="0"/>
        <w:spacing w:after="0" w:line="240" w:lineRule="auto"/>
        <w:jc w:val="both"/>
        <w:rPr>
          <w:rFonts w:ascii="Times New Roman" w:hAnsi="Times New Roman"/>
          <w:b/>
          <w:sz w:val="24"/>
          <w:szCs w:val="24"/>
        </w:rPr>
      </w:pPr>
      <w:r w:rsidRPr="004A4B42">
        <w:rPr>
          <w:rFonts w:ascii="Times New Roman" w:hAnsi="Times New Roman"/>
          <w:b/>
          <w:sz w:val="24"/>
          <w:szCs w:val="24"/>
        </w:rPr>
        <w:t xml:space="preserve">K čl. I, 53. bodu </w:t>
      </w:r>
    </w:p>
    <w:p w:rsidR="004A4B42" w:rsidRPr="004A4B42" w:rsidP="004A4B42">
      <w:pPr>
        <w:pStyle w:val="ListParagraph"/>
        <w:spacing w:after="0" w:line="240" w:lineRule="auto"/>
        <w:ind w:left="0" w:firstLine="708"/>
        <w:jc w:val="both"/>
        <w:rPr>
          <w:rFonts w:ascii="Times New Roman" w:hAnsi="Times New Roman"/>
          <w:sz w:val="24"/>
          <w:szCs w:val="24"/>
        </w:rPr>
      </w:pPr>
      <w:r w:rsidRPr="004A4B42">
        <w:rPr>
          <w:rFonts w:ascii="Times New Roman" w:hAnsi="Times New Roman"/>
          <w:sz w:val="24"/>
          <w:szCs w:val="24"/>
        </w:rPr>
        <w:t>V čl. I, 53. bode, § 95 ods. 1 sa vypúšťajú slová „inou osobou“.</w:t>
      </w:r>
    </w:p>
    <w:p w:rsidR="004A4B42" w:rsidRPr="004A4B42" w:rsidP="004A4B42">
      <w:pPr>
        <w:pStyle w:val="ListParagraph"/>
        <w:spacing w:after="0" w:line="240" w:lineRule="auto"/>
        <w:ind w:left="3969"/>
        <w:jc w:val="both"/>
        <w:rPr>
          <w:rFonts w:ascii="Times New Roman" w:hAnsi="Times New Roman"/>
          <w:sz w:val="24"/>
          <w:szCs w:val="24"/>
        </w:rPr>
      </w:pPr>
    </w:p>
    <w:p w:rsidR="004A4B42" w:rsidP="004A4B42">
      <w:pPr>
        <w:pStyle w:val="ListParagraph"/>
        <w:spacing w:after="0" w:line="240" w:lineRule="auto"/>
        <w:ind w:left="3969"/>
        <w:jc w:val="both"/>
        <w:rPr>
          <w:rFonts w:ascii="Times New Roman" w:hAnsi="Times New Roman"/>
          <w:sz w:val="24"/>
          <w:szCs w:val="24"/>
        </w:rPr>
      </w:pPr>
      <w:r w:rsidRPr="004A4B42">
        <w:rPr>
          <w:rFonts w:ascii="Times New Roman" w:hAnsi="Times New Roman"/>
          <w:sz w:val="24"/>
          <w:szCs w:val="24"/>
        </w:rPr>
        <w:t xml:space="preserve">Pozmeňujúci návrh zosúlaďuje citované ustanovenie so znením § 88 ods. 10 platného znenia zákona, podľa ktorého okrem inej osoby môže uplatniť návrh na vylúčenie majetku z daňovej exekúcie na súde aj daňový dlžník. </w:t>
      </w:r>
    </w:p>
    <w:p w:rsidR="004A4B42" w:rsidP="004A4B42">
      <w:pPr>
        <w:pStyle w:val="ListParagraph"/>
        <w:spacing w:after="0" w:line="240" w:lineRule="auto"/>
        <w:ind w:left="3969"/>
        <w:jc w:val="both"/>
        <w:rPr>
          <w:rFonts w:ascii="Times New Roman" w:hAnsi="Times New Roman"/>
          <w:sz w:val="24"/>
          <w:szCs w:val="24"/>
        </w:rPr>
      </w:pPr>
    </w:p>
    <w:p w:rsidR="004A4B42" w:rsidRPr="004A4B42" w:rsidP="004A4B42">
      <w:pPr>
        <w:numPr>
          <w:ilvl w:val="0"/>
          <w:numId w:val="11"/>
        </w:numPr>
        <w:jc w:val="both"/>
        <w:rPr>
          <w:color w:val="000000"/>
        </w:rPr>
      </w:pPr>
      <w:r w:rsidRPr="004A4B42">
        <w:rPr>
          <w:b/>
          <w:color w:val="000000"/>
        </w:rPr>
        <w:t>K čl. I, nový bod</w:t>
      </w:r>
    </w:p>
    <w:p w:rsidR="004A4B42" w:rsidRPr="004A4B42" w:rsidP="004A4B42">
      <w:pPr>
        <w:ind w:firstLine="708"/>
        <w:jc w:val="both"/>
        <w:rPr>
          <w:color w:val="000000"/>
        </w:rPr>
      </w:pPr>
      <w:r w:rsidRPr="004A4B42">
        <w:rPr>
          <w:color w:val="000000"/>
        </w:rPr>
        <w:t>Za doterajší bod 54 sa vkladá nový bod 55, ktorý znie:</w:t>
      </w:r>
    </w:p>
    <w:p w:rsidR="004A4B42" w:rsidRPr="004A4B42" w:rsidP="004A4B42">
      <w:pPr>
        <w:ind w:left="708"/>
        <w:jc w:val="both"/>
        <w:rPr>
          <w:color w:val="000000"/>
        </w:rPr>
      </w:pPr>
      <w:r w:rsidRPr="004A4B42">
        <w:rPr>
          <w:color w:val="000000"/>
        </w:rPr>
        <w:t xml:space="preserve">„55. V § 108 ods. 9 sa za slovo </w:t>
      </w:r>
      <w:r w:rsidRPr="005E5E66">
        <w:t>„riaditeľstvom“</w:t>
      </w:r>
      <w:r w:rsidRPr="005E5E66">
        <w:rPr>
          <w:b/>
          <w:color w:val="FF0000"/>
        </w:rPr>
        <w:t xml:space="preserve"> </w:t>
      </w:r>
      <w:r w:rsidRPr="004A4B42">
        <w:rPr>
          <w:color w:val="000000"/>
        </w:rPr>
        <w:t xml:space="preserve">vkladajú slová „alebo správcom dane, ktorým je obec,“.“. </w:t>
      </w:r>
    </w:p>
    <w:p w:rsidR="004A4B42" w:rsidRPr="004A4B42" w:rsidP="004A4B42">
      <w:pPr>
        <w:jc w:val="both"/>
        <w:rPr>
          <w:color w:val="000000"/>
        </w:rPr>
      </w:pPr>
    </w:p>
    <w:p w:rsidR="004A4B42" w:rsidRPr="004A4B42" w:rsidP="004A4B42">
      <w:pPr>
        <w:ind w:firstLine="708"/>
        <w:jc w:val="both"/>
        <w:rPr>
          <w:color w:val="000000"/>
        </w:rPr>
      </w:pPr>
      <w:r w:rsidRPr="004A4B42">
        <w:rPr>
          <w:color w:val="000000"/>
        </w:rPr>
        <w:t xml:space="preserve">Doterajšie body sa primerane prečíslujú. </w:t>
      </w:r>
    </w:p>
    <w:p w:rsidR="004A4B42" w:rsidP="004A4B42">
      <w:pPr>
        <w:jc w:val="both"/>
      </w:pPr>
    </w:p>
    <w:p w:rsidR="004A4B42" w:rsidRPr="005E5E66" w:rsidP="004A4B42">
      <w:pPr>
        <w:ind w:left="708"/>
        <w:jc w:val="both"/>
      </w:pPr>
      <w:r w:rsidRPr="005E5E66">
        <w:t xml:space="preserve">Nový bod 55 nadobudne účinnosť 1. januára 2020, čo sa premietne v ustanovení o účinnosti pri spracúvaní čistopisu schváleného zákona. </w:t>
      </w:r>
    </w:p>
    <w:p w:rsidR="004A4B42" w:rsidRPr="004A4B42" w:rsidP="004A4B42">
      <w:pPr>
        <w:jc w:val="both"/>
        <w:rPr>
          <w:b/>
          <w:color w:val="000000"/>
        </w:rPr>
      </w:pPr>
    </w:p>
    <w:p w:rsidR="004A4B42" w:rsidRPr="004A4B42" w:rsidP="004A4B42">
      <w:pPr>
        <w:ind w:left="3969"/>
        <w:jc w:val="both"/>
        <w:rPr>
          <w:color w:val="000000"/>
        </w:rPr>
      </w:pPr>
      <w:r w:rsidRPr="004A4B42">
        <w:rPr>
          <w:color w:val="000000"/>
        </w:rPr>
        <w:t>Z dôvodu zefektívnenia exekúcie, ktorú vykonáva správca dane, ktorým je obec, sa navrhuje doplniť, aby aj obce mohli uzatvoriť dohodu s bankou na elektronické doručovania dokumentov v exekučnom konaní, rovnako ako Finančné riaditeľstvo SR.</w:t>
      </w:r>
    </w:p>
    <w:p w:rsidR="004A4B42" w:rsidP="0008702E">
      <w:pPr>
        <w:pStyle w:val="ListParagraph"/>
        <w:spacing w:after="0" w:line="240" w:lineRule="auto"/>
        <w:ind w:left="0"/>
        <w:jc w:val="both"/>
        <w:rPr>
          <w:rFonts w:ascii="Times New Roman" w:hAnsi="Times New Roman"/>
          <w:sz w:val="24"/>
          <w:szCs w:val="24"/>
        </w:rPr>
      </w:pPr>
    </w:p>
    <w:p w:rsidR="004A4B42" w:rsidP="004A4B42">
      <w:pPr>
        <w:pStyle w:val="ListParagraph"/>
        <w:spacing w:after="0" w:line="240" w:lineRule="auto"/>
        <w:ind w:left="3969"/>
        <w:jc w:val="both"/>
        <w:rPr>
          <w:rFonts w:ascii="Times New Roman" w:hAnsi="Times New Roman"/>
          <w:sz w:val="24"/>
          <w:szCs w:val="24"/>
        </w:rPr>
      </w:pPr>
    </w:p>
    <w:p w:rsidR="004A4B42" w:rsidRPr="004A4B42" w:rsidP="004A4B42">
      <w:pPr>
        <w:numPr>
          <w:ilvl w:val="0"/>
          <w:numId w:val="11"/>
        </w:numPr>
        <w:jc w:val="both"/>
        <w:rPr>
          <w:color w:val="000000"/>
        </w:rPr>
      </w:pPr>
      <w:r w:rsidRPr="004A4B42">
        <w:rPr>
          <w:b/>
          <w:color w:val="000000"/>
        </w:rPr>
        <w:t>K čl. I, 67. bodu</w:t>
      </w:r>
    </w:p>
    <w:p w:rsidR="004A4B42" w:rsidRPr="005E5E66" w:rsidP="004A4B42">
      <w:pPr>
        <w:ind w:left="708"/>
        <w:jc w:val="both"/>
      </w:pPr>
      <w:r w:rsidRPr="004A4B42">
        <w:rPr>
          <w:color w:val="000000"/>
        </w:rPr>
        <w:t xml:space="preserve">V doterajšom bode 67 </w:t>
      </w:r>
      <w:r w:rsidRPr="005E5E66">
        <w:t xml:space="preserve">v § 165i nadpise sa slovo „ustanovenie“ nahrádza slovom „ustanovenia“ a doterajší text § 165i sa označuje ako odsek 1 a dopĺňa sa odsekom 2, ktorý znie:  </w:t>
      </w:r>
    </w:p>
    <w:p w:rsidR="004A4B42" w:rsidRPr="005E5E66" w:rsidP="004A4B42">
      <w:pPr>
        <w:ind w:left="708"/>
        <w:jc w:val="both"/>
      </w:pPr>
      <w:r w:rsidRPr="004A4B42">
        <w:rPr>
          <w:color w:val="000000"/>
        </w:rPr>
        <w:t xml:space="preserve">„(2) Ustanovenie § 155 ods. 1 písm. e) v znení účinnom od 1. januára 2020 sa použije na uloženie sankcie, ak skutočnosť rozhodujúca pre uloženie sankcie nastala </w:t>
      </w:r>
      <w:r w:rsidRPr="005E5E66">
        <w:t>pred 1. januárom 2020 a pokuta uložená nebola.“.</w:t>
      </w:r>
    </w:p>
    <w:p w:rsidR="004A4B42" w:rsidRPr="004A4B42" w:rsidP="004A4B42">
      <w:pPr>
        <w:jc w:val="both"/>
        <w:rPr>
          <w:color w:val="000000"/>
        </w:rPr>
      </w:pPr>
    </w:p>
    <w:p w:rsidR="004A4B42" w:rsidRPr="004A4B42" w:rsidP="004A4B42">
      <w:pPr>
        <w:ind w:left="3540"/>
        <w:jc w:val="both"/>
        <w:rPr>
          <w:b/>
          <w:color w:val="000000"/>
        </w:rPr>
      </w:pPr>
      <w:r w:rsidRPr="004A4B42">
        <w:rPr>
          <w:color w:val="000000"/>
        </w:rPr>
        <w:t xml:space="preserve">Z dôvodu zabezpečenia právnej istoty sa navrhuje prechodné ustanovenie, podľa ktorého sa nižšia hranica pokuty bude vzťahovať aj, ak </w:t>
      </w:r>
      <w:r w:rsidRPr="005E5E66">
        <w:t>k</w:t>
      </w:r>
      <w:r w:rsidRPr="005E5E66">
        <w:rPr>
          <w:b/>
          <w:color w:val="FF0000"/>
        </w:rPr>
        <w:t xml:space="preserve"> </w:t>
      </w:r>
      <w:r w:rsidRPr="004A4B42">
        <w:rPr>
          <w:color w:val="000000"/>
        </w:rPr>
        <w:t xml:space="preserve">nesplneniu povinností  došlo pred účinnosťou zákona a pokuta uložená nebola.  </w:t>
      </w:r>
    </w:p>
    <w:p w:rsidR="004A4B42" w:rsidRPr="004A4B42" w:rsidP="004A4B42">
      <w:pPr>
        <w:pStyle w:val="ListParagraph"/>
        <w:spacing w:after="0" w:line="240" w:lineRule="auto"/>
        <w:ind w:left="3969"/>
        <w:jc w:val="both"/>
        <w:rPr>
          <w:rFonts w:ascii="Times New Roman" w:hAnsi="Times New Roman"/>
          <w:sz w:val="24"/>
          <w:szCs w:val="24"/>
        </w:rPr>
      </w:pPr>
    </w:p>
    <w:p w:rsidR="004A4B42" w:rsidRPr="004A4B42" w:rsidP="004A4B42">
      <w:pPr>
        <w:jc w:val="both"/>
      </w:pPr>
    </w:p>
    <w:p w:rsidR="004A4B42" w:rsidRPr="004A4B42" w:rsidP="004A4B42">
      <w:pPr>
        <w:pStyle w:val="ListParagraph"/>
        <w:numPr>
          <w:ilvl w:val="0"/>
          <w:numId w:val="11"/>
        </w:numPr>
        <w:spacing w:after="0" w:line="240" w:lineRule="auto"/>
        <w:jc w:val="both"/>
        <w:rPr>
          <w:rFonts w:ascii="Times New Roman" w:hAnsi="Times New Roman"/>
          <w:b/>
          <w:sz w:val="24"/>
          <w:szCs w:val="24"/>
        </w:rPr>
      </w:pPr>
      <w:r w:rsidRPr="004A4B42">
        <w:rPr>
          <w:rFonts w:ascii="Times New Roman" w:hAnsi="Times New Roman"/>
          <w:b/>
          <w:sz w:val="24"/>
          <w:szCs w:val="24"/>
        </w:rPr>
        <w:t xml:space="preserve">K čl. II, 13. bodu </w:t>
      </w:r>
    </w:p>
    <w:p w:rsidR="004A4B42" w:rsidRPr="004A4B42" w:rsidP="004A4B42">
      <w:pPr>
        <w:ind w:firstLine="708"/>
        <w:jc w:val="both"/>
      </w:pPr>
      <w:r w:rsidRPr="004A4B42">
        <w:t xml:space="preserve">V čl. II, 13. bod znie: </w:t>
      </w:r>
    </w:p>
    <w:p w:rsidR="004A4B42" w:rsidRPr="004A4B42" w:rsidP="004A4B42">
      <w:pPr>
        <w:ind w:firstLine="708"/>
        <w:jc w:val="both"/>
        <w:rPr>
          <w:b/>
        </w:rPr>
      </w:pPr>
      <w:r w:rsidRPr="004A4B42">
        <w:t>„13.</w:t>
      </w:r>
      <w:r w:rsidRPr="004A4B42">
        <w:rPr>
          <w:b/>
        </w:rPr>
        <w:t xml:space="preserve"> </w:t>
      </w:r>
      <w:r w:rsidRPr="004A4B42">
        <w:rPr>
          <w:color w:val="000000"/>
        </w:rPr>
        <w:t>§ 16 sa dopĺňa odsekom 3, ktorý znie:</w:t>
      </w:r>
    </w:p>
    <w:p w:rsidR="004A4B42" w:rsidRPr="004A4B42" w:rsidP="004A4B42">
      <w:pPr>
        <w:ind w:left="708"/>
        <w:jc w:val="both"/>
        <w:rPr>
          <w:color w:val="000000"/>
        </w:rPr>
      </w:pPr>
      <w:r w:rsidRPr="004A4B42">
        <w:rPr>
          <w:color w:val="000000"/>
        </w:rPr>
        <w:t>„(3) Daňový</w:t>
      </w:r>
      <w:r w:rsidRPr="004A4B42">
        <w:rPr>
          <w:color w:val="000000"/>
          <w:spacing w:val="99"/>
        </w:rPr>
        <w:t xml:space="preserve"> </w:t>
      </w:r>
      <w:r w:rsidRPr="004A4B42">
        <w:rPr>
          <w:color w:val="000000"/>
        </w:rPr>
        <w:t>poradca</w:t>
      </w:r>
      <w:r w:rsidRPr="004A4B42">
        <w:rPr>
          <w:color w:val="000000"/>
          <w:spacing w:val="99"/>
        </w:rPr>
        <w:t xml:space="preserve"> </w:t>
      </w:r>
      <w:r w:rsidRPr="004A4B42">
        <w:rPr>
          <w:color w:val="000000"/>
        </w:rPr>
        <w:t>spracúva</w:t>
      </w:r>
      <w:r w:rsidRPr="004A4B42">
        <w:rPr>
          <w:color w:val="000000"/>
          <w:spacing w:val="99"/>
        </w:rPr>
        <w:t xml:space="preserve"> </w:t>
      </w:r>
      <w:r w:rsidRPr="004A4B42">
        <w:rPr>
          <w:color w:val="000000"/>
        </w:rPr>
        <w:t>osobné</w:t>
      </w:r>
      <w:r w:rsidRPr="004A4B42">
        <w:rPr>
          <w:color w:val="000000"/>
          <w:spacing w:val="99"/>
        </w:rPr>
        <w:t xml:space="preserve"> </w:t>
      </w:r>
      <w:r w:rsidRPr="004A4B42">
        <w:rPr>
          <w:color w:val="000000"/>
        </w:rPr>
        <w:t>údaje</w:t>
      </w:r>
      <w:r w:rsidRPr="004A4B42">
        <w:rPr>
          <w:color w:val="000000"/>
          <w:spacing w:val="99"/>
        </w:rPr>
        <w:t xml:space="preserve"> </w:t>
      </w:r>
      <w:r w:rsidRPr="004A4B42">
        <w:rPr>
          <w:color w:val="000000"/>
        </w:rPr>
        <w:t>klientov</w:t>
      </w:r>
      <w:r w:rsidRPr="004A4B42">
        <w:rPr>
          <w:color w:val="000000"/>
          <w:spacing w:val="99"/>
        </w:rPr>
        <w:t xml:space="preserve"> </w:t>
      </w:r>
      <w:r w:rsidRPr="004A4B42">
        <w:rPr>
          <w:color w:val="000000"/>
        </w:rPr>
        <w:t>a iných</w:t>
      </w:r>
      <w:r w:rsidRPr="004A4B42">
        <w:rPr>
          <w:color w:val="000000"/>
          <w:spacing w:val="99"/>
        </w:rPr>
        <w:t xml:space="preserve"> </w:t>
      </w:r>
      <w:r w:rsidRPr="004A4B42">
        <w:rPr>
          <w:color w:val="000000"/>
        </w:rPr>
        <w:t>fyzických</w:t>
      </w:r>
      <w:r w:rsidRPr="004A4B42">
        <w:rPr>
          <w:color w:val="000000"/>
          <w:spacing w:val="99"/>
        </w:rPr>
        <w:t xml:space="preserve"> </w:t>
      </w:r>
      <w:r w:rsidRPr="004A4B42">
        <w:rPr>
          <w:color w:val="000000"/>
        </w:rPr>
        <w:t>osôb</w:t>
      </w:r>
      <w:r w:rsidRPr="004A4B42">
        <w:rPr>
          <w:color w:val="000000"/>
          <w:spacing w:val="99"/>
        </w:rPr>
        <w:t xml:space="preserve"> </w:t>
      </w:r>
      <w:r w:rsidRPr="004A4B42">
        <w:rPr>
          <w:color w:val="000000"/>
        </w:rPr>
        <w:t>v rozsahu nevyhnutnom</w:t>
      </w:r>
      <w:r w:rsidRPr="004A4B42">
        <w:rPr>
          <w:color w:val="000000"/>
          <w:spacing w:val="131"/>
        </w:rPr>
        <w:t xml:space="preserve"> </w:t>
      </w:r>
      <w:r w:rsidRPr="004A4B42">
        <w:rPr>
          <w:color w:val="000000"/>
        </w:rPr>
        <w:t>na</w:t>
      </w:r>
      <w:r w:rsidRPr="004A4B42">
        <w:rPr>
          <w:color w:val="000000"/>
          <w:spacing w:val="131"/>
        </w:rPr>
        <w:t xml:space="preserve"> </w:t>
      </w:r>
      <w:r w:rsidRPr="004A4B42">
        <w:rPr>
          <w:color w:val="000000"/>
        </w:rPr>
        <w:t>účely</w:t>
      </w:r>
      <w:r w:rsidRPr="004A4B42">
        <w:rPr>
          <w:color w:val="000000"/>
          <w:spacing w:val="131"/>
        </w:rPr>
        <w:t xml:space="preserve"> </w:t>
      </w:r>
      <w:r w:rsidRPr="004A4B42">
        <w:rPr>
          <w:color w:val="000000"/>
        </w:rPr>
        <w:t>poskytovania</w:t>
      </w:r>
      <w:r w:rsidRPr="004A4B42">
        <w:rPr>
          <w:color w:val="000000"/>
          <w:spacing w:val="131"/>
        </w:rPr>
        <w:t xml:space="preserve"> </w:t>
      </w:r>
      <w:r w:rsidRPr="004A4B42">
        <w:rPr>
          <w:color w:val="000000"/>
        </w:rPr>
        <w:t>daňového</w:t>
      </w:r>
      <w:r w:rsidRPr="004A4B42">
        <w:rPr>
          <w:color w:val="000000"/>
          <w:spacing w:val="131"/>
        </w:rPr>
        <w:t xml:space="preserve"> </w:t>
      </w:r>
      <w:r w:rsidRPr="004A4B42">
        <w:rPr>
          <w:color w:val="000000"/>
        </w:rPr>
        <w:t>poradenstva</w:t>
      </w:r>
      <w:r w:rsidRPr="004A4B42">
        <w:rPr>
          <w:color w:val="000000"/>
          <w:spacing w:val="131"/>
        </w:rPr>
        <w:t xml:space="preserve"> </w:t>
      </w:r>
      <w:r w:rsidRPr="004A4B42">
        <w:rPr>
          <w:color w:val="000000"/>
        </w:rPr>
        <w:t>v súlade</w:t>
      </w:r>
      <w:r w:rsidRPr="004A4B42">
        <w:rPr>
          <w:color w:val="000000"/>
          <w:spacing w:val="131"/>
        </w:rPr>
        <w:t xml:space="preserve"> </w:t>
      </w:r>
      <w:r w:rsidRPr="004A4B42">
        <w:rPr>
          <w:color w:val="000000"/>
        </w:rPr>
        <w:t>s</w:t>
      </w:r>
      <w:r w:rsidR="0008702E">
        <w:rPr>
          <w:color w:val="000000"/>
        </w:rPr>
        <w:t> </w:t>
      </w:r>
      <w:r w:rsidRPr="004A4B42">
        <w:rPr>
          <w:color w:val="000000"/>
        </w:rPr>
        <w:t>týmto</w:t>
      </w:r>
      <w:r w:rsidR="0008702E">
        <w:rPr>
          <w:color w:val="000000"/>
          <w:spacing w:val="131"/>
        </w:rPr>
        <w:t xml:space="preserve"> </w:t>
      </w:r>
      <w:r w:rsidR="0008702E">
        <w:rPr>
          <w:color w:val="000000"/>
        </w:rPr>
        <w:t xml:space="preserve">zákonom </w:t>
      </w:r>
      <w:r w:rsidRPr="004A4B42">
        <w:rPr>
          <w:color w:val="000000"/>
        </w:rPr>
        <w:t>podľa osobitného predpisu,</w:t>
      </w:r>
      <w:r w:rsidRPr="004A4B42">
        <w:rPr>
          <w:vertAlign w:val="superscript"/>
        </w:rPr>
        <w:t>5a</w:t>
      </w:r>
      <w:r w:rsidRPr="004A4B42">
        <w:t>)</w:t>
      </w:r>
      <w:r w:rsidRPr="004A4B42">
        <w:rPr>
          <w:color w:val="000000"/>
          <w:spacing w:val="9"/>
        </w:rPr>
        <w:t xml:space="preserve"> </w:t>
      </w:r>
      <w:r w:rsidRPr="004A4B42">
        <w:rPr>
          <w:color w:val="000000"/>
        </w:rPr>
        <w:t>pričom</w:t>
      </w:r>
      <w:r w:rsidRPr="004A4B42">
        <w:rPr>
          <w:color w:val="000000"/>
          <w:spacing w:val="9"/>
        </w:rPr>
        <w:t xml:space="preserve"> </w:t>
      </w:r>
      <w:r w:rsidRPr="004A4B42">
        <w:rPr>
          <w:color w:val="000000"/>
        </w:rPr>
        <w:t>má</w:t>
      </w:r>
      <w:r w:rsidRPr="004A4B42">
        <w:rPr>
          <w:color w:val="000000"/>
          <w:spacing w:val="9"/>
        </w:rPr>
        <w:t xml:space="preserve"> </w:t>
      </w:r>
      <w:r w:rsidRPr="004A4B42">
        <w:rPr>
          <w:color w:val="000000"/>
        </w:rPr>
        <w:t>pri</w:t>
      </w:r>
      <w:r w:rsidRPr="004A4B42">
        <w:rPr>
          <w:color w:val="000000"/>
          <w:spacing w:val="9"/>
        </w:rPr>
        <w:t xml:space="preserve"> </w:t>
      </w:r>
      <w:r w:rsidRPr="004A4B42">
        <w:rPr>
          <w:color w:val="000000"/>
        </w:rPr>
        <w:t>spracúvaní</w:t>
      </w:r>
      <w:r w:rsidRPr="004A4B42">
        <w:rPr>
          <w:color w:val="000000"/>
          <w:spacing w:val="9"/>
        </w:rPr>
        <w:t xml:space="preserve"> </w:t>
      </w:r>
      <w:r w:rsidRPr="004A4B42">
        <w:rPr>
          <w:color w:val="000000"/>
        </w:rPr>
        <w:t>osobných</w:t>
      </w:r>
      <w:r w:rsidRPr="004A4B42">
        <w:rPr>
          <w:color w:val="000000"/>
          <w:spacing w:val="9"/>
        </w:rPr>
        <w:t xml:space="preserve"> </w:t>
      </w:r>
      <w:r w:rsidRPr="004A4B42">
        <w:rPr>
          <w:color w:val="000000"/>
        </w:rPr>
        <w:t>údajov</w:t>
      </w:r>
      <w:r w:rsidRPr="004A4B42">
        <w:rPr>
          <w:color w:val="000000"/>
          <w:spacing w:val="9"/>
        </w:rPr>
        <w:t xml:space="preserve"> </w:t>
      </w:r>
      <w:r w:rsidRPr="004A4B42">
        <w:rPr>
          <w:color w:val="000000"/>
        </w:rPr>
        <w:t>postavenie</w:t>
      </w:r>
      <w:r w:rsidRPr="004A4B42">
        <w:rPr>
          <w:color w:val="000000"/>
          <w:spacing w:val="9"/>
        </w:rPr>
        <w:t xml:space="preserve"> </w:t>
      </w:r>
      <w:r w:rsidRPr="004A4B42">
        <w:rPr>
          <w:color w:val="000000"/>
        </w:rPr>
        <w:t>prevádzkovateľa podľa osobitného predpisu.</w:t>
      </w:r>
      <w:r w:rsidRPr="004A4B42">
        <w:rPr>
          <w:color w:val="000000"/>
          <w:vertAlign w:val="superscript"/>
        </w:rPr>
        <w:t>5b</w:t>
      </w:r>
      <w:r w:rsidRPr="004A4B42">
        <w:rPr>
          <w:color w:val="000000"/>
        </w:rPr>
        <w:t>)“.</w:t>
      </w:r>
    </w:p>
    <w:p w:rsidR="004A4B42" w:rsidRPr="004A4B42" w:rsidP="004A4B42">
      <w:pPr>
        <w:jc w:val="both"/>
      </w:pPr>
    </w:p>
    <w:p w:rsidR="004A4B42" w:rsidRPr="004A4B42" w:rsidP="004A4B42">
      <w:pPr>
        <w:ind w:firstLine="708"/>
        <w:jc w:val="both"/>
      </w:pPr>
      <w:r w:rsidRPr="004A4B42">
        <w:rPr>
          <w:color w:val="000000"/>
        </w:rPr>
        <w:t xml:space="preserve">Poznámky pod čiarou k odkazom 5a a 5b znenú: </w:t>
      </w:r>
    </w:p>
    <w:p w:rsidR="004A4B42" w:rsidRPr="004A4B42" w:rsidP="004A4B42">
      <w:pPr>
        <w:ind w:left="708"/>
        <w:jc w:val="both"/>
      </w:pPr>
      <w:r w:rsidRPr="004A4B42">
        <w:rPr>
          <w:color w:val="000000"/>
        </w:rPr>
        <w:t>„</w:t>
      </w:r>
      <w:r w:rsidRPr="004A4B42">
        <w:rPr>
          <w:color w:val="000000"/>
          <w:vertAlign w:val="superscript"/>
        </w:rPr>
        <w:t>5a</w:t>
      </w:r>
      <w:r w:rsidRPr="004A4B42">
        <w:rPr>
          <w:color w:val="000000"/>
        </w:rPr>
        <w:t>)</w:t>
      </w:r>
      <w:r w:rsidRPr="004A4B42">
        <w:t xml:space="preserve"> Zákon č. 18/2018 Z. z. o ochrane osobných údajov a o zmene a doplnení niektorých zákonov v znení neskorších predpisov.</w:t>
      </w:r>
    </w:p>
    <w:p w:rsidR="004A4B42" w:rsidRPr="004A4B42" w:rsidP="004A4B42">
      <w:pPr>
        <w:ind w:left="708"/>
        <w:jc w:val="both"/>
      </w:pPr>
      <w:r w:rsidRPr="004A4B42">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4A4B42" w:rsidRPr="004A4B42" w:rsidP="004A4B42">
      <w:pPr>
        <w:ind w:firstLine="708"/>
        <w:jc w:val="both"/>
      </w:pPr>
      <w:r w:rsidRPr="004A4B42">
        <w:rPr>
          <w:vertAlign w:val="superscript"/>
        </w:rPr>
        <w:t>5b</w:t>
      </w:r>
      <w:r w:rsidRPr="004A4B42">
        <w:t xml:space="preserve">) Čl. 4 ods. 7 nariadenia (EÚ) 2016/679.“.“. </w:t>
      </w:r>
    </w:p>
    <w:p w:rsidR="004A4B42" w:rsidRPr="004A4B42" w:rsidP="004A4B42">
      <w:pPr>
        <w:ind w:left="3969"/>
        <w:jc w:val="both"/>
      </w:pPr>
    </w:p>
    <w:p w:rsidR="004A4B42" w:rsidRPr="004A4B42" w:rsidP="004A4B42">
      <w:pPr>
        <w:ind w:left="3544"/>
        <w:jc w:val="both"/>
      </w:pPr>
      <w:r w:rsidRPr="004A4B42">
        <w:t xml:space="preserve">Pozmeňujúci návrh v zmysle navrhovaného ustanovenia dopĺňa  odkaz a poznámku pod čiarou s citáciou príslušných právnych predpisov týkajúcich sa spracovávania osobných údaje klientov daňového poradcu v rozsahu nevyhnutnom na účely poskytovania daňového poradenstva. </w:t>
      </w:r>
    </w:p>
    <w:p w:rsidR="00CE19BB" w:rsidP="00CE19BB"/>
    <w:p w:rsidR="004A4B42" w:rsidP="00CE19BB"/>
    <w:p w:rsidR="004A4B42" w:rsidRPr="005E5E66" w:rsidP="004A4B42">
      <w:pPr>
        <w:numPr>
          <w:ilvl w:val="0"/>
          <w:numId w:val="11"/>
        </w:numPr>
        <w:jc w:val="both"/>
        <w:rPr>
          <w:b/>
          <w:color w:val="FF0000"/>
        </w:rPr>
      </w:pPr>
      <w:r w:rsidRPr="004A4B42">
        <w:rPr>
          <w:b/>
          <w:color w:val="000000"/>
        </w:rPr>
        <w:t>K čl. IV, 17. bodu</w:t>
      </w:r>
    </w:p>
    <w:p w:rsidR="004A4B42" w:rsidRPr="005E5E66" w:rsidP="004A4B42">
      <w:pPr>
        <w:ind w:firstLine="708"/>
        <w:jc w:val="both"/>
        <w:rPr>
          <w:b/>
          <w:color w:val="FF0000"/>
        </w:rPr>
      </w:pPr>
      <w:r w:rsidRPr="004A4B42">
        <w:rPr>
          <w:color w:val="000000"/>
        </w:rPr>
        <w:t xml:space="preserve">V doterajšom bode </w:t>
      </w:r>
      <w:r w:rsidRPr="005E5E66">
        <w:t>17</w:t>
      </w:r>
      <w:r w:rsidRPr="005E5E66">
        <w:rPr>
          <w:b/>
        </w:rPr>
        <w:t xml:space="preserve"> </w:t>
      </w:r>
      <w:r w:rsidRPr="005E5E66">
        <w:t>sa §</w:t>
      </w:r>
      <w:r>
        <w:t xml:space="preserve"> </w:t>
      </w:r>
      <w:r w:rsidRPr="005E5E66">
        <w:t>18cg dopĺňa odsekmi</w:t>
      </w:r>
      <w:r w:rsidRPr="005E5E66">
        <w:rPr>
          <w:b/>
          <w:color w:val="FF0000"/>
        </w:rPr>
        <w:t xml:space="preserve"> </w:t>
      </w:r>
      <w:r w:rsidRPr="004A4B42">
        <w:rPr>
          <w:color w:val="000000"/>
        </w:rPr>
        <w:t xml:space="preserve">5 a 6, ktoré znejú: </w:t>
      </w:r>
    </w:p>
    <w:p w:rsidR="004A4B42" w:rsidRPr="005E5E66" w:rsidP="004A4B42">
      <w:pPr>
        <w:ind w:left="708"/>
        <w:jc w:val="both"/>
      </w:pPr>
      <w:r w:rsidRPr="004A4B42">
        <w:rPr>
          <w:color w:val="000000"/>
        </w:rPr>
        <w:t xml:space="preserve">„(5) </w:t>
      </w:r>
      <w:r w:rsidRPr="005E5E66">
        <w:t>Konanie o uložení sankcie podľa zákona v znení účinnom do 31. decembra 2019, ktoré sa právoplatne neskončilo do 31. decembra 2019, sa dokončí podľa zákona v znení účinnom do 31. decembra 2019.</w:t>
      </w:r>
    </w:p>
    <w:p w:rsidR="004A4B42" w:rsidRPr="005E5E66" w:rsidP="004A4B42">
      <w:pPr>
        <w:ind w:left="708"/>
        <w:jc w:val="both"/>
      </w:pPr>
      <w:r w:rsidRPr="005E5E66">
        <w:t>(6) Za porušenie ustanovení zákona v znení účinnom do 31. decembra 2019, o ktorom sa do</w:t>
        <w:br/>
        <w:t xml:space="preserve">31. decembra 2019 neviedlo konanie, sa uloží sankcia podľa zákona v znení účinnom do </w:t>
        <w:br/>
        <w:t>31. decembra 2019, ak je to pre podnikateľa priaznivejšie.“.</w:t>
      </w:r>
    </w:p>
    <w:p w:rsidR="004A4B42" w:rsidRPr="004A4B42" w:rsidP="004A4B42">
      <w:pPr>
        <w:jc w:val="both"/>
        <w:rPr>
          <w:color w:val="000000"/>
        </w:rPr>
      </w:pPr>
    </w:p>
    <w:p w:rsidR="004A4B42" w:rsidRPr="005E5E66" w:rsidP="004A4B42">
      <w:pPr>
        <w:ind w:left="3540"/>
        <w:jc w:val="both"/>
        <w:rPr>
          <w:bCs w:val="0"/>
        </w:rPr>
      </w:pPr>
      <w:r w:rsidRPr="005E5E66">
        <w:rPr>
          <w:bCs w:val="0"/>
        </w:rPr>
        <w:t>Nadväzne na zmenu pri ukladaní pokuty za nesplnenie povinnosti vyplývajúcej z § 3 ods. 8, t. j. že podnikateľovi nebude pri prvom zistení porušenia uložená pokuta za to, že nesprístupnil oznámenie o tom, že nie je povinný používať pokladnicu e-kasa klient sa v záujme jednoznačnosti navrhujú prechodné ustanovenia.</w:t>
      </w:r>
    </w:p>
    <w:p w:rsidR="004A4B42" w:rsidRPr="00CE19BB" w:rsidP="00CE19BB"/>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02E">
      <w:rPr>
        <w:rStyle w:val="PageNumber"/>
        <w:noProof/>
      </w:rPr>
      <w:t>4</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DC9"/>
    <w:multiLevelType w:val="hybridMultilevel"/>
    <w:tmpl w:val="C8969E34"/>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AE1514"/>
    <w:multiLevelType w:val="hybridMultilevel"/>
    <w:tmpl w:val="BEF43F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3">
    <w:nsid w:val="28545FD3"/>
    <w:multiLevelType w:val="hybridMultilevel"/>
    <w:tmpl w:val="C3E484EA"/>
    <w:lvl w:ilvl="0">
      <w:start w:val="1"/>
      <w:numFmt w:val="decimal"/>
      <w:lvlText w:val="%1."/>
      <w:lvlJc w:val="left"/>
      <w:pPr>
        <w:ind w:left="786"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5">
    <w:nsid w:val="4B5E2168"/>
    <w:multiLevelType w:val="hybridMultilevel"/>
    <w:tmpl w:val="931638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E966FC6"/>
    <w:multiLevelType w:val="hybridMultilevel"/>
    <w:tmpl w:val="94F4E2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8">
    <w:nsid w:val="7E6C420D"/>
    <w:multiLevelType w:val="hybridMultilevel"/>
    <w:tmpl w:val="536476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3"/>
  </w:num>
  <w:num w:numId="6">
    <w:abstractNumId w:val="2"/>
  </w:num>
  <w:num w:numId="7">
    <w:abstractNumId w:val="6"/>
  </w:num>
  <w:num w:numId="8">
    <w:abstractNumId w:val="1"/>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aliases w:val="Odsek,Odsek zoznamu1,Odsek zoznamu2,body"/>
    <w:basedOn w:val="Normal"/>
    <w:link w:val="OdsekzoznamuChar"/>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character" w:customStyle="1" w:styleId="awspan1">
    <w:name w:val="awspan1"/>
    <w:rsid w:val="004A4B42"/>
    <w:rPr>
      <w:color w:val="000000"/>
      <w:sz w:val="24"/>
      <w:szCs w:val="24"/>
    </w:rPr>
  </w:style>
  <w:style w:type="character" w:customStyle="1" w:styleId="OdsekzoznamuChar">
    <w:name w:val="Odsek zoznamu Char"/>
    <w:aliases w:val="Odsek Char,Odsek zoznamu1 Char,Odsek zoznamu2 Char,body Char"/>
    <w:link w:val="ListParagraph"/>
    <w:uiPriority w:val="34"/>
    <w:locked/>
    <w:rsid w:val="004A4B4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EDCC7-E7ED-4604-B157-5B5B3DD1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Pages>
  <Words>1096</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Ďurinová, Petra</cp:lastModifiedBy>
  <cp:revision>370</cp:revision>
  <cp:lastPrinted>2016-10-04T12:51:00Z</cp:lastPrinted>
  <dcterms:created xsi:type="dcterms:W3CDTF">2003-06-05T10:59:00Z</dcterms:created>
  <dcterms:modified xsi:type="dcterms:W3CDTF">2019-10-10T14:36:00Z</dcterms:modified>
</cp:coreProperties>
</file>