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14FB" w:rsidRPr="00FC1A21" w:rsidP="00085834">
      <w:pPr>
        <w:tabs>
          <w:tab w:val="left" w:pos="567"/>
        </w:tabs>
      </w:pPr>
      <w:r w:rsidRPr="00FC1A21">
        <w:tab/>
        <w:tab/>
        <w:tab/>
        <w:tab/>
        <w:tab/>
        <w:tab/>
        <w:tab/>
        <w:tab/>
        <w:tab/>
        <w:tab/>
      </w:r>
      <w:r w:rsidR="001C434D">
        <w:t>59</w:t>
      </w:r>
      <w:r w:rsidRPr="00FC1A21" w:rsidR="009C331B">
        <w:t xml:space="preserve">. schôdza </w:t>
      </w:r>
      <w:r w:rsidRPr="00FC1A21" w:rsidR="00B609E0">
        <w:t>výboru</w:t>
      </w:r>
    </w:p>
    <w:p w:rsidR="00B20E25" w:rsidRPr="00B20E25" w:rsidP="00B20E25">
      <w:pPr>
        <w:ind w:left="5664"/>
        <w:outlineLvl w:val="0"/>
      </w:pPr>
      <w:r w:rsidRPr="00FC1A21" w:rsidR="000C14FB">
        <w:tab/>
      </w:r>
      <w:r w:rsidRPr="00B20E25">
        <w:t>CRD-252-</w:t>
      </w:r>
      <w:r w:rsidR="006C582E">
        <w:t>3</w:t>
      </w:r>
      <w:r w:rsidRPr="00B20E25">
        <w:t>/2019-VEZ</w:t>
      </w:r>
    </w:p>
    <w:p w:rsidR="000C0138" w:rsidRPr="00FC1A21" w:rsidP="00AC2F2D">
      <w:pPr>
        <w:tabs>
          <w:tab w:val="left" w:pos="567"/>
        </w:tabs>
        <w:jc w:val="center"/>
        <w:rPr>
          <w:b/>
          <w:sz w:val="28"/>
          <w:szCs w:val="28"/>
          <w:highlight w:val="yellow"/>
        </w:rPr>
      </w:pPr>
    </w:p>
    <w:p w:rsidR="00AC2F2D" w:rsidRPr="00FC1A21" w:rsidP="00AC2F2D">
      <w:pPr>
        <w:tabs>
          <w:tab w:val="left" w:pos="567"/>
        </w:tabs>
        <w:jc w:val="center"/>
        <w:rPr>
          <w:b/>
          <w:sz w:val="28"/>
          <w:szCs w:val="28"/>
        </w:rPr>
      </w:pPr>
      <w:r w:rsidR="00F8240E">
        <w:rPr>
          <w:b/>
          <w:sz w:val="28"/>
          <w:szCs w:val="28"/>
        </w:rPr>
        <w:t>163</w:t>
      </w:r>
    </w:p>
    <w:p w:rsidR="00B35305" w:rsidRPr="00FC1A21" w:rsidP="00AC2F2D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766A9" w:rsidRPr="00FC1A21" w:rsidP="002766A9">
      <w:pPr>
        <w:tabs>
          <w:tab w:val="left" w:pos="567"/>
        </w:tabs>
        <w:jc w:val="center"/>
        <w:rPr>
          <w:b/>
        </w:rPr>
      </w:pPr>
      <w:r w:rsidRPr="00FC1A21">
        <w:rPr>
          <w:b/>
        </w:rPr>
        <w:t>U z n e s e n i e</w:t>
      </w:r>
    </w:p>
    <w:p w:rsidR="00AC2F2D" w:rsidRPr="00FC1A21" w:rsidP="00AC2F2D">
      <w:pPr>
        <w:tabs>
          <w:tab w:val="left" w:pos="567"/>
        </w:tabs>
        <w:jc w:val="center"/>
        <w:rPr>
          <w:b/>
        </w:rPr>
      </w:pPr>
      <w:r w:rsidRPr="00FC1A21">
        <w:rPr>
          <w:b/>
        </w:rPr>
        <w:t xml:space="preserve">Výboru Národnej rady Slovenskej republiky pre </w:t>
      </w:r>
      <w:r w:rsidRPr="00FC1A21" w:rsidR="00D6125A">
        <w:rPr>
          <w:b/>
        </w:rPr>
        <w:t>európske</w:t>
      </w:r>
      <w:r w:rsidRPr="00FC1A21">
        <w:rPr>
          <w:b/>
        </w:rPr>
        <w:t xml:space="preserve"> záležitosti</w:t>
      </w:r>
    </w:p>
    <w:p w:rsidR="00AC2F2D" w:rsidRPr="00FC1A21" w:rsidP="00AC2F2D">
      <w:pPr>
        <w:tabs>
          <w:tab w:val="left" w:pos="567"/>
        </w:tabs>
        <w:jc w:val="center"/>
      </w:pPr>
      <w:r w:rsidRPr="00FC1A21" w:rsidR="00804C48">
        <w:t xml:space="preserve">zo </w:t>
      </w:r>
      <w:r w:rsidR="00B20E25">
        <w:t>7</w:t>
      </w:r>
      <w:r w:rsidRPr="00FC1A21" w:rsidR="00CC368D">
        <w:t xml:space="preserve">. </w:t>
      </w:r>
      <w:r w:rsidR="00B20E25">
        <w:t>februára</w:t>
      </w:r>
      <w:r w:rsidRPr="00FC1A21" w:rsidR="00E559C7">
        <w:t xml:space="preserve"> </w:t>
      </w:r>
      <w:r w:rsidRPr="00FC1A21">
        <w:t>201</w:t>
      </w:r>
      <w:r w:rsidR="00B20E25">
        <w:t>9</w:t>
      </w:r>
    </w:p>
    <w:p w:rsidR="00AC2F2D" w:rsidRPr="00FC1A21" w:rsidP="00AC2F2D">
      <w:pPr>
        <w:tabs>
          <w:tab w:val="left" w:pos="567"/>
        </w:tabs>
        <w:jc w:val="center"/>
      </w:pPr>
      <w:r w:rsidRPr="00FC1A21">
        <w:t>k</w:t>
      </w:r>
    </w:p>
    <w:p w:rsidR="00AC2F2D" w:rsidRPr="00FC1A21" w:rsidP="00DB3171">
      <w:pPr>
        <w:tabs>
          <w:tab w:val="left" w:pos="567"/>
        </w:tabs>
        <w:jc w:val="both"/>
      </w:pPr>
      <w:r w:rsidRPr="00FC1A21">
        <w:t>informácii o nových návrhoch právnych aktov EÚ a o predbežných stanoviskách predložených v súl</w:t>
      </w:r>
      <w:r w:rsidRPr="00FC1A21">
        <w:t>ade s § 58a. ods. 8 rokovacieho poriadku Národnej rady Slovenskej republiky</w:t>
      </w:r>
    </w:p>
    <w:p w:rsidR="00AC2F2D" w:rsidRPr="00FC1A21" w:rsidP="00AC2F2D">
      <w:pPr>
        <w:pStyle w:val="Heading2"/>
        <w:tabs>
          <w:tab w:val="left" w:pos="567"/>
        </w:tabs>
        <w:spacing w:before="0" w:after="0" w:line="240" w:lineRule="auto"/>
        <w:ind w:left="0"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AC2F2D" w:rsidRPr="00FC1A21" w:rsidP="00AC2F2D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C1A21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FC1A21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FC1A21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FC1A21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FC1A21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FC1A21" w:rsidP="00AC2F2D">
      <w:pPr>
        <w:rPr>
          <w:b/>
        </w:rPr>
      </w:pPr>
    </w:p>
    <w:p w:rsidR="00D10C35" w:rsidRPr="00FC1A21" w:rsidP="00384460">
      <w:pPr>
        <w:numPr>
          <w:ilvl w:val="0"/>
          <w:numId w:val="2"/>
        </w:numPr>
        <w:jc w:val="both"/>
        <w:rPr>
          <w:b/>
        </w:rPr>
      </w:pPr>
      <w:r w:rsidRPr="00FC1A21" w:rsidR="00AC2F2D">
        <w:rPr>
          <w:b/>
        </w:rPr>
        <w:t>berie na vedomie</w:t>
      </w:r>
    </w:p>
    <w:p w:rsidR="008E625D" w:rsidRPr="00FC1A21" w:rsidP="002C53AD">
      <w:pPr>
        <w:tabs>
          <w:tab w:val="left" w:pos="1134"/>
        </w:tabs>
        <w:jc w:val="both"/>
        <w:rPr>
          <w:b/>
        </w:rPr>
      </w:pPr>
    </w:p>
    <w:p w:rsidR="00451E3C" w:rsidRPr="00451E3C" w:rsidP="00451E3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Správa Komisie – Výročná správa za rok 2017 o uplatňovaní zásad subsidiarity a proporcionality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490;</w:t>
      </w:r>
    </w:p>
    <w:p w:rsidR="00451E3C" w:rsidRPr="008544A2" w:rsidP="00451E3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– Výročná správa za rok 2017 o vzťahoch medzi Európskou komisiou a národnými parlamentmi,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491;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9340A6" w:rsidRPr="00794F16" w:rsidP="00934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v skupine expertov pre Európsku dohodu Eu</w:t>
      </w: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rópskej hospodárskej komisie Organizácie Spojených národov o práci osádok vozidiel v medzinárodnej cestnej doprave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664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Rade v súlade s článkom 395 smernice Rady 2006/112/ES,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666;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Rade - Európsky rozvojový fond (ERF): prognózy záväzkov, platieb a príspevkov členských štátov na roky 2018, 2019, 2020 a nezáväzná prognóza na roky 2021-2022,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689;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Dohody o voľnom obchode medzi Európsko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u úniou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Vietnamskou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socialistickou republikou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691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podpísaní Dohody o voľnom obchode medzi Európskou úniou a Vietnamskou socialistickou republikou v mene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692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né stanovisko;</w:t>
      </w:r>
    </w:p>
    <w:p w:rsidR="00794F16" w:rsidRPr="00D13252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Dohody o ochrane investícií medzi Európskou úniou a jej členskými štátmi na jednej strane a Vietnamskou socialistickou republikou na strane druhej v mene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693;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podpísaní Dohody o ochrane investícií medzi Európskou úniou a jej členskými štátmi na jednej strane a Vietnamskou socialistickou republikou na strane druhej v mene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694;</w:t>
      </w:r>
    </w:p>
    <w:p w:rsidR="00794F16" w:rsidRPr="008544A2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Akčného plánu na posilnenie európskej reakcie na podvody týkajúce sa cestovných dokladov,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696;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Rade, Európskemu hospodárskemu a sociálnemu výboru a Výboru regiónov - Zhrnutie súhrnnej správy o fungovaní nariadenia (EÚ) č. 649/2012 o vývoze a dovoze nebezpečných chemikálií,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697; 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nariadenia (ES) č. 561/2006 o harmonizácii niektorých právnych predpisov v sociálnej oblasti, ktoré sa týkajú cestnej dopravy, a smernice 2002/15/ES o organizácii pracovnej doby osôb vykonávajúcich mobilné činnosti v cestnej doprave, v rokoch 2015 – 2016,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698;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Plnenie záväzkov EÚ v oblasti potravinovej a výživovej bezpečnosti: tretia dvojročná správa,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699;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Rade a Európskemu parlamentu – Pätnásta správa – prehľad opatrení tretích krajín na ochranu obchodu uplatňovaných voči Európskej únii za rok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701;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Európskemu parlamentu, Európskej rade, Rade, Európskemu hospodárskemu a sociálnemu výboru a Výboru regiónov –  Zásady subsidiarity a proporcionality: Posilnenie ich úloh v tvorbe politík EÚ,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703;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činnosti Nadácie pre medzinárodné štandardy finančného výkazníctva, Európskej poradnej skupiny pre finančné výkazníctvo a Rady pre dohľad nad verejným záujmom v roku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705; 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 a Rade  - Uplatňovanie pravidiel Únie v oblasti hospodárskej súťaže na odvetvie poľnohospodárstva,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706;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9340A6" w:rsidRPr="00794F16" w:rsidP="00934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v Európskom výbore pre vypracovanie noriem  v oblasti vnútrozemskej plavby a v Ústrednej komisii pre plavbu na Rýne, pokiaľ ide o prijatie noriem týkajúcich sa technických požiadaviek na lode vnútrozemskej plavby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707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94F16" w:rsidRP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Európskeho parlamentu a Rady o mobilizácii nástroja flexibility na financovanie okamžitých rozpočtových opatrení na riešenie pretrvávajúcich výziev týkajúcich sa migrácie, prílevu utečencov a bezpečnostných hrozieb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708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Opravný list č. 1 k návrhu všeobecného rozpočtu na rok 2019 - Aktualizované odhadované potreby v prípade výdavkov na poľnohospodárstvo Vplyv dohôd o návrhoch Komisie a nových iniciatív Úpravy vychádzajúce z nedávneho vývoja Technické opravy,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709;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4F16" w:rsidP="00794F1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Rady ktorým sa na rok 2019 stanovujú rybolovné možnosti pre určité populácie rýb a skupiny populácií rýb v Čiernom mori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710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Správa Komisie Rade a Európskemu parlamentu - Správa o pokroku týkajúca sa vykonávania akčného plánu EÚ na boj proti obchodovaniu s voľne žijúcimi druhmi z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vierat a divorastúcimi druhmi rastlín,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711;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D13252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mení rozhodnutie 2009/790/ES, ktorým sa Poľskej republike povoľuje uplatňovať opatrenie odchyľujúce sa od článku 287 smernice 2006/112/ES o spoločnom sy</w:t>
      </w: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stéme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713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Holandsku povoľuje zaviesť osobitné opatrenie odchyľujúce sa od článku 285 smernice 2006/112/ES o spoločnom systéme dane z pridanej hodnot</w:t>
      </w: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714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 a Rade EÚ a Parížska dohoda o zmene klímy: vyhodnotenie pokroku na COP v Katoviciach (v súlade s článkom 21 nariadenia Európskeho parlamentu a Rady (EÚ) č. 525/2013 z 21. mája 2013 o mechanizme monitorovania a nahlasovania emisií skleníkových plynov a nahlasovania ďalších informácií na úrovni členských štátov a Únie relevantných z hľadiska zmeny klímy a o zrušení rozhodnutia č. 280/2004/ES),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716;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prijať na siedmom zasadnutí zmluvných strán Dohody o ochrane africko-euroázijských druhov vodného sťahovavého vtáctva v mene Európskej únie, pokiaľ ide o určité zmeny prílohy 3 k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dohode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717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Európskeho parlamentu a Rady ktorým sa mení nariadenie Európskeho parlamentu a Rady (EÚ) č. 516/2014, pokiaľ ide o opätovné viazanie zostávajúcich súm viazaných na podporu vykonávania rozhodnutí Rady (EÚ) 2015/1523 a (EÚ) 2015/1601 alebo ich p</w:t>
      </w: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ridelenie na iné opatrenia v rámci národných programov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719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mení vykonávacie rozhodnutie (EÚ) 2015/2429, ktorým sa Lotyšsku povoľuje zaviesť osobitné opatrenie odchyľujúce sa od článku 26 ods. 1 písm. a) a článkov 168 a 168a smernice 2006/112/ES o spoločnom systéme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Rade, Európskemu hospodárskemu a sociálnemu výboru a Výboru regiónov - Jednotný trh vo svete, ktorý sa mení. Jedinečná výhoda, ktorá si vyžaduje obnovenie politického záväzku,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722;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v Spoločnej rade zriadenej v rámci Dohody o hospodárskom partnerstve medzi Európskou úniou a jej členskými štátmi na jednej strane a štátmi SADC-DHP na strane druhej, pokiaľ ide o prijatie rokovacieho poriadku Spoločnej rady a Výboru pre obchod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rozvoj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mení vykonávacie rozhodnutie 2009/1008/EÚ, ktorým sa Lotyšskej republike povoľuje predĺžiť uplatňovanie opatrenia odchyľujúceho sa od článku 193 smernice 2006/112/ES o spoločnom systéme dane z pridan</w:t>
      </w: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725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B0F5F" w:rsidRPr="00D13252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Chorvátsku povoľuje zaviesť osobitné opatrenie odchyľujúce sa od článku 26 ods. 1 písm. a) a článku 168 smernice Rady 2006/112/ES o spoločnom systéme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726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mení vykonávacie rozhodnutie 2010/99/EÚ, ktorým sa Litovskej republike povoľuje predĺžiť uplatňovanie opatrenia odchyľujúceho sa od článku 193 smernice 2006/112/ES o spoločno</w:t>
      </w: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m systéme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Rade, Európskemu hospodárskemu a sociálnemu výboru a Výboru regiónov o vykonávaní dohôd o voľnom obchode 1. január 2017 – 31. december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(2018) 728;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FA51D7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v Spoločnej rade zriadenej v rámci Dohody o hospodárskom partnerstve medzi Európskou úniou a jej členskými štátmi na jednej strane a štátmi SADC-DHP na strane druhej, pokiaľ ide o prijatie rokovacieho poriadku v oblasti predchádzania sporom a ich urovnávania a kódexu správania pre rozhodcov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mediátorov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729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vo Výbore pre obchod a rozvoj zriadenom na základe Dohody o hospodárskom partnerstve medzi Európskou úniou a jej členskými štátmi na jednej strane a štátmi SADC-DHP na strane druhej, pokiaľ ide o prijatie zoznamu rozhodcov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730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zaujať v mene Európskej únie na tridsiatom ôsmom zasadnutí Stáleho výboru pre Dohovor o ochrane európskych voľne žijúcich organizmov a prírodných stanovíšť, so zreteľom na zmeny prílohy II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731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Rady, ktorým sa na rok 2019 stanovujú rybolovné možnosti pre určité populácie rýb a skupiny populácií rýb uplatniteľné vo vodách Únie a v prípade rybárskych plavidiel Únie aj v určitých vodách nepatriacich Únii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732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FA51D7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rozhodnutia Rady o uzatvorení príslušných dohôd podľa článku XXI GATS s Argentínou, Austráliou, Brazíliou, Kanadou, Čínou, so samostatným colným územím Taiwanu, Penghu, Kinmenu a Matsua (čínskym Tchaj-pejom), s Kolumbiou, Kubou, Ekvádorom, Hongkongom, Čína, Indiou, Japonskom, Kóreou, Novým Zélandom, Filipínami, so Švajčiarskom a so Spojenými štátmi americkými o potrebných kompenzačných vyrovnaniach vyplývajúcich z pristúpenia Českej republiky, Estónskej republiky, Cyperskej republiky, Lotyšskej republiky, Litovskej republiky, Maďarskej republiky, Maltskej republiky, Rakúskej republiky, Poľskej republiky, Slovinskej republiky, Slovenskej republiky, Fínskej republiky a Švédskeho kráľovstva </w:t>
      </w:r>
    </w:p>
    <w:p w:rsidR="00CB0F5F" w:rsidP="00CB0F5F">
      <w:pPr>
        <w:pStyle w:val="ListParagraph"/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k Európskej únii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733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Rade, Európskemu hospodárskemu a sociálnemu výboru a Výboru regiónov - Tvorba komplexného rámca Európskej únie v oblasti endokrinných disruptorov,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734;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delegovanej právomoci udelenej Komisii podľa nariadenia (ES) č. 443/2009, ktorým sa stanovujú výkonové emisné normy nových osobných automobilov ako súčasť integrovaného prístupu Únie na zníženie emisií CO2 z ľahkých úžitkových vozidiel,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735;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Preskúmanie nariadenia Európskeho parlamentu a Rady (ES) č. 1223/2009 o kozmetických výrobkoch v súvislosti s látkami s vlastnosťami narúšajúcimi endokrinný systém,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018) 739;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fungovaní smernice 2014/53/EÚ o rádiových zariadeniach,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740;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Správa Komisie Rade a Európskemu parlamentu - Zhrnutie ročných správ o realizácii operačných programov spolufinancovaných z Fo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ndu európskej pomoci pre najodkázanejšie osoby v roku 2016,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742;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Európskeho parlamentu a Rady, ktorým sa upravuje smernica Európskeho parlamentu a Rady 2012/27/EÚ o energetickej efektívnosti [zmenená smernicou 2018/XXX/EÚ] a n</w:t>
      </w: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ariadenie Európskeho parlamentu a Rady (EÚ) 2018/XXX [riadenie energetickej únie] z dôvodu vystúpenia Spojeného kráľovstva z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744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Európskeho parlamentu a Rady, ktorým sa mení nariadenie Rady (ES) č. 539/2001 uvádzajúce zoznam tretích krajín, ktorých štátni príslušníci musia mať víza pri prekračovaní vonkajších hraníc členských štátov a krajín, ktorých štátni príslušníci sú oslobodení od tejto povinnosti, pokiaľ ide o vystúpenie Spojeného kráľovstva z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745;</w:t>
      </w:r>
    </w:p>
    <w:p w:rsidR="00CB0F5F" w:rsidRPr="00CB0F5F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nariadenia Rady, ktorým sa mení nariadenie (EÚ) č. 1388/2013, ktorým sa otvárajú autonómne colné kvóty Únie na určité poľnohospodárske a priemyselné výrobky a stanovuje ich správa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746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B0F5F" w:rsidRPr="00D13252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rozhodnutia Rady, ktorým sa mení vykonávacie rozhodnutie 2013/53/EÚ, ktorým sa Belgickému kráľovstvu povoľuje zaviesť osobitné opatrenie odchyľujúce sa od článku 285 smernice 2006/112/ES o spoločnom systéme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749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CB0F5F" w:rsidRPr="008B08B5" w:rsidP="00CB0F5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vykonávacieho rozhodnutia Rady, ktorým sa mení rozhodnutie 2009/791/ES, ktorým sa Nemecku povoľuje naďalej uplatňovať opatrenie odchyľujúce sa od článkov 168 a 168a smernice 2006/112/ES o spoločnom systéme dane z </w:t>
      </w: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750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8B08B5" w:rsidRP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v mene Európskej únie prijať na konferencii zmluvných strán Rotterdamského dohovoru, pokiaľ ide o postupy zabezpečovania súladu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753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né stanovisko;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Správa Komisie Európskemu parlamentu a Rade o výkone právomoci prijímať delegované akty udelenej Komisii podľa nariadenia Európskeho parlamentu a Rady (ES) č. 638/2004 o štatistike Spoločenstva o obchodovaní s tovarom medzi členskými štátmi,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754;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Výročná monitorovacia správa o vykonávaní programu na podporu štrukturálnych reforiem za rok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755;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Rade a Európskemu parlamentu o rozvoji rastlinných bielkovín 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v Európskej únii,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757;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Správa Komisie Európskemu parlamentu, Rade, Európskej centrálnej banke a Európskemu hospodárskemu a sociálnemu výboru - Správa o mechanizme varovania 2019 [vypracovaná v súlade s článkami 3 a 4 nariadenia (EÚ) č. 1176/201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1 o prevencii a náprave makroekonomických nerovnováh],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758;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Odporúčanie Rady o hospodárskej politike eurozóny,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759;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Návrh spoločnej správy Komisie a Rady o zamestnanosti - Sprievodný dokument k oznámeniu Komisie o ročn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om prieskume rastu 2019,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nariadenia (ES) č. 1013/2006 o preprave odpadu Vznik, spracovanie a preprava nebezpečného odpadu a iného odpadu v členských štátoch EÚ, 2013 – 2015; vykonávanie právomoci prijímať delegované akty,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 Európskemu parlamentu, Rade a Európskemu hospodárskemu a sociálnemu výboru - Harmonizované normy: zvyšovanie transparentnosti a právnej istoty v záujme plne fungujúceho jednotného t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rhu,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764;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Rozhodnutie Rady o poverení začať rokovania o dohode, ktorou sa mení existujúca colná kvóta na hydinové mäso a prípravky z hydinového mäsa a ktorou sa mení existujúci colný režim vzťahujúci sa na ostatné hydinové kusy, stanovené v prílohe I-A ku kapitole 1 Dohody o pridružení medzi Európskou úniou a jej členskými štátmi na jednej strane a Ukrajinou na strane druhej,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765;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 a Európskej centrálnej banke - Tretia správa o pokroku pri znižovaní objemu nesplácaných úverov a ďalšom znižovaní rizík v bankovej únii,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RP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Rade, Európskej centrálnej banke, Európskemu hospodárskemu a sociálnemu výboru a Výboru regiónov - Únia kapitálových trhov: čas obnoviť úsilie s cieľom realizovať investície a dosiahnuť rast a silnejšiu úlohu eura,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767;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RP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vhodnosti začlenenia indexu cien bývania vo vlastnom obydlí (OOH) do rozsahu harmonizovaného indexu spotrebiteľských cien (HICP),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768;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B08B5" w:rsidP="008B08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rozhodnutia Európskeho parlamentu a Rady č. 1608/2003/ES o štatistikách o vede a technike,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769;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BE6BFC" w:rsidP="00BE6BF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 Európskemu parlamentu, Rade, Európskej centrálnej banke, Európskemu hospodárskemu a sociálnemu výboru, Výboru regiónov a Európskej investičnej banke - Ročný prieskum rastu na rok 2019: Za silnejšiu Európu, ktorá dokáže čeliť celosve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tovej neistote,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BE6BFC" w:rsidP="00BE6BF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 Európskemu parlamentu, Rade, Európskej centrálnej banke, Európskemu hospodárskemu a sociálnemu výboru, Výboru regiónov a Európskej investičnej banke - Investičný plán pre Európu: hodnotenie a ďalšie kroky,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BE6BFC" w:rsidP="00BE6BF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 Európskemu parlamentu, Európskej rade, Rade, Európskemu hospodárskemu a sociálnemu výboru, Výboru regiónov a Európskej investičnej banke - Čistá planéta pre všetkých - Európska dlhodobá strategická vízia pre prosperujúce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, moderné, konkurencieschopné a klimaticky neutrálne hospodárstvo,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773;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BE6BFC" w:rsidP="00BE6BF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Výročná správa o politikách humanitárnej pomoci Európskej únie a ich vykonávaní v roku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774;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Odporúčanie - Rozhodnutie Rady o poverení začať rokovania o dohode medzi Európskou úniou a každou jednotlivou krajinou južného susedstva v rámci európskej susedskej politiky s cieľom dohodnúť podmienky rozšírenia poskytovania Európskej prekryvnej služby geostacionárnej na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vigácie (EGNOS) na územie európskej susedskej politiky,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Druhá správa o pokroku dosiahnutom v boji proti obchodovaniu s ľuďmi (2018), ako sa to vyžaduje podľa článku 20 smernice 2011/36/EÚ o prevencii obchodovania s ľuďmi a boji proti nemu a o ochrane obetí obchodovania,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777;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BE6BFC" w:rsidP="00BE6BF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právomoci prijímať delegované akty udelenej Komisii podľa nariadenia Rady (ES) č. 2173/2005 z 20. decembra 2005 o vytvorení licenčného systému FLEGT na dovoz dreva do Európskeho spoločenstva (nariadenie o systéme FLEGT),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výdavkoch z EPZF Systém včasného varovania č. 7-10/2018,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779;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údajoch týkajúcich sa rozpočtového vplyvu ročnej aktualizácie odmien a dôchodkov úradníkov a ostatných zamestnancov Európskej únie v roku 2018 a korekčných koeficientov, ktoré sa na neuplatňujú,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781; </w:t>
      </w:r>
    </w:p>
    <w:p w:rsidR="0071276A" w:rsidRPr="00336E4F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Rady, ktorým sa určuje zloženie Výboru regiónov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782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Rady, ktorým sa určuje zloženie Európskeho hospodárskeho a sociálneho výboru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783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Dohody o partnerstve a spolupráci medzi Európskou úniou a jej členskými štátmi na jednej strane a Singapurskou republikou na strane druhej v mene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784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>Oznámenie Komisie Európskemu parlame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ntu a Rade - Správa o hodnotení rámca EÚ pre vnútroštátne stratégie integrácie Rómov do roku 2020,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785; 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prijať v mene Európskej únie v Spoločnom výbore EHP k zmene prílohy IX (Finančné služby) k Dohode o EHP (nariadenie o centrálnych depozitároch cenných papierov)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786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najnovšom vývoji, pokiaľ ide o euromince,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787;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Priebežná správa v súlade s článkom 26 ods. 1 nariadenia Európskeho parlamentu a Rady (EÚ) č. 1144/2014 z 22. októbra 2014 o informačných a propagačných akciách týkajúcich sa poľnohospodárskych výrobkov uskutočňovaných na vnútornom trhu a v tretích krajinách a o zrušení nariadenia Rady (ES) č. 3/2008,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788;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Rade a Európskemu hospodárskemu a sociálnemu výboru o vykonávaní smernice Európskeho parlamentu a Rady 2014/54/EÚ zo 16. apríla 2014 o opatreniach na uľahčenie výkonu práv udelených pracovníkom v súvislosti so slobodou pohybu pracovníkov,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789;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spoločného rámca pre monitorovanie a hodnotenie a prvé výsledky týkajúce sa výkonnosti spoločnej poľnohospodárskej politiky,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790;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RPr="00336E4F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A51D7">
        <w:rPr>
          <w:rFonts w:ascii="Times New Roman" w:hAnsi="Times New Roman"/>
          <w:color w:val="000000"/>
          <w:sz w:val="24"/>
          <w:szCs w:val="24"/>
          <w:lang w:val="sk-SK"/>
        </w:rPr>
        <w:t>Návrh nariadenia Rady, ktorým sa mení nariadenie (EÚ) č. 1387/2013, ktorým sa pozastavujú autonómne clá Spoločného colného sadzobníka v prípade určitých poľnohospodárskych a priemyselných výrobkov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791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prijať v mene Európskej únie v ministerskej rade Energetického spoločenstva v súvislosti s predĺžením funkčného obdobia riaditeľa sekretariátu Energetického spoločenstva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792;</w:t>
      </w:r>
    </w:p>
    <w:p w:rsidR="009340A6" w:rsidRPr="0071276A" w:rsidP="00934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prijať v mene Európskej únie v regionálnom riadiacom výbore Doprav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ného spolo-čenstva, pokiaľ ide </w:t>
      </w: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o určité rozpočtové a personálne záležitosti v súvislosti s vy-konávaním Zmluvy o zalo-žení Dopravného spoločenstva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793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Európskej rade, Rade, Európskemu hospodárskemu a sociálnemu výboru a Výboru regiónov o vykonávaní oznámenia „Boj proti dezinformáciám na internete: európsky prístup“,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794;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Rade, Európskemu hospodárskemu a sociálnemu výboru a Výboru regiónov - Koordinovaný plán v oblasti umelej inteligencie,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795;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 (samitu eurozóny), Rade, Európskej centrálnej banke, Európskemu hospodárskemu a sociálnemu výboru a Výboru regiónov - Smerom k silnejšej medzinárodnej úlohe eura,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796;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dohody o štatúte medzi Európskou úniou a Srbskou republikou týkajúcej sa činností vykonávaných Európskou agentúrou pre pohraničnú a pobrežnú stráž v Srbskej republike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797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 a Rade – riadenie migrácie po každej stránke: pokrok v rámci európskej migračnej agendy,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798;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RP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podpise dohody o štatúte medzi Európskou úniou a Srbskou republikou týkajúcej sa činností vykonávaných Európskou agentúrou pre pohraničnú a pobrežnú stráž v Srbskej republike v mene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799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Rade, Európskemu hospodárskemu a sociálnemu výboru a Výboru regiónov - Pracovný program Komisie na rok 2019 Plníme sľuby a pripravujeme sa na budúcnosť,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1276A" w:rsidP="0071276A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Rade - Správa Komisie Rade podľa článku -11 ods. 2 nariadenia (ES) č. 1466/97 o misii zvýšeného dohľadu v Rumunsku z 27. – 28. septembra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E16F88" w:rsidP="00E16F88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Odporúčanie Rady s cieľom napraviť značnú zistenú odchýlku od postupu úprav smerom k strednodobému rozpočtovému cieľu v Rumunsku,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E16F88" w:rsidP="00E16F88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Rozhodnutie Rady, ktorým sa stanovuje, že Rumunsko neprijalo účinné opatrenia v reakcii na odporúčanie Rady z 22. júna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803;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E16F88" w:rsidP="00E16F88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Rade - Správa Komisie Rade podľa článku -11 ods. 2 nariadenia (ES) č. 1466/97 o misii zvýšeného dohľadu v Maďarsku z 18. - 19. septembra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804; </w:t>
      </w:r>
    </w:p>
    <w:p w:rsidR="00E16F88" w:rsidP="00E16F88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Odporúčanie Rady s cieľom napraviť značnú zistenú odchýlku od postupu úprav smerom k strednodobému rozpočtovému cieľu v Maďarsku,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805; </w:t>
      </w:r>
    </w:p>
    <w:p w:rsidR="00461AB7" w:rsidP="00461AB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- Rozhodnutie Rady, ktorým sa stanovuje, že Maďarsko neprijalo účinné opatrenia v reakcii na odporúčanie Rady z 22. júna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61AB7" w:rsidRPr="00461AB7" w:rsidP="00461AB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Rade a Európskej centrálnej banke o návrhoch rozpočtových plánov na rok 2019: Celkové posúdenie,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807;</w:t>
      </w:r>
    </w:p>
    <w:p w:rsidR="00461AB7" w:rsidP="00461AB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- Sprísnený dohľad – Grécko, november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808;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Rade, Európskemu hospodárskemu a sociálnemu výboru a Výboru regiónov - Pokrok pri vykonávaní stratégie lesného hospodárstva EÚ „Nová stratégia lesného hospodárstva EÚ: pre lesy a sektor lesného hospodárstva“,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811;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RPr="009340A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smernice Rady, ktorou sa mení smernica 2006/112/ES, pokiaľ ide o zavedenie určitých požiadaviek na poskytovateľov platobných služieb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812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nariadenia Rady, ktorým sa mení nariadenie (EÚ) č. 904/2010, pokiaľ ide o opatrenia na posilnenie administratívnej spolupráce v záujme boja proti podvodom v oblasti DPH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813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 a Rade - Príprava rýchlej dohody o dlhodobom rozpočte na financovanie európskych priorít Príspevok Európskej komisie k zasadnutiu Európskej rady, ktoré sa uskutoční 13. – 14. decembra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814;</w:t>
      </w:r>
    </w:p>
    <w:p w:rsid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Záverečná správa podľa článku 4 rozhodnutia Európskeho parlamentu a Rady č. 562/2014/EÚ z 15. mája 2014 o účasti Európskej únie na zvýšení základného imania Európskeho investičného fondu,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815;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parlamentu, Rade, Európskemu hospodárskemu a sociálnemu výboru a Výboru regiónov - Európske štrukturálne a investičné fondy (2014 – 2020) Súhrnná správa o výročných správach o vykonávaní programov z roku 2018 vzťahujúca sa na vykonávanie v rokoch 2014 – 2017,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816;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Európskeho parlamentu a Rady, ktorým sa menia nariadenia (EÚ) č. 1305/2013 a (EÚ) č. 1307/2013, pokiaľ ide o určité pravidlá týkajúce sa priamych platieb a podpory rozvoja vidieka na roky 2019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2020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817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Vykonávanie tretieho akčného programu Únie v oblasti zdravia v roku 2015,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818;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smernice Rady, ktorou sa mení smernica Rady 2006/112/ES z 28. novembra 2006, pokiaľ ide o ustanovenia týkajúce sa predaja tovaru na diaľku a určitých domácich dodaní tovaru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819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vykonávacieho nariadenia Rady, ktorým sa mení vykonávacie nariadenie (EÚ) č. 282/2011, pokiaľ ide o dodania tovaru alebo poskytovania služieb uľahčované elektronickými rozhraniami a osobitné úpravy pre zdaniteľné osoby, ktoré poskytujú služby nezdaniteľným osobám, uskutočňujú predaj tovaru na diaľku a určité domáce dodania tovaru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821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C81786" w:rsidRPr="00C81786" w:rsidP="00C8178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nariadenia Európskeho parlamentu a Rady (EÚ) č. 531/2012 z 13. júna 2012 o roamingu vo verejných mobilných komunikačných sieťach v rámci Únie, zmeneného nariadením (EÚ) 2015/2120 a nariadením (EÚ) 2017/920,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822;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9340A6" w:rsidRPr="000843D9" w:rsidP="00934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340A6">
        <w:rPr>
          <w:rFonts w:ascii="Times New Roman" w:hAnsi="Times New Roman"/>
          <w:color w:val="000000"/>
          <w:sz w:val="24"/>
          <w:szCs w:val="24"/>
          <w:lang w:val="sk-SK"/>
        </w:rPr>
        <w:t>Návrh rozhodnutia Rady, ktorým sa mení rozhodnutie č. 940/2014/EÚ, pokiaľ ide o výrobky, na ktoré sa môže vzťahovať oslobodenie od dane alebo úľavy na dani „octroi de mer“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825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0843D9" w:rsidRPr="000843D9" w:rsidP="000843D9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Protokolu medzi Európskou úniou, Islandskou republikou a Nórskym kráľovstvom k Dohode medzi Európskym spoločenstvom a Islandskou republikou a Nórskym kráľovstvom o kritériách a mechanizmoch na určenie štátu zodpovedného za preskúmanie žiadosti o azyl podanej v členskom štáte alebo na Islande, alebo v Nórsku, pokiaľ ide o prístup do systému Eurodac na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826;</w:t>
      </w:r>
    </w:p>
    <w:p w:rsidR="000843D9" w:rsidRPr="000843D9" w:rsidP="000843D9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podpise, v mene Európskej únie, Protokolu medzi Európskou úniou, Islandskou republikou a Nórskym kráľovstvom k Dohode medzi Európskym spoločenstvom a Islandskou republikou a Nórskym kráľovstvom o kritériách a mechanizmoch na určenie štátu zodpovedného za preskúmanie žiadosti o azyl podanej v členskom štáte alebo na Islande, alebo v Nórsku, pokiaľ ide o prístup do systému Eurodac na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827;</w:t>
      </w:r>
    </w:p>
    <w:p w:rsidR="000843D9" w:rsidRPr="00FF7AB1" w:rsidP="000843D9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Protokolu medzi Európskou úniou, Švajčiarskou konfederáciou a Lichtenštajnským kniežatstvom k Dohode medzi Európskym spoločenstvom a Švajčiarskou konfederáciou o kritériách a mechanizmoch na určenie štátu zodpovedného za preskúmanie žiadosti o azyl podanej v členskom štáte alebo vo Švajčiarsku, pokiaľ ide o prístup do systému Eurodac na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828;</w:t>
      </w:r>
    </w:p>
    <w:p w:rsidR="00FF7AB1" w:rsidRPr="008544A2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uplatňovaní prílohy XII k služobnému poriadku,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829;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Rade a Európskemu parlamentu o výkone právomoci prijímať delegované akty udelenej Komisii podľa smernice 2008/105/ES o environmentálnych normách kvality v oblasti vodnej politiky,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829;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FF7AB1" w:rsidRP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uplatňovaní prílohy XI k služobnému poriadku a jeho článku 66a,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830;</w:t>
      </w:r>
    </w:p>
    <w:p w:rsidR="00FF7AB1" w:rsidRP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podpise, v mene Európskej únie, Protokolu medzi Európskou úniou, Švajčiarskou konfederáciou a Lichtenštajnským kniežatstvom k Dohode medzi Európskym spoločenstvom a Švajčiarskou konfederáciou o kritériách a mechanizmoch na určenie štátu zodpovedného za preskúmanie žiadosti o azyl podanej v členskom štáte alebo vo Švajčiarsku, pokiaľ ide o prístup do systému Eurodac na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831;</w:t>
      </w:r>
    </w:p>
    <w:p w:rsidR="00FF7AB1" w:rsidRP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pozícii, ktorá sa má prijať v mene Európskej únie v spoločnom výbore zriadenom v súlade s článkom 41 ods. 1 Dohody medzi Európskou úniou a Nórskym kráľovstvom o administratívnej spolupráci, boji proti podvodom a vymáhaní pohľadávok v oblasti dane z pridanej hodnoty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832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FF7AB1" w:rsidRPr="00336E4F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podpise, v mene Európskej únie a Európskeho spoločenstva pre atómovú energiu, Dohody o vystúpení Spojeného kráľovstva Veľkej Británie a Severného Írska z Európskej únie a z Európskeho spoločenstva pre atómovú energiu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833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FF7AB1" w:rsidRP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Dohody o vystúpení Spojeného kráľovstva Veľkej Británie a Severného Írska z Európskej únie a z Európskeho spoločenstva pre atómovú energiu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834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FF7AB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uzavretí Protokolu k Dohode medzi Európskym spoločenstvom a Dánskym kráľovstvom o kritériách a mechanizmoch na určenie členského štátu, ktorý je zodpovedný za posúdenie žiadosti o azyl podanej v Dánsku alebo v ktoromkoľvek inom členskom štáte Európskej únie, a o systéme Eurodac na porovnávanie odtlačkov prstov pre účinné uplatňovanie Dublinského dohovoru, ktorým sa rozširuje uplatňovanie uvedenej dohody o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835;</w:t>
      </w:r>
    </w:p>
    <w:p w:rsidR="00FF7AB1" w:rsidRPr="00655071" w:rsidP="00FF7AB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Rady o podpise, v mene Európskej únie, Protokolu k Dohode medzi Európskym spoločenstvom a Dánskym kráľovstvom o kritériách a mechanizmoch na určenie členského štátu, ktorý je zodpovedný za posúdenie žiadosti o azyl podanej v Dánsku alebo v ktoromkoľvek inom členskom štáte Európskej únie, a o systéme Eurodac na porovnávanie odtlačkov prstov pre účinné uplatňovanie Dublinského dohovoru, ktorým sa rozširuje uplatňovanie uvedenej dohody o účely presadzovania práva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836;</w:t>
      </w:r>
    </w:p>
    <w:p w:rsidR="00655071" w:rsidRP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rozhodnutia o pozícii, ktorá sa má v mene Európskej únie prijať v rámci pracovnej skupiny pre víno zriadenej dohodou o hospodárskom partnerstve medzi Európskou úniou a Japonskom, pokiaľ ide o formuláre, ktoré sa majú používať v prípade osvedčenia na dovoz vinárskych výrobkov s pôvodom v Japonsku do Európskej únie, a modality autocertifikácie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837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o usmerneniach pre národné regulačné orgány k transparentnosti a posúdeniu cezhraničných sadzieb za balíky podľa nariadenia (EÚ) 2018/644 a vykonávacieho nariadenia Komisie (EÚ) 2018/1263,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838;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Verbálna nóta týkajúca sa Dohody o vystúpení Spojeného kráľovstva Veľkej Británie a Severného Írska z Európskej únie a Európskeho spoločenstva pre atómovú energiu,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841;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- Správa o fungovaní európskeho trhu s uhlíkom,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842;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nariadenia (EÚ) č. 1260/2013 o európskej demografickej štatistike,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843;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55071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prehľade a posudzovaní štatistických údajov a informácií o automatických výmenách v oblasti priamych daní,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844;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655071" w:rsidRPr="004D6B37" w:rsidP="00655071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Rade a Európskemu hospodárskemu a sociálnemu výboru - Druhý akčný plán na boj proti nezákonnému obchodu s tabakovými výrobkami na obdobie 2018 – 2022,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846;</w:t>
      </w:r>
    </w:p>
    <w:p w:rsid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dosiahnutom pokroku Bulharska v rámci mechanizmu spolupráce a overovania,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850;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pokroku Rumunska v rámci mechanizmu spolupráce a overovania,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851;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Správa Komisie Európskemu parlamentu a Rade o vykonávaní nariadenia (ES) č. 428/2009, ktorým sa stanovuje režim Spoločenstva na kontrolu vývozov, prepravy, sprostredkovania a tranzitu položiek s dvojakým použitím,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852;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D6B37" w:rsidRP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 a Rade - Súčasný stav a ďalší postup, pokiaľ ide o neuplatňovanie reciprocity v oblasti vízovej politiky,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855;</w:t>
      </w:r>
    </w:p>
    <w:p w:rsid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Rade, Európskej centrálnej banke, Európskemu hospodárskemu a sociálnemu výboru, Výboru regiónov a Európskej investičnej banke - Príprava na vystúpenie Spojeného kráľovstva z Európskej únie 30. marca 2019: krízový akčný plán,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880;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Oznámenie Komisie Európskemu parlamentu, Európskej rade, Rade, Európskej centrálnej banke, Európskemu hospodárskemu a sociálnemu výboru, Výboru regiónov a Európskej investičnej banke - Príprava na vystúpenie Spojeného kráľovstva z Európskej únie 30. marca 2019: realizovanie krízového akčného plánu Komisie,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(2018) 890; </w:t>
      </w:r>
    </w:p>
    <w:p w:rsidR="004D6B37" w:rsidRPr="00D560A6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Návrh nariadenia Európskeho parlamentu a Rady, ktorým sa mení nariadenie Rady (ES) č. 428/2009 udelením všeobecného povolenia Únie na vývoz určitých položiek s dvojakým použitím z Únie do Spojeného kráľovstva Veľkej Británie a Severného Írska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891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D560A6" w:rsidRPr="00D560A6" w:rsidP="00D56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Návrh nariadenia Európskeho parlamentu a Rady s cieľom umožniť pokračovanie programov územnej spolupráce PEACE IV (Írsko – Spojené kráľovstvo) a Spojené kráľovstvo – Írsko (Írsko – Severné Írsko – Škótsko) v súvislosti s vystúpením Spojeného kráľovstva z Európskej únie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892;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4D6B37" w:rsidRPr="004D6B37" w:rsidP="004D6B37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Druhý návrh všeobecného rozpočtu Európskej únie na rozpočtový rok 2019 – všeobecný úvod,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 900;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13252" w:rsidRPr="004D6B37" w:rsidP="00D13252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13252">
        <w:rPr>
          <w:rFonts w:ascii="Times New Roman" w:hAnsi="Times New Roman"/>
          <w:color w:val="000000"/>
          <w:sz w:val="24"/>
          <w:szCs w:val="24"/>
          <w:lang w:val="sk-SK"/>
        </w:rPr>
        <w:t>Návrh rozhodnutia Európskeho parlamentu a Rady o mobilizácii nástroja flexibility na financovanie okamžitých rozpočtových opatrení na riešenie pretrvávajúcich migračných výziev, prílevu utečencov a bezpečnostných hrozieb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>KOM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901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D560A6" w:rsidRPr="00336E4F" w:rsidP="00D56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Spoločný návrh rozhodnutia Rady o pozícii, ktorá sa má v mene Európskej únie prijať v spoločnom výbore zriadenom Európsko-stredomorskou dočasnou dohodou o pridružení o obchode a spolupráci medzi Európskym spoločenstvom, na jednej strane, a Organizáciou pre oslobodenie Palestíny (OOP) v prospech palestínskych orgánov Západného brehu a Pásma Gazy, na druhej strane, pokiaľ ide o predĺženie akčného plánu EÚ a Palestínskej samosprávy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>JOIN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26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D560A6" w:rsidRPr="00D560A6" w:rsidP="00D56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Spoločný návrh rozhodnutia Rady o pozícii, ktorá sa má prijať v mene Európskej únie v asociačnej rade zriadenej Euro-stredomorskou dohodou, ktorou sa zakladá pridruženie medzi Európskymi spoločenstvami a ich členskými štátmi na jednej strane a Izraelským štátom na strane druhej, pokiaľ ide o predĺženie akčného plánu EÚ 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1C706A">
        <w:rPr>
          <w:rFonts w:ascii="Times New Roman" w:hAnsi="Times New Roman"/>
          <w:color w:val="000000"/>
          <w:sz w:val="24"/>
          <w:szCs w:val="24"/>
          <w:lang w:val="sk-SK"/>
        </w:rPr>
        <w:t>Izraela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>JOIN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27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D560A6" w:rsidRPr="00D560A6" w:rsidP="00D560A6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Spoločné oznámenie Európskemu parlamentu a Rade - Prvky stratégie EÚ pre Indiu,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JOIN (2018) 28;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336E4F" w:rsidRPr="00336E4F" w:rsidP="00336E4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Spoločný návrh rozhodnutia Rady o pozícii, ktorá sa má prijať v mene Európskej únie v Rade pre partnerstvo zriadenej Dohodou o komplexnom a posilnenom partnerstve medzi Európskou úniou a Európskym spoločenstvom pre atómovú energiu a ich členskými štátmi na jednej strane a Arménskou republikou na strane druhej v súvislosti s prijatím rozhodnutí o rokovacích poriadkoch Rady pre partnerstvo a Výboru pre partnerstvo a rokovacom poriadku špecializovaných podvýborov alebo akéhokoľvek iného orgánu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>JOIN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29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336E4F" w:rsidRPr="00A71B5C" w:rsidP="00336E4F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336E4F">
        <w:rPr>
          <w:rFonts w:ascii="Times New Roman" w:hAnsi="Times New Roman"/>
          <w:color w:val="000000"/>
          <w:sz w:val="24"/>
          <w:szCs w:val="24"/>
          <w:lang w:val="sk-SK"/>
        </w:rPr>
        <w:t>Spoločný návrh rozhodnutia Rady o pozícii, ktorá sa má v mene Európskej únie prijať v rámci Asociačnej rady zriadenej Euro-stredomorskou dohodou ustanovujúcou pridruženie medzi Európskymi spoločenstvami a ich členskými štátmi na jednej strane a Jordánskym hášimovským kráľovstvom na strane druhej, pokiaľ ide o predĺženie priorít partnerstva medzi EÚ a Jordánskom o dva roky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>JOIN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(2018)</w:t>
      </w:r>
      <w:r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35</w:t>
      </w:r>
      <w:r w:rsidRPr="00FC1A2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stanovisko;</w:t>
      </w:r>
    </w:p>
    <w:p w:rsidR="00A71B5C" w:rsidRPr="00A71B5C" w:rsidP="00A71B5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Spoločné oznámenie Európskemu parlamentu, Európskej rade, Rade, Európskemu hospodárskemu a sociálnemu výboru a Výboru regiónov - Akčný plán proti dezinformáciám,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JOIN (2018) 36;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8544A2" w:rsidP="008544A2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Stanovisko Komisie k návrhu zmeny protokolu č. 3 o štatúte Súdneho dvora Európskej únie, ktorý Súdny dvor predložil 26. marca 2018 a ktorý bol zmenený 10. augusta 2018,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C (2018) 7500;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A71B5C" w:rsidP="00A71B5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Stanovisko Komisie k návrhu rozpočtového plánu Talianska, ktorým sa Taliansko žiada, aby predložilo revidovaný návrh rozpočtového plánu,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>C (2018) 7510;</w:t>
      </w: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A71B5C" w:rsidRPr="00A71B5C" w:rsidP="00A71B5C">
      <w:pPr>
        <w:pStyle w:val="ListParagraph"/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8544A2">
        <w:rPr>
          <w:rFonts w:ascii="Times New Roman" w:hAnsi="Times New Roman"/>
          <w:color w:val="000000"/>
          <w:sz w:val="24"/>
          <w:szCs w:val="24"/>
          <w:lang w:val="sk-SK"/>
        </w:rPr>
        <w:t xml:space="preserve">Odporúčanie Komisie o medzinárodnej úlohe eura v oblasti energetiky, </w:t>
      </w:r>
      <w:r w:rsidRPr="008544A2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C (2018) 8111; </w:t>
      </w:r>
    </w:p>
    <w:p w:rsidR="009006C9" w:rsidRPr="00FC1A21" w:rsidP="002C53AD">
      <w:pPr>
        <w:numPr>
          <w:ilvl w:val="0"/>
          <w:numId w:val="2"/>
        </w:numPr>
        <w:jc w:val="both"/>
        <w:rPr>
          <w:b/>
        </w:rPr>
      </w:pPr>
      <w:r w:rsidRPr="00FC1A21">
        <w:rPr>
          <w:b/>
        </w:rPr>
        <w:t>žiada v súlade s § 58a ods. 3 písm. f) rokovacieho poriadku</w:t>
      </w:r>
    </w:p>
    <w:p w:rsidR="00BC38AB" w:rsidRPr="00FC1A21" w:rsidP="009340A6">
      <w:pPr>
        <w:jc w:val="both"/>
        <w:rPr>
          <w:b/>
        </w:rPr>
      </w:pPr>
    </w:p>
    <w:p w:rsidR="00B26D0D" w:rsidRPr="00FC1A21" w:rsidP="00B26D0D">
      <w:pPr>
        <w:numPr>
          <w:ilvl w:val="0"/>
          <w:numId w:val="9"/>
        </w:numPr>
        <w:ind w:left="1425"/>
        <w:jc w:val="both"/>
        <w:rPr>
          <w:b/>
        </w:rPr>
      </w:pPr>
      <w:r w:rsidRPr="00FC1A21" w:rsidR="00400763">
        <w:rPr>
          <w:b/>
        </w:rPr>
        <w:t>Výbor Národnej rady Slovenskej republiky pre obr</w:t>
      </w:r>
      <w:r w:rsidRPr="00FC1A21" w:rsidR="00A83223">
        <w:rPr>
          <w:b/>
        </w:rPr>
        <w:t>a</w:t>
      </w:r>
      <w:r w:rsidRPr="00FC1A21" w:rsidR="00400763">
        <w:rPr>
          <w:b/>
        </w:rPr>
        <w:t xml:space="preserve">nu a bezpečnosť </w:t>
      </w:r>
      <w:r w:rsidRPr="00FC1A21" w:rsidR="00BC38AB">
        <w:t>o stanovisko k:</w:t>
      </w:r>
    </w:p>
    <w:p w:rsidR="00BC38AB" w:rsidRPr="00FC1A21" w:rsidP="009340A6">
      <w:pPr>
        <w:numPr>
          <w:ilvl w:val="3"/>
          <w:numId w:val="15"/>
        </w:numPr>
        <w:jc w:val="both"/>
        <w:rPr>
          <w:b/>
        </w:rPr>
      </w:pPr>
      <w:r w:rsidR="009340A6">
        <w:rPr>
          <w:color w:val="000000"/>
        </w:rPr>
        <w:t>n</w:t>
      </w:r>
      <w:r w:rsidRPr="009340A6" w:rsidR="009340A6">
        <w:rPr>
          <w:color w:val="000000"/>
        </w:rPr>
        <w:t>ávrh</w:t>
      </w:r>
      <w:r w:rsidR="009340A6">
        <w:rPr>
          <w:color w:val="000000"/>
        </w:rPr>
        <w:t>u</w:t>
      </w:r>
      <w:r w:rsidRPr="009340A6" w:rsidR="009340A6">
        <w:rPr>
          <w:color w:val="000000"/>
        </w:rPr>
        <w:t xml:space="preserve"> rozhodnutia Rady o uzavretí dohody o štatúte medzi Európskou úniou a Srbskou republikou týkajúcej sa činností vykonávaných Európskou agentúrou pre pohraničnú a pobrežnú stráž v Srbskej republike</w:t>
      </w:r>
      <w:r w:rsidRPr="00FC1A21">
        <w:rPr>
          <w:color w:val="000000"/>
        </w:rPr>
        <w:t xml:space="preserve">, </w:t>
      </w:r>
      <w:r w:rsidRPr="00FC1A21">
        <w:rPr>
          <w:b/>
        </w:rPr>
        <w:t xml:space="preserve">KOM (2018) </w:t>
      </w:r>
      <w:r w:rsidR="009340A6">
        <w:rPr>
          <w:b/>
        </w:rPr>
        <w:t>797</w:t>
      </w:r>
      <w:r w:rsidRPr="00FC1A21">
        <w:rPr>
          <w:b/>
        </w:rPr>
        <w:t>;</w:t>
      </w:r>
    </w:p>
    <w:p w:rsidR="004C22B4" w:rsidRPr="00FC1A21" w:rsidP="009340A6">
      <w:pPr>
        <w:numPr>
          <w:ilvl w:val="3"/>
          <w:numId w:val="15"/>
        </w:numPr>
        <w:jc w:val="both"/>
        <w:rPr>
          <w:b/>
        </w:rPr>
      </w:pPr>
      <w:r w:rsidR="009340A6">
        <w:t>n</w:t>
      </w:r>
      <w:r w:rsidRPr="009340A6" w:rsidR="009340A6">
        <w:t>ávrh</w:t>
      </w:r>
      <w:r w:rsidR="009340A6">
        <w:t>u</w:t>
      </w:r>
      <w:r w:rsidRPr="009340A6" w:rsidR="009340A6">
        <w:t xml:space="preserve"> rozhodnutia Rady o podpise dohody o štatúte medzi Európskou úniou a Srbskou republikou týkajúcej sa činností vykonávaných Európskou agentúrou pre pohraničnú a pobrežnú stráž v Srbskej republike v mene Únie</w:t>
      </w:r>
      <w:r w:rsidRPr="00FC1A21">
        <w:t xml:space="preserve">, </w:t>
      </w:r>
      <w:r w:rsidRPr="00FC1A21">
        <w:rPr>
          <w:b/>
        </w:rPr>
        <w:t xml:space="preserve">KOM (2018) </w:t>
      </w:r>
      <w:r w:rsidR="009340A6">
        <w:rPr>
          <w:b/>
        </w:rPr>
        <w:t>799</w:t>
      </w:r>
      <w:r w:rsidRPr="00FC1A21">
        <w:rPr>
          <w:b/>
        </w:rPr>
        <w:t>;</w:t>
      </w:r>
    </w:p>
    <w:p w:rsidR="00B26D0D" w:rsidRPr="00FC1A21" w:rsidP="00B26D0D">
      <w:pPr>
        <w:jc w:val="both"/>
        <w:rPr>
          <w:b/>
          <w:highlight w:val="yellow"/>
        </w:rPr>
      </w:pPr>
    </w:p>
    <w:p w:rsidR="008E625D" w:rsidRPr="00FC1A21" w:rsidP="002C53AD">
      <w:pPr>
        <w:numPr>
          <w:ilvl w:val="0"/>
          <w:numId w:val="2"/>
        </w:numPr>
        <w:jc w:val="both"/>
        <w:rPr>
          <w:b/>
        </w:rPr>
      </w:pPr>
      <w:r w:rsidRPr="00FC1A21" w:rsidR="00400763">
        <w:rPr>
          <w:b/>
        </w:rPr>
        <w:t>ukladá</w:t>
      </w:r>
    </w:p>
    <w:p w:rsidR="008E625D" w:rsidRPr="00FC1A21" w:rsidP="002C53AD">
      <w:pPr>
        <w:jc w:val="both"/>
      </w:pPr>
    </w:p>
    <w:p w:rsidR="008E625D" w:rsidRPr="00FC1A21" w:rsidP="002C53AD">
      <w:pPr>
        <w:ind w:firstLine="708"/>
        <w:jc w:val="both"/>
        <w:rPr>
          <w:b/>
        </w:rPr>
      </w:pPr>
      <w:r w:rsidRPr="00FC1A21">
        <w:rPr>
          <w:b/>
        </w:rPr>
        <w:t>predsedovi výboru</w:t>
      </w:r>
    </w:p>
    <w:p w:rsidR="008E625D" w:rsidRPr="00FC1A21" w:rsidP="002C53AD">
      <w:pPr>
        <w:ind w:firstLine="709"/>
        <w:jc w:val="both"/>
      </w:pPr>
      <w:r w:rsidRPr="00FC1A21">
        <w:t>informovať o prijatom uznesení predsedu Národnej rady Slovenskej republiky, príslušných predsedov výborov Národnej rady Slovenskej republiky a príslušných členov vlády Slovenskej republiky.</w:t>
      </w:r>
    </w:p>
    <w:p w:rsidR="008E625D" w:rsidRPr="00FC1A21" w:rsidP="002C53AD">
      <w:pPr>
        <w:jc w:val="both"/>
      </w:pPr>
    </w:p>
    <w:p w:rsidR="00192777" w:rsidRPr="00FC1A21" w:rsidP="002C53AD">
      <w:pPr>
        <w:jc w:val="both"/>
      </w:pPr>
    </w:p>
    <w:p w:rsidR="0009589C" w:rsidRPr="00FC1A21" w:rsidP="002C53AD">
      <w:pPr>
        <w:jc w:val="both"/>
      </w:pPr>
    </w:p>
    <w:p w:rsidR="00E559C7" w:rsidRPr="00FC1A21" w:rsidP="00E559C7">
      <w:pPr>
        <w:tabs>
          <w:tab w:val="left" w:pos="567"/>
        </w:tabs>
        <w:jc w:val="both"/>
      </w:pPr>
    </w:p>
    <w:p w:rsidR="00E559C7" w:rsidRPr="00FC1A21" w:rsidP="00E559C7">
      <w:pPr>
        <w:tabs>
          <w:tab w:val="left" w:pos="567"/>
        </w:tabs>
        <w:ind w:firstLine="708"/>
        <w:jc w:val="both"/>
        <w:rPr>
          <w:b/>
        </w:rPr>
      </w:pPr>
      <w:r w:rsidRPr="00FC1A21">
        <w:rPr>
          <w:b/>
        </w:rPr>
        <w:t>Peter Osuský                                                                 Ľuboš Blaha</w:t>
      </w:r>
    </w:p>
    <w:p w:rsidR="00E559C7" w:rsidRPr="00FC1A21" w:rsidP="00E559C7">
      <w:pPr>
        <w:tabs>
          <w:tab w:val="left" w:pos="567"/>
        </w:tabs>
        <w:ind w:firstLine="708"/>
        <w:jc w:val="both"/>
      </w:pPr>
      <w:r w:rsidRPr="00FC1A21">
        <w:rPr>
          <w:b/>
        </w:rPr>
        <w:t>Irén Sárközy</w:t>
      </w:r>
      <w:r w:rsidRPr="00FC1A21">
        <w:tab/>
        <w:tab/>
        <w:tab/>
        <w:tab/>
        <w:tab/>
        <w:tab/>
        <w:t xml:space="preserve">   predseda výboru</w:t>
      </w:r>
    </w:p>
    <w:p w:rsidR="008E625D" w:rsidRPr="00FC1A21" w:rsidP="0009589C">
      <w:pPr>
        <w:tabs>
          <w:tab w:val="left" w:pos="567"/>
        </w:tabs>
        <w:ind w:firstLine="708"/>
        <w:jc w:val="both"/>
      </w:pPr>
      <w:r w:rsidRPr="00FC1A21" w:rsidR="00E559C7">
        <w:t xml:space="preserve">  overovateľ</w:t>
      </w: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6C582E" w:rsidR="006C582E">
      <w:rPr>
        <w:noProof/>
        <w:lang w:val="sk-SK"/>
      </w:rPr>
      <w:t>2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1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6C582E" w:rsidR="006C582E">
      <w:rPr>
        <w:noProof/>
        <w:lang w:val="sk-SK"/>
      </w:rPr>
      <w:t>1</w:t>
    </w:r>
    <w:r>
      <w:fldChar w:fldCharType="end"/>
    </w: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26.15pt;visibility:visible;width:23.06pt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570FC9"/>
    <w:multiLevelType w:val="hybridMultilevel"/>
    <w:tmpl w:val="E59C3CBE"/>
    <w:lvl w:ilvl="0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1CA75654"/>
    <w:multiLevelType w:val="hybridMultilevel"/>
    <w:tmpl w:val="54745628"/>
    <w:lvl w:ilvl="0">
      <w:start w:val="1"/>
      <w:numFmt w:val="decimal"/>
      <w:lvlText w:val="%1."/>
      <w:lvlJc w:val="left"/>
      <w:pPr>
        <w:ind w:left="-708" w:hanging="360"/>
      </w:pPr>
      <w:rPr>
        <w:rFonts w:ascii="Times New Roman" w:eastAsia="Times New Roman" w:hAnsi="Times New Roman" w:cs="Times New Roman"/>
      </w:rPr>
    </w:lvl>
    <w:lvl w:ilvl="1">
      <w:start w:val="0"/>
      <w:numFmt w:val="bullet"/>
      <w:lvlText w:val="-"/>
      <w:lvlJc w:val="left"/>
      <w:pPr>
        <w:ind w:left="1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732" w:hanging="180"/>
      </w:pPr>
    </w:lvl>
    <w:lvl w:ilvl="3">
      <w:start w:val="0"/>
      <w:numFmt w:val="bullet"/>
      <w:lvlText w:val="-"/>
      <w:lvlJc w:val="left"/>
      <w:pPr>
        <w:ind w:left="1452" w:hanging="360"/>
      </w:pPr>
      <w:rPr>
        <w:rFonts w:ascii="Times New Roman" w:eastAsia="Calibri" w:hAnsi="Times New Roman" w:cs="Times New Roman" w:hint="default"/>
      </w:rPr>
    </w:lvl>
    <w:lvl w:ilvl="4">
      <w:start w:val="0"/>
      <w:numFmt w:val="bullet"/>
      <w:lvlText w:val="-"/>
      <w:lvlJc w:val="left"/>
      <w:pPr>
        <w:ind w:left="2172" w:hanging="360"/>
      </w:pPr>
      <w:rPr>
        <w:rFonts w:ascii="Times New Roman" w:eastAsia="Calibri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2892" w:hanging="180"/>
      </w:pPr>
    </w:lvl>
    <w:lvl w:ilvl="6" w:tentative="1">
      <w:start w:val="1"/>
      <w:numFmt w:val="decimal"/>
      <w:lvlText w:val="%7."/>
      <w:lvlJc w:val="left"/>
      <w:pPr>
        <w:ind w:left="3612" w:hanging="360"/>
      </w:pPr>
    </w:lvl>
    <w:lvl w:ilvl="7" w:tentative="1">
      <w:start w:val="1"/>
      <w:numFmt w:val="lowerLetter"/>
      <w:lvlText w:val="%8."/>
      <w:lvlJc w:val="left"/>
      <w:pPr>
        <w:ind w:left="4332" w:hanging="360"/>
      </w:pPr>
    </w:lvl>
    <w:lvl w:ilvl="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>
    <w:nsid w:val="2B731356"/>
    <w:multiLevelType w:val="hybridMultilevel"/>
    <w:tmpl w:val="BD62F1F0"/>
    <w:lvl w:ilvl="0">
      <w:start w:val="1"/>
      <w:numFmt w:val="decimal"/>
      <w:lvlText w:val="%1."/>
      <w:lvlJc w:val="left"/>
      <w:pPr>
        <w:ind w:left="-708" w:hanging="360"/>
      </w:pPr>
      <w:rPr>
        <w:rFonts w:ascii="Times New Roman" w:eastAsia="Times New Roman" w:hAnsi="Times New Roman" w:cs="Times New Roman"/>
      </w:rPr>
    </w:lvl>
    <w:lvl w:ilvl="1">
      <w:start w:val="0"/>
      <w:numFmt w:val="bullet"/>
      <w:lvlText w:val="-"/>
      <w:lvlJc w:val="left"/>
      <w:pPr>
        <w:ind w:left="1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732" w:hanging="180"/>
      </w:pPr>
    </w:lvl>
    <w:lvl w:ilvl="3" w:tentative="1">
      <w:start w:val="1"/>
      <w:numFmt w:val="decimal"/>
      <w:lvlText w:val="%4."/>
      <w:lvlJc w:val="left"/>
      <w:pPr>
        <w:ind w:left="1452" w:hanging="360"/>
      </w:pPr>
    </w:lvl>
    <w:lvl w:ilvl="4" w:tentative="1">
      <w:start w:val="1"/>
      <w:numFmt w:val="lowerLetter"/>
      <w:lvlText w:val="%5."/>
      <w:lvlJc w:val="left"/>
      <w:pPr>
        <w:ind w:left="2172" w:hanging="360"/>
      </w:pPr>
    </w:lvl>
    <w:lvl w:ilvl="5" w:tentative="1">
      <w:start w:val="1"/>
      <w:numFmt w:val="lowerRoman"/>
      <w:lvlText w:val="%6."/>
      <w:lvlJc w:val="right"/>
      <w:pPr>
        <w:ind w:left="2892" w:hanging="180"/>
      </w:pPr>
    </w:lvl>
    <w:lvl w:ilvl="6" w:tentative="1">
      <w:start w:val="1"/>
      <w:numFmt w:val="decimal"/>
      <w:lvlText w:val="%7."/>
      <w:lvlJc w:val="left"/>
      <w:pPr>
        <w:ind w:left="3612" w:hanging="360"/>
      </w:pPr>
    </w:lvl>
    <w:lvl w:ilvl="7" w:tentative="1">
      <w:start w:val="1"/>
      <w:numFmt w:val="lowerLetter"/>
      <w:lvlText w:val="%8."/>
      <w:lvlJc w:val="left"/>
      <w:pPr>
        <w:ind w:left="4332" w:hanging="360"/>
      </w:pPr>
    </w:lvl>
    <w:lvl w:ilvl="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7">
    <w:nsid w:val="4181408B"/>
    <w:multiLevelType w:val="hybridMultilevel"/>
    <w:tmpl w:val="BB44C3D4"/>
    <w:lvl w:ilvl="0">
      <w:start w:val="1"/>
      <w:numFmt w:val="decimal"/>
      <w:lvlText w:val="%1."/>
      <w:lvlJc w:val="left"/>
      <w:pPr>
        <w:ind w:left="-708" w:hanging="360"/>
      </w:pPr>
      <w:rPr>
        <w:rFonts w:ascii="Times New Roman" w:eastAsia="Times New Roman" w:hAnsi="Times New Roman" w:cs="Times New Roman"/>
      </w:rPr>
    </w:lvl>
    <w:lvl w:ilvl="1">
      <w:start w:val="0"/>
      <w:numFmt w:val="bullet"/>
      <w:lvlText w:val="-"/>
      <w:lvlJc w:val="left"/>
      <w:pPr>
        <w:ind w:left="1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732" w:hanging="180"/>
      </w:pPr>
    </w:lvl>
    <w:lvl w:ilvl="3">
      <w:start w:val="1"/>
      <w:numFmt w:val="decimal"/>
      <w:lvlText w:val="%4."/>
      <w:lvlJc w:val="left"/>
      <w:pPr>
        <w:ind w:left="1452" w:hanging="360"/>
      </w:pPr>
    </w:lvl>
    <w:lvl w:ilvl="4">
      <w:start w:val="0"/>
      <w:numFmt w:val="bullet"/>
      <w:lvlText w:val="-"/>
      <w:lvlJc w:val="left"/>
      <w:pPr>
        <w:ind w:left="2172" w:hanging="360"/>
      </w:pPr>
      <w:rPr>
        <w:rFonts w:ascii="Times New Roman" w:eastAsia="Calibri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2892" w:hanging="180"/>
      </w:pPr>
    </w:lvl>
    <w:lvl w:ilvl="6" w:tentative="1">
      <w:start w:val="1"/>
      <w:numFmt w:val="decimal"/>
      <w:lvlText w:val="%7."/>
      <w:lvlJc w:val="left"/>
      <w:pPr>
        <w:ind w:left="3612" w:hanging="360"/>
      </w:pPr>
    </w:lvl>
    <w:lvl w:ilvl="7" w:tentative="1">
      <w:start w:val="1"/>
      <w:numFmt w:val="lowerLetter"/>
      <w:lvlText w:val="%8."/>
      <w:lvlJc w:val="left"/>
      <w:pPr>
        <w:ind w:left="4332" w:hanging="360"/>
      </w:pPr>
    </w:lvl>
    <w:lvl w:ilvl="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8">
    <w:nsid w:val="42963633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10A48"/>
    <w:multiLevelType w:val="hybridMultilevel"/>
    <w:tmpl w:val="4E5A4CCC"/>
    <w:lvl w:ilvl="0">
      <w:start w:val="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50172C8"/>
    <w:multiLevelType w:val="hybridMultilevel"/>
    <w:tmpl w:val="3F24D13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095E72"/>
    <w:multiLevelType w:val="hybridMultilevel"/>
    <w:tmpl w:val="F78C39C4"/>
    <w:lvl w:ilvl="0">
      <w:start w:val="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80A11D5"/>
    <w:multiLevelType w:val="hybridMultilevel"/>
    <w:tmpl w:val="7FC8836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6ADF413B"/>
    <w:multiLevelType w:val="hybridMultilevel"/>
    <w:tmpl w:val="BD62F1F0"/>
    <w:lvl w:ilvl="0">
      <w:start w:val="1"/>
      <w:numFmt w:val="decimal"/>
      <w:lvlText w:val="%1."/>
      <w:lvlJc w:val="left"/>
      <w:pPr>
        <w:ind w:left="-708" w:hanging="360"/>
      </w:pPr>
      <w:rPr>
        <w:rFonts w:ascii="Times New Roman" w:eastAsia="Times New Roman" w:hAnsi="Times New Roman" w:cs="Times New Roman"/>
      </w:rPr>
    </w:lvl>
    <w:lvl w:ilvl="1">
      <w:start w:val="0"/>
      <w:numFmt w:val="bullet"/>
      <w:lvlText w:val="-"/>
      <w:lvlJc w:val="left"/>
      <w:pPr>
        <w:ind w:left="1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732" w:hanging="180"/>
      </w:pPr>
    </w:lvl>
    <w:lvl w:ilvl="3">
      <w:start w:val="1"/>
      <w:numFmt w:val="decimal"/>
      <w:lvlText w:val="%4."/>
      <w:lvlJc w:val="left"/>
      <w:pPr>
        <w:ind w:left="1452" w:hanging="360"/>
      </w:pPr>
    </w:lvl>
    <w:lvl w:ilvl="4">
      <w:start w:val="1"/>
      <w:numFmt w:val="lowerLetter"/>
      <w:lvlText w:val="%5."/>
      <w:lvlJc w:val="left"/>
      <w:pPr>
        <w:ind w:left="2172" w:hanging="360"/>
      </w:pPr>
    </w:lvl>
    <w:lvl w:ilvl="5" w:tentative="1">
      <w:start w:val="1"/>
      <w:numFmt w:val="lowerRoman"/>
      <w:lvlText w:val="%6."/>
      <w:lvlJc w:val="right"/>
      <w:pPr>
        <w:ind w:left="2892" w:hanging="180"/>
      </w:pPr>
    </w:lvl>
    <w:lvl w:ilvl="6" w:tentative="1">
      <w:start w:val="1"/>
      <w:numFmt w:val="decimal"/>
      <w:lvlText w:val="%7."/>
      <w:lvlJc w:val="left"/>
      <w:pPr>
        <w:ind w:left="3612" w:hanging="360"/>
      </w:pPr>
    </w:lvl>
    <w:lvl w:ilvl="7" w:tentative="1">
      <w:start w:val="1"/>
      <w:numFmt w:val="lowerLetter"/>
      <w:lvlText w:val="%8."/>
      <w:lvlJc w:val="left"/>
      <w:pPr>
        <w:ind w:left="4332" w:hanging="360"/>
      </w:pPr>
    </w:lvl>
    <w:lvl w:ilvl="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">
    <w:nsid w:val="6C1122C3"/>
    <w:multiLevelType w:val="hybridMultilevel"/>
    <w:tmpl w:val="5C20D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92" w:hanging="360"/>
      </w:pPr>
    </w:lvl>
    <w:lvl w:ilvl="2" w:tentative="1">
      <w:start w:val="1"/>
      <w:numFmt w:val="lowerRoman"/>
      <w:lvlText w:val="%3."/>
      <w:lvlJc w:val="right"/>
      <w:pPr>
        <w:ind w:left="1812" w:hanging="180"/>
      </w:pPr>
    </w:lvl>
    <w:lvl w:ilvl="3" w:tentative="1">
      <w:start w:val="1"/>
      <w:numFmt w:val="decimal"/>
      <w:lvlText w:val="%4."/>
      <w:lvlJc w:val="left"/>
      <w:pPr>
        <w:ind w:left="2532" w:hanging="360"/>
      </w:pPr>
    </w:lvl>
    <w:lvl w:ilvl="4" w:tentative="1">
      <w:start w:val="1"/>
      <w:numFmt w:val="lowerLetter"/>
      <w:lvlText w:val="%5."/>
      <w:lvlJc w:val="left"/>
      <w:pPr>
        <w:ind w:left="3252" w:hanging="360"/>
      </w:pPr>
    </w:lvl>
    <w:lvl w:ilvl="5" w:tentative="1">
      <w:start w:val="1"/>
      <w:numFmt w:val="lowerRoman"/>
      <w:lvlText w:val="%6."/>
      <w:lvlJc w:val="right"/>
      <w:pPr>
        <w:ind w:left="3972" w:hanging="180"/>
      </w:pPr>
    </w:lvl>
    <w:lvl w:ilvl="6" w:tentative="1">
      <w:start w:val="1"/>
      <w:numFmt w:val="decimal"/>
      <w:lvlText w:val="%7."/>
      <w:lvlJc w:val="left"/>
      <w:pPr>
        <w:ind w:left="4692" w:hanging="360"/>
      </w:pPr>
    </w:lvl>
    <w:lvl w:ilvl="7" w:tentative="1">
      <w:start w:val="1"/>
      <w:numFmt w:val="lowerLetter"/>
      <w:lvlText w:val="%8."/>
      <w:lvlJc w:val="left"/>
      <w:pPr>
        <w:ind w:left="5412" w:hanging="360"/>
      </w:pPr>
    </w:lvl>
    <w:lvl w:ilvl="8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>
    <w:nsid w:val="70511D5E"/>
    <w:multiLevelType w:val="hybridMultilevel"/>
    <w:tmpl w:val="CD583E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D3247"/>
    <w:multiLevelType w:val="hybridMultilevel"/>
    <w:tmpl w:val="F7C858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4"/>
  </w:num>
  <w:num w:numId="5">
    <w:abstractNumId w:val="16"/>
  </w:num>
  <w:num w:numId="6">
    <w:abstractNumId w:val="10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11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8A20-BBF7-4590-AF5F-87D42B5D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5618</Words>
  <Characters>32027</Characters>
  <Application>Microsoft Office Word</Application>
  <DocSecurity>0</DocSecurity>
  <Lines>266</Lines>
  <Paragraphs>75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37570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4</cp:revision>
  <cp:lastPrinted>2019-02-20T08:18:00Z</cp:lastPrinted>
  <dcterms:created xsi:type="dcterms:W3CDTF">2019-02-07T09:29:00Z</dcterms:created>
  <dcterms:modified xsi:type="dcterms:W3CDTF">2019-02-20T08:25:00Z</dcterms:modified>
</cp:coreProperties>
</file>