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E009EF">
        <w:rPr>
          <w:rFonts w:ascii="Times New Roman" w:hAnsi="Times New Roman"/>
          <w:bCs/>
          <w:sz w:val="22"/>
          <w:szCs w:val="22"/>
        </w:rPr>
        <w:t>1548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E009EF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501CDB">
        <w:rPr>
          <w:rFonts w:ascii="Times New Roman" w:hAnsi="Times New Roman"/>
          <w:b/>
          <w:bCs/>
          <w:sz w:val="22"/>
          <w:szCs w:val="22"/>
        </w:rPr>
        <w:t>49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002FD9">
        <w:rPr>
          <w:rFonts w:ascii="Times New Roman" w:hAnsi="Times New Roman"/>
        </w:rPr>
        <w:t xml:space="preserve"> </w:t>
      </w:r>
      <w:r w:rsidR="00005FCC">
        <w:rPr>
          <w:rFonts w:ascii="Times New Roman" w:hAnsi="Times New Roman"/>
        </w:rPr>
        <w:t>návrh</w:t>
      </w:r>
      <w:r w:rsidR="00005FCC">
        <w:rPr>
          <w:rFonts w:ascii="Times New Roman" w:hAnsi="Times New Roman"/>
        </w:rPr>
        <w:t>u</w:t>
      </w:r>
      <w:r w:rsidR="00005FCC">
        <w:rPr>
          <w:rFonts w:ascii="Times New Roman" w:hAnsi="Times New Roman"/>
        </w:rPr>
        <w:t xml:space="preserve"> nariadenia Rady, ktorým sa stanovuje viacročný finančný rámec na roky 2021 až 2027, KOM (2018) 322 </w:t>
      </w:r>
      <w:r w:rsidR="00501CDB">
        <w:rPr>
          <w:rFonts w:ascii="Times New Roman" w:hAnsi="Times New Roman"/>
        </w:rPr>
        <w:t>bola zvolaná 49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501CDB">
        <w:rPr>
          <w:rFonts w:ascii="Times New Roman" w:hAnsi="Times New Roman"/>
        </w:rPr>
        <w:t>na 4. septembra 2018 o 13.00</w:t>
      </w:r>
      <w:r>
        <w:rPr>
          <w:rFonts w:ascii="Times New Roman" w:hAnsi="Times New Roman"/>
        </w:rPr>
        <w:t xml:space="preserve">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</w:r>
      <w:r w:rsidR="00501CDB">
        <w:rPr>
          <w:rFonts w:ascii="Times New Roman" w:hAnsi="Times New Roman"/>
          <w:b/>
          <w:noProof/>
        </w:rPr>
        <w:t>Katarína Cséfalvayová</w:t>
      </w: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05FCC"/>
    <w:rsid w:val="00026BAE"/>
    <w:rsid w:val="00141F2E"/>
    <w:rsid w:val="001D2C60"/>
    <w:rsid w:val="00290516"/>
    <w:rsid w:val="002A172F"/>
    <w:rsid w:val="0036328B"/>
    <w:rsid w:val="00501CDB"/>
    <w:rsid w:val="00735C8A"/>
    <w:rsid w:val="00777FC6"/>
    <w:rsid w:val="009F54E9"/>
    <w:rsid w:val="00A61B3E"/>
    <w:rsid w:val="00BF6529"/>
    <w:rsid w:val="00E009EF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117</Words>
  <Characters>668</Characters>
  <Application>Microsoft Office Word</Application>
  <DocSecurity>0</DocSecurity>
  <Lines>0</Lines>
  <Paragraphs>0</Paragraphs>
  <ScaleCrop>false</ScaleCrop>
  <Company>Kancelaria NRSR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4</cp:revision>
  <cp:lastPrinted>2017-09-04T14:05:00Z</cp:lastPrinted>
  <dcterms:created xsi:type="dcterms:W3CDTF">2018-09-04T13:26:00Z</dcterms:created>
  <dcterms:modified xsi:type="dcterms:W3CDTF">2018-09-05T09:05:00Z</dcterms:modified>
</cp:coreProperties>
</file>