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8A73B7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444FC0">
        <w:rPr>
          <w:rFonts w:ascii="AT*Toronto" w:hAnsi="AT*Toronto"/>
          <w:b/>
          <w:sz w:val="32"/>
        </w:rPr>
        <w:t>264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D62EF4">
        <w:rPr>
          <w:rFonts w:ascii="Times New Roman" w:hAnsi="Times New Roman"/>
        </w:rPr>
        <w:t>2</w:t>
      </w:r>
      <w:r w:rsidR="004E6760">
        <w:rPr>
          <w:rFonts w:ascii="Times New Roman" w:hAnsi="Times New Roman"/>
        </w:rPr>
        <w:t>2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2877F5">
        <w:rPr>
          <w:rFonts w:ascii="Times New Roman" w:hAnsi="Times New Roman"/>
        </w:rPr>
        <w:t xml:space="preserve"> </w:t>
      </w:r>
      <w:r w:rsidR="004E6760">
        <w:rPr>
          <w:rFonts w:ascii="Times New Roman" w:hAnsi="Times New Roman"/>
        </w:rPr>
        <w:t>Vlastimilovi Vyšňovskému, bývalému členovi predstavenstva HOREZZA, a.s. Piešťany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D62EF4">
        <w:rPr>
          <w:rFonts w:ascii="Times New Roman" w:hAnsi="Times New Roman"/>
          <w:b w:val="0"/>
          <w:szCs w:val="24"/>
        </w:rPr>
        <w:t>2</w:t>
      </w:r>
      <w:r w:rsidR="004E6760">
        <w:rPr>
          <w:rFonts w:ascii="Times New Roman" w:hAnsi="Times New Roman"/>
          <w:b w:val="0"/>
          <w:szCs w:val="24"/>
        </w:rPr>
        <w:t>9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4E6760">
        <w:rPr>
          <w:rFonts w:ascii="Times New Roman" w:hAnsi="Times New Roman"/>
        </w:rPr>
        <w:t>Vlastimil Vyšňovský, bývalý člen predstavenstva HOREZZA, a.s. Piešťany</w:t>
      </w:r>
      <w:r w:rsidRPr="002F37BB" w:rsidR="00337938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</w:t>
      </w:r>
      <w:r w:rsidR="004E6760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4E6760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</w:t>
      </w:r>
      <w:r w:rsidR="00337938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4E6760">
        <w:rPr>
          <w:rFonts w:ascii="Times New Roman" w:hAnsi="Times New Roman"/>
        </w:rPr>
        <w:t xml:space="preserve">Vlastimilovi Vyšňovskému, bývalému členovi predstavenstva HOREZZA, a.s. Piešťany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444FC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4FC0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E6760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2</Pages>
  <Words>421</Words>
  <Characters>2401</Characters>
  <Application>Microsoft Office Word</Application>
  <DocSecurity>0</DocSecurity>
  <Lines>0</Lines>
  <Paragraphs>0</Paragraphs>
  <ScaleCrop>false</ScaleCrop>
  <Company>Kancelaria NR SR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15</cp:revision>
  <cp:lastPrinted>2018-06-20T10:14:00Z</cp:lastPrinted>
  <dcterms:created xsi:type="dcterms:W3CDTF">2018-02-02T13:13:00Z</dcterms:created>
  <dcterms:modified xsi:type="dcterms:W3CDTF">2018-06-20T10:14:00Z</dcterms:modified>
</cp:coreProperties>
</file>