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8349BA">
      <w:pPr>
        <w:ind w:left="4248"/>
        <w:jc w:val="right"/>
      </w:pPr>
      <w:r w:rsidRPr="008349BA">
        <w:t xml:space="preserve">                                        </w:t>
      </w:r>
      <w:r w:rsidR="00D5059A">
        <w:t>51</w:t>
      </w:r>
      <w:r w:rsidRPr="008349BA" w:rsidR="00985280">
        <w:t>.</w:t>
      </w:r>
      <w:r w:rsidRPr="008349BA">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Pr="00D5059A" w:rsidR="00D5059A">
        <w:t>8</w:t>
      </w:r>
      <w:r w:rsidR="00BB533D">
        <w:t>23</w:t>
      </w:r>
      <w:r w:rsidRPr="00053FB9" w:rsidR="003371B9">
        <w:t>/</w:t>
      </w:r>
      <w:r w:rsidR="00053FB9">
        <w:t>201</w:t>
      </w:r>
      <w:r w:rsidR="0087655D">
        <w:t>8</w:t>
      </w:r>
    </w:p>
    <w:p w:rsidR="0004001B" w:rsidP="00067F0B">
      <w:pPr>
        <w:ind w:left="3540" w:firstLine="708"/>
        <w:rPr>
          <w:b/>
        </w:rPr>
      </w:pPr>
    </w:p>
    <w:p w:rsidR="00576DE1" w:rsidP="00067F0B">
      <w:pPr>
        <w:ind w:left="3540" w:firstLine="708"/>
        <w:rPr>
          <w:b/>
        </w:rPr>
      </w:pPr>
    </w:p>
    <w:p w:rsidR="009B024D" w:rsidP="00067F0B">
      <w:pPr>
        <w:ind w:left="3540" w:firstLine="708"/>
        <w:rPr>
          <w:b/>
        </w:rPr>
      </w:pPr>
      <w:r w:rsidR="0011101B">
        <w:rPr>
          <w:b/>
        </w:rPr>
        <w:t xml:space="preserve">        </w:t>
      </w:r>
      <w:r w:rsidR="00D551ED">
        <w:rPr>
          <w:b/>
        </w:rPr>
        <w:t xml:space="preserve"> </w:t>
      </w:r>
      <w:r w:rsidR="00ED4174">
        <w:rPr>
          <w:b/>
        </w:rPr>
        <w:t>287</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D5059A">
        <w:rPr>
          <w:b/>
        </w:rPr>
        <w:t>o</w:t>
      </w:r>
      <w:r w:rsidR="00272FA8">
        <w:rPr>
          <w:b/>
        </w:rPr>
        <w:t xml:space="preserve"> </w:t>
      </w:r>
      <w:r w:rsidR="00D5059A">
        <w:rPr>
          <w:b/>
        </w:rPr>
        <w:t>7</w:t>
      </w:r>
      <w:r w:rsidR="00C72FBD">
        <w:rPr>
          <w:b/>
        </w:rPr>
        <w:t xml:space="preserve">. </w:t>
      </w:r>
      <w:r w:rsidR="00D5059A">
        <w:rPr>
          <w:b/>
        </w:rPr>
        <w:t>júna</w:t>
      </w:r>
      <w:r w:rsidR="00830899">
        <w:rPr>
          <w:b/>
        </w:rPr>
        <w:t xml:space="preserve"> 201</w:t>
      </w:r>
      <w:r w:rsidR="0087655D">
        <w:rPr>
          <w:b/>
        </w:rPr>
        <w:t>8</w:t>
      </w:r>
    </w:p>
    <w:p w:rsidR="00FC15F7" w:rsidP="00FC15F7">
      <w:pPr>
        <w:keepNext/>
        <w:shd w:val="clear" w:color="auto" w:fill="FFFFFF"/>
        <w:jc w:val="both"/>
        <w:outlineLvl w:val="1"/>
        <w:rPr>
          <w:b/>
        </w:rPr>
      </w:pPr>
    </w:p>
    <w:p w:rsidR="00EC5F3F" w:rsidRPr="00D5059A" w:rsidP="00D5059A">
      <w:pPr>
        <w:tabs>
          <w:tab w:val="left" w:pos="426"/>
        </w:tabs>
        <w:contextualSpacing/>
        <w:jc w:val="both"/>
        <w:rPr>
          <w:b/>
          <w:bCs w:val="0"/>
          <w:color w:val="FF0000"/>
        </w:rPr>
      </w:pPr>
      <w:r w:rsidRPr="005D2E69">
        <w:t>Výbor Národnej rady Sl</w:t>
      </w:r>
      <w:r w:rsidRPr="005D2E69" w:rsidR="003371B9">
        <w:t>ovenskej republiky pre financie a</w:t>
      </w:r>
      <w:r w:rsidRPr="005D2E69">
        <w:t xml:space="preserve"> rozpočet </w:t>
      </w:r>
      <w:r w:rsidRPr="005D2E69" w:rsidR="00F966EF">
        <w:t>prerokoval</w:t>
      </w:r>
      <w:r w:rsidRPr="00D1527C" w:rsidR="00D1527C">
        <w:rPr>
          <w:b/>
          <w:iCs/>
          <w:color w:val="000000"/>
        </w:rPr>
        <w:t xml:space="preserve"> </w:t>
      </w:r>
      <w:r w:rsidR="00DB6E2F">
        <w:rPr>
          <w:iCs/>
          <w:color w:val="000000"/>
        </w:rPr>
        <w:t>v</w:t>
      </w:r>
      <w:r w:rsidRPr="00DB6E2F" w:rsidR="00DB6E2F">
        <w:rPr>
          <w:bCs w:val="0"/>
        </w:rPr>
        <w:t xml:space="preserve">ládny návrh zákona o dani z poistenia a o zmene a doplnení niektorých zákonov </w:t>
      </w:r>
      <w:r w:rsidRPr="00DB6E2F" w:rsidR="00DB6E2F">
        <w:rPr>
          <w:b/>
          <w:bCs w:val="0"/>
        </w:rPr>
        <w:t>(tlač 945)</w:t>
      </w:r>
      <w:r w:rsidR="00DB6E2F">
        <w:rPr>
          <w:b/>
          <w:bCs w:val="0"/>
        </w:rPr>
        <w:t xml:space="preserve"> </w:t>
      </w:r>
      <w:r w:rsidRPr="0087655D" w:rsidR="00450C55">
        <w:rPr>
          <w:b/>
        </w:rPr>
        <w:t>a</w:t>
      </w:r>
      <w:r w:rsidRPr="0087655D" w:rsidR="00ED3C5E">
        <w:rPr>
          <w:b/>
        </w:rPr>
        <w:t xml:space="preserve"> </w:t>
      </w:r>
      <w:r w:rsidRPr="0087655D" w:rsidR="008458BA">
        <w:rPr>
          <w:b/>
        </w:rPr>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87655D">
      <w:pPr>
        <w:pStyle w:val="BodyText"/>
        <w:spacing w:after="0"/>
        <w:ind w:firstLine="567"/>
        <w:jc w:val="both"/>
      </w:pPr>
      <w:r w:rsidR="00321A20">
        <w:t>s</w:t>
      </w:r>
      <w:r w:rsidRPr="00A73ECD" w:rsidR="00B614DE">
        <w:t> </w:t>
      </w:r>
      <w:r w:rsidR="00DB6E2F">
        <w:rPr>
          <w:iCs/>
          <w:color w:val="000000"/>
        </w:rPr>
        <w:t>v</w:t>
      </w:r>
      <w:r w:rsidRPr="00DB6E2F" w:rsidR="00DB6E2F">
        <w:rPr>
          <w:bCs w:val="0"/>
        </w:rPr>
        <w:t>ládny</w:t>
      </w:r>
      <w:r w:rsidR="00DB6E2F">
        <w:rPr>
          <w:bCs w:val="0"/>
        </w:rPr>
        <w:t>m</w:t>
      </w:r>
      <w:r w:rsidRPr="00DB6E2F" w:rsidR="00DB6E2F">
        <w:rPr>
          <w:bCs w:val="0"/>
        </w:rPr>
        <w:t xml:space="preserve"> návrh</w:t>
      </w:r>
      <w:r w:rsidR="00DB6E2F">
        <w:rPr>
          <w:bCs w:val="0"/>
        </w:rPr>
        <w:t>om</w:t>
      </w:r>
      <w:r w:rsidRPr="00DB6E2F" w:rsidR="00DB6E2F">
        <w:rPr>
          <w:bCs w:val="0"/>
        </w:rPr>
        <w:t xml:space="preserve"> zákona o dani z poistenia a o z</w:t>
      </w:r>
      <w:r w:rsidRPr="00DB6E2F" w:rsidR="00DB6E2F">
        <w:rPr>
          <w:bCs w:val="0"/>
        </w:rPr>
        <w:t xml:space="preserve">mene a doplnení niektorých zákonov </w:t>
      </w:r>
      <w:r w:rsidRPr="00DB6E2F" w:rsidR="00DB6E2F">
        <w:rPr>
          <w:b/>
          <w:bCs w:val="0"/>
        </w:rPr>
        <w:t>(tlač 945)</w:t>
      </w:r>
    </w:p>
    <w:p w:rsidR="00777CFA" w:rsidP="00E20A99">
      <w:pPr>
        <w:pStyle w:val="BodyText"/>
        <w:spacing w:after="0"/>
        <w:ind w:left="1416" w:firstLine="708"/>
        <w:jc w:val="both"/>
        <w:rPr>
          <w:color w:val="000000"/>
        </w:rPr>
      </w:pPr>
    </w:p>
    <w:p w:rsidR="00AC2960" w:rsidP="00E20A99">
      <w:pPr>
        <w:pStyle w:val="BodyText"/>
        <w:spacing w:after="0"/>
        <w:ind w:left="1416" w:firstLine="708"/>
        <w:jc w:val="both"/>
        <w:rPr>
          <w:color w:val="000000"/>
        </w:rPr>
      </w:pPr>
    </w:p>
    <w:p w:rsidR="00D551ED"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9B024D">
      <w:pPr>
        <w:pStyle w:val="Heading1"/>
        <w:ind w:left="0" w:firstLine="567"/>
        <w:jc w:val="both"/>
      </w:pPr>
      <w:r w:rsidRPr="00DB6E2F" w:rsidR="00DB6E2F">
        <w:rPr>
          <w:b w:val="0"/>
          <w:iCs/>
          <w:color w:val="000000"/>
        </w:rPr>
        <w:t>v</w:t>
      </w:r>
      <w:r w:rsidRPr="00DB6E2F" w:rsidR="00DB6E2F">
        <w:rPr>
          <w:b w:val="0"/>
          <w:bCs w:val="0"/>
        </w:rPr>
        <w:t>ládny návrh zákona o dani z poistenia a o zmene a doplnení niektorých zákonov (tlač 945)</w:t>
      </w:r>
      <w:r w:rsidR="00DB6E2F">
        <w:rPr>
          <w:bCs w:val="0"/>
        </w:rPr>
        <w:t xml:space="preserve"> </w:t>
      </w:r>
      <w:r w:rsidRPr="00E20A99" w:rsidR="00F33022">
        <w:t xml:space="preserve">schváliť </w:t>
      </w:r>
      <w:r w:rsidRPr="00534101" w:rsidR="00F33022">
        <w:t>s pozmeňujúcimi a doplňujúcimi návrhmi tak, ako sú uvedené v p</w:t>
      </w:r>
      <w:r w:rsidRPr="00534101" w:rsidR="00F33022">
        <w:t>rílohe tohto uznesenia</w:t>
      </w:r>
      <w:r w:rsidR="00FA5B31">
        <w:t>;</w:t>
      </w:r>
    </w:p>
    <w:p w:rsidR="00E13467" w:rsidP="000139BA">
      <w:pPr>
        <w:ind w:left="1416"/>
        <w:jc w:val="both"/>
        <w:rPr>
          <w:b/>
        </w:rPr>
      </w:pPr>
      <w:r>
        <w:rPr>
          <w:b/>
        </w:rPr>
        <w:tab/>
      </w:r>
    </w:p>
    <w:p w:rsidR="00777CFA" w:rsidP="000139BA">
      <w:pPr>
        <w:ind w:left="1416"/>
        <w:jc w:val="both"/>
        <w:rPr>
          <w:b/>
        </w:rPr>
      </w:pPr>
    </w:p>
    <w:p w:rsidR="00D551ED"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P="004E43BB">
      <w:pPr>
        <w:ind w:firstLine="567"/>
        <w:jc w:val="both"/>
      </w:pPr>
      <w:r w:rsidRPr="00B1559A" w:rsidR="004D0847">
        <w:t>informovať predsedu Národnej</w:t>
      </w:r>
      <w:r w:rsidR="004D0847">
        <w:t xml:space="preserve"> </w:t>
      </w:r>
      <w:r w:rsidRPr="00B1559A" w:rsidR="004D0847">
        <w:t>rady Slovenskej republiky o výsledku prerokovania uvedeného</w:t>
      </w:r>
      <w:r w:rsidR="004D0847">
        <w:t xml:space="preserve"> </w:t>
      </w:r>
      <w:r w:rsidR="008349BA">
        <w:t xml:space="preserve">vládneho </w:t>
      </w:r>
      <w:r w:rsidRPr="00B1559A" w:rsidR="004D0847">
        <w:t xml:space="preserve">návrhu </w:t>
      </w:r>
      <w:r w:rsidR="00B04B3C">
        <w:t xml:space="preserve">zákona </w:t>
      </w:r>
      <w:r w:rsidRPr="00B1559A" w:rsidR="004D0847">
        <w:t>vo výbore</w:t>
      </w:r>
      <w:r w:rsidR="004D0847">
        <w:t>.</w:t>
      </w:r>
    </w:p>
    <w:p w:rsidR="0052115B" w:rsidP="00C739C2">
      <w:r w:rsidR="00E20A99">
        <w:t xml:space="preserve">                                                              </w:t>
      </w:r>
    </w:p>
    <w:p w:rsidR="008349BA" w:rsidP="00C739C2"/>
    <w:p w:rsidR="00A45E0F"/>
    <w:p w:rsidR="008A7014" w:rsidP="008A7014">
      <w:pPr>
        <w:rPr>
          <w:b/>
          <w:bCs w:val="0"/>
        </w:rPr>
      </w:pPr>
    </w:p>
    <w:p w:rsidR="008A7014" w:rsidP="008A7014">
      <w:pPr>
        <w:ind w:left="5664" w:firstLine="708"/>
        <w:rPr>
          <w:b/>
          <w:bCs w:val="0"/>
        </w:rPr>
      </w:pPr>
    </w:p>
    <w:p w:rsidR="008A7014" w:rsidP="008A7014">
      <w:pPr>
        <w:ind w:left="5664" w:firstLine="708"/>
        <w:rPr>
          <w:b/>
        </w:rPr>
      </w:pPr>
      <w:r>
        <w:rPr>
          <w:b/>
          <w:bCs w:val="0"/>
        </w:rPr>
        <w:t xml:space="preserve">       </w:t>
      </w:r>
      <w:r>
        <w:rPr>
          <w:b/>
          <w:bCs w:val="0"/>
        </w:rPr>
        <w:t xml:space="preserve"> Ladislav Kamenický </w:t>
      </w:r>
    </w:p>
    <w:p w:rsidR="008A7014" w:rsidP="008A7014">
      <w:pPr>
        <w:ind w:left="5664" w:firstLine="708"/>
      </w:pPr>
      <w:r>
        <w:t xml:space="preserve">           predseda výboru</w:t>
      </w:r>
    </w:p>
    <w:p w:rsidR="008A7014" w:rsidP="008A7014">
      <w:pPr>
        <w:jc w:val="both"/>
        <w:rPr>
          <w:b/>
          <w:bCs w:val="0"/>
        </w:rPr>
      </w:pPr>
      <w:r>
        <w:rPr>
          <w:b/>
        </w:rPr>
        <w:t xml:space="preserve">  </w:t>
      </w:r>
      <w:r>
        <w:rPr>
          <w:b/>
          <w:bCs w:val="0"/>
        </w:rPr>
        <w:t>Irén Sárközy</w:t>
      </w:r>
    </w:p>
    <w:p w:rsidR="008A7014" w:rsidP="008A7014">
      <w:pPr>
        <w:jc w:val="both"/>
        <w:rPr>
          <w:b/>
          <w:bCs w:val="0"/>
        </w:rPr>
      </w:pPr>
      <w:r>
        <w:rPr>
          <w:b/>
          <w:bCs w:val="0"/>
        </w:rPr>
        <w:t xml:space="preserve"> Peter Štarchoň</w:t>
      </w:r>
    </w:p>
    <w:p w:rsidR="008A7014" w:rsidRPr="008F51E4" w:rsidP="008A7014">
      <w:pPr>
        <w:jc w:val="both"/>
        <w:rPr>
          <w:bCs w:val="0"/>
        </w:rPr>
      </w:pPr>
      <w:r>
        <w:rPr>
          <w:bCs w:val="0"/>
        </w:rPr>
        <w:t>overovateľ výboru</w:t>
      </w:r>
    </w:p>
    <w:p w:rsidR="00AC2960"/>
    <w:p w:rsidR="00065DBF"/>
    <w:p w:rsidR="0087655D"/>
    <w:p w:rsidR="00DB6E2F"/>
    <w:p w:rsidR="0087655D"/>
    <w:p w:rsidR="00065DBF"/>
    <w:p w:rsidR="00BB533D" w:rsidP="000D14F9">
      <w:pPr>
        <w:pStyle w:val="Heading4"/>
        <w:widowControl w:val="0"/>
        <w:rPr>
          <w:rFonts w:ascii="AT*Zurich Calligraphic" w:hAnsi="AT*Zurich Calligraphic"/>
        </w:rPr>
      </w:pPr>
    </w:p>
    <w:p w:rsidR="00BB533D" w:rsidP="000D14F9">
      <w:pPr>
        <w:pStyle w:val="Heading4"/>
        <w:widowControl w:val="0"/>
        <w:rPr>
          <w:rFonts w:ascii="AT*Zurich Calligraphic" w:hAnsi="AT*Zurich Calligraphic"/>
        </w:rPr>
      </w:pPr>
    </w:p>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0D14F9">
      <w:pPr>
        <w:jc w:val="right"/>
        <w:rPr>
          <w:b/>
        </w:rPr>
      </w:pPr>
      <w:r>
        <w:t xml:space="preserve">Príloha k uzn. </w:t>
      </w:r>
      <w:r w:rsidRPr="006C72E6">
        <w:rPr>
          <w:b/>
        </w:rPr>
        <w:t>č.</w:t>
      </w:r>
      <w:r w:rsidR="0065532A">
        <w:rPr>
          <w:b/>
        </w:rPr>
        <w:t xml:space="preserve"> </w:t>
      </w:r>
      <w:r w:rsidR="00ED4174">
        <w:rPr>
          <w:b/>
        </w:rPr>
        <w:t>287</w:t>
      </w:r>
    </w:p>
    <w:p w:rsidR="000D14F9" w:rsidRPr="003371B9" w:rsidP="000D14F9">
      <w:pPr>
        <w:jc w:val="right"/>
      </w:pPr>
      <w:r w:rsidR="00DB6E2F">
        <w:rPr>
          <w:bCs w:val="0"/>
        </w:rPr>
        <w:t>51</w:t>
      </w:r>
      <w:r w:rsidRPr="003371B9">
        <w:rPr>
          <w:bCs w:val="0"/>
        </w:rPr>
        <w:t xml:space="preserve">. </w:t>
      </w:r>
      <w:r w:rsidRPr="003371B9">
        <w:t>schôdza</w:t>
      </w:r>
    </w:p>
    <w:p w:rsidR="008E4B87" w:rsidP="000D14F9">
      <w:pPr>
        <w:jc w:val="center"/>
        <w:rPr>
          <w:b/>
        </w:rPr>
      </w:pPr>
    </w:p>
    <w:p w:rsidR="00D5059A" w:rsidP="000D14F9">
      <w:pPr>
        <w:jc w:val="center"/>
        <w:rPr>
          <w:b/>
        </w:rPr>
      </w:pPr>
    </w:p>
    <w:p w:rsidR="00D5059A" w:rsidP="000D14F9">
      <w:pPr>
        <w:jc w:val="center"/>
        <w:rPr>
          <w:b/>
        </w:rPr>
      </w:pPr>
    </w:p>
    <w:p w:rsidR="000D14F9" w:rsidRPr="00067F0B" w:rsidP="000D14F9">
      <w:pPr>
        <w:jc w:val="center"/>
        <w:rPr>
          <w:b/>
          <w:bCs w:val="0"/>
        </w:rPr>
      </w:pPr>
      <w:r w:rsidRPr="00067F0B">
        <w:rPr>
          <w:b/>
          <w:bCs w:val="0"/>
        </w:rPr>
        <w:t>Pozmeňuj</w:t>
      </w:r>
      <w:r w:rsidRPr="00067F0B">
        <w:rPr>
          <w:b/>
          <w:bCs w:val="0"/>
        </w:rPr>
        <w:t>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87655D">
      <w:pPr>
        <w:pStyle w:val="Heading1"/>
        <w:ind w:left="360"/>
        <w:jc w:val="center"/>
      </w:pPr>
      <w:r w:rsidR="00117627">
        <w:t>k</w:t>
      </w:r>
      <w:r w:rsidR="00057956">
        <w:t> </w:t>
      </w:r>
      <w:r w:rsidR="00DB6E2F">
        <w:rPr>
          <w:iCs/>
          <w:color w:val="000000"/>
        </w:rPr>
        <w:t>v</w:t>
      </w:r>
      <w:r w:rsidR="00DB6E2F">
        <w:rPr>
          <w:bCs w:val="0"/>
        </w:rPr>
        <w:t>ládnemu</w:t>
      </w:r>
      <w:r w:rsidRPr="00DB6E2F" w:rsidR="00DB6E2F">
        <w:rPr>
          <w:bCs w:val="0"/>
        </w:rPr>
        <w:t xml:space="preserve"> návrh</w:t>
      </w:r>
      <w:r w:rsidR="00DB6E2F">
        <w:rPr>
          <w:bCs w:val="0"/>
        </w:rPr>
        <w:t>u</w:t>
      </w:r>
      <w:r w:rsidRPr="00DB6E2F" w:rsidR="00DB6E2F">
        <w:rPr>
          <w:bCs w:val="0"/>
        </w:rPr>
        <w:t xml:space="preserve"> zákona o dani z poistenia a o zmene a doplnení niektorých zákonov (tlač 945)</w:t>
      </w:r>
    </w:p>
    <w:p w:rsidR="000D14F9" w:rsidP="000D14F9">
      <w:pPr>
        <w:rPr>
          <w:b/>
          <w:bCs w:val="0"/>
        </w:rPr>
      </w:pPr>
      <w:r>
        <w:rPr>
          <w:b/>
          <w:bCs w:val="0"/>
        </w:rPr>
        <w:t xml:space="preserve">––––––––––––––––––––––––––––––––––––––––––––––––––––––––––––––––––––––––––––––  </w:t>
      </w:r>
    </w:p>
    <w:p w:rsidR="00D461E7" w:rsidRPr="00D461E7" w:rsidP="00D461E7">
      <w:pPr>
        <w:pStyle w:val="Zkladntext"/>
        <w:numPr>
          <w:ilvl w:val="0"/>
          <w:numId w:val="28"/>
        </w:numPr>
        <w:jc w:val="both"/>
        <w:rPr>
          <w:b/>
          <w:color w:val="auto"/>
        </w:rPr>
      </w:pPr>
      <w:r w:rsidRPr="00D461E7">
        <w:rPr>
          <w:b/>
          <w:color w:val="auto"/>
        </w:rPr>
        <w:t>K čl. I §3</w:t>
      </w:r>
      <w:r>
        <w:rPr>
          <w:b/>
          <w:color w:val="auto"/>
        </w:rPr>
        <w:t xml:space="preserve"> ods. 2</w:t>
      </w:r>
    </w:p>
    <w:p w:rsidR="00ED4174" w:rsidRPr="00ED4174" w:rsidP="00D461E7">
      <w:pPr>
        <w:pStyle w:val="Zkladntext"/>
        <w:ind w:left="720"/>
        <w:jc w:val="both"/>
        <w:rPr>
          <w:color w:val="auto"/>
        </w:rPr>
      </w:pPr>
      <w:r w:rsidRPr="00ED4174">
        <w:rPr>
          <w:color w:val="auto"/>
        </w:rPr>
        <w:t>V čl. I § 3 ods. 2 písm. a) sa za slovo „nachádzajú“ vkladá čiarka a slová „a sú poistené rovnakou poistnou zmluvou“ sa nahrádzajú slovami „okrem tovaru v obchodnej preprave,“.</w:t>
      </w:r>
    </w:p>
    <w:p w:rsidR="00ED4174" w:rsidRPr="00ED4174" w:rsidP="00ED4174">
      <w:pPr>
        <w:pStyle w:val="Zkladntext"/>
        <w:ind w:left="3969"/>
        <w:jc w:val="both"/>
      </w:pPr>
      <w:r w:rsidRPr="00ED4174">
        <w:t>Navrhovaným znením sa mení umiestnenie rizika pri tovare v obchodnej preprave, a to na základe čl. 157 smernice Európskeho parlamentu a Rady 2009/138/ES z 25. novembra 2009 o začatí a vykonávaní poistenia a zaistenia (Solventnosť II) (prepracované znenie). Umiestnenie rizika pri tomto tovare sa určí podľa ustanovenia § 3 ods. 2 písm. d) zákona, to znamená podľa sídla al</w:t>
      </w:r>
      <w:r w:rsidRPr="00ED4174">
        <w:t>ebo prevádzkarne poistníka.</w:t>
      </w:r>
    </w:p>
    <w:p w:rsidR="00ED4174" w:rsidRPr="00ED4174" w:rsidP="00ED4174">
      <w:pPr>
        <w:rPr>
          <w:b/>
          <w:bCs w:val="0"/>
        </w:rPr>
      </w:pPr>
    </w:p>
    <w:p w:rsidR="00ED4174" w:rsidRPr="00ED4174" w:rsidP="00D461E7">
      <w:pPr>
        <w:widowControl w:val="0"/>
        <w:numPr>
          <w:ilvl w:val="0"/>
          <w:numId w:val="28"/>
        </w:numPr>
        <w:suppressAutoHyphens/>
        <w:autoSpaceDE w:val="0"/>
        <w:autoSpaceDN w:val="0"/>
        <w:adjustRightInd w:val="0"/>
        <w:contextualSpacing/>
        <w:jc w:val="both"/>
        <w:rPr>
          <w:rFonts w:eastAsia="Calibri"/>
          <w:b/>
          <w:bCs w:val="0"/>
          <w:lang w:eastAsia="en-US"/>
        </w:rPr>
      </w:pPr>
      <w:r w:rsidR="00D461E7">
        <w:rPr>
          <w:rFonts w:eastAsia="Calibri"/>
          <w:b/>
          <w:bCs w:val="0"/>
          <w:lang w:eastAsia="en-US"/>
        </w:rPr>
        <w:t>K čl. I</w:t>
      </w:r>
      <w:r w:rsidRPr="00ED4174">
        <w:rPr>
          <w:rFonts w:eastAsia="Calibri"/>
          <w:b/>
          <w:bCs w:val="0"/>
          <w:lang w:eastAsia="en-US"/>
        </w:rPr>
        <w:t xml:space="preserve"> § 4</w:t>
      </w:r>
      <w:r w:rsidR="00D461E7">
        <w:rPr>
          <w:rFonts w:eastAsia="Calibri"/>
          <w:b/>
          <w:bCs w:val="0"/>
          <w:lang w:eastAsia="en-US"/>
        </w:rPr>
        <w:t xml:space="preserve"> ods.2</w:t>
      </w:r>
    </w:p>
    <w:p w:rsidR="00ED4174" w:rsidRPr="00ED4174" w:rsidP="00D461E7">
      <w:pPr>
        <w:widowControl w:val="0"/>
        <w:autoSpaceDE w:val="0"/>
        <w:autoSpaceDN w:val="0"/>
        <w:adjustRightInd w:val="0"/>
        <w:ind w:left="284" w:firstLine="424"/>
        <w:contextualSpacing/>
        <w:jc w:val="both"/>
        <w:rPr>
          <w:rFonts w:eastAsia="Calibri"/>
          <w:bCs w:val="0"/>
          <w:lang w:eastAsia="en-US"/>
        </w:rPr>
      </w:pPr>
      <w:r w:rsidRPr="00ED4174">
        <w:rPr>
          <w:rFonts w:eastAsia="Calibri"/>
          <w:bCs w:val="0"/>
          <w:lang w:eastAsia="en-US"/>
        </w:rPr>
        <w:t xml:space="preserve">V čl. I, § 4 ods. 2 sa na konci úvodnej vety pripája slovo „aj“.  </w:t>
      </w:r>
    </w:p>
    <w:p w:rsidR="00ED4174" w:rsidRPr="00ED4174" w:rsidP="00ED4174">
      <w:pPr>
        <w:widowControl w:val="0"/>
        <w:autoSpaceDE w:val="0"/>
        <w:autoSpaceDN w:val="0"/>
        <w:adjustRightInd w:val="0"/>
        <w:ind w:left="3969"/>
        <w:contextualSpacing/>
        <w:jc w:val="both"/>
        <w:rPr>
          <w:rFonts w:eastAsia="Calibri"/>
          <w:bCs w:val="0"/>
          <w:lang w:eastAsia="en-US"/>
        </w:rPr>
      </w:pPr>
    </w:p>
    <w:p w:rsidR="00ED4174" w:rsidRPr="00ED4174" w:rsidP="00ED4174">
      <w:pPr>
        <w:widowControl w:val="0"/>
        <w:autoSpaceDE w:val="0"/>
        <w:autoSpaceDN w:val="0"/>
        <w:adjustRightInd w:val="0"/>
        <w:ind w:left="3969"/>
        <w:contextualSpacing/>
        <w:jc w:val="both"/>
        <w:rPr>
          <w:rFonts w:eastAsia="Calibri"/>
          <w:bCs w:val="0"/>
          <w:lang w:eastAsia="en-US"/>
        </w:rPr>
      </w:pPr>
      <w:r w:rsidRPr="00ED4174">
        <w:rPr>
          <w:rFonts w:eastAsia="Calibri"/>
          <w:bCs w:val="0"/>
          <w:lang w:eastAsia="en-US"/>
        </w:rPr>
        <w:t>Pozmeňujúci návrh gramaticky koriguje citované ustanovenie v zmysle znenia  § 4 ods. 1 návrhu zákona obsahujúceho hlavné vymedzenie „platiteľ</w:t>
      </w:r>
      <w:r w:rsidRPr="00ED4174">
        <w:rPr>
          <w:rFonts w:eastAsia="Calibri"/>
          <w:bCs w:val="0"/>
          <w:lang w:eastAsia="en-US"/>
        </w:rPr>
        <w:t xml:space="preserve">a“ dane z poistenia. </w:t>
      </w:r>
    </w:p>
    <w:p w:rsidR="00ED4174" w:rsidRPr="00ED4174" w:rsidP="00ED4174">
      <w:pPr>
        <w:widowControl w:val="0"/>
        <w:autoSpaceDE w:val="0"/>
        <w:autoSpaceDN w:val="0"/>
        <w:adjustRightInd w:val="0"/>
        <w:ind w:left="3969"/>
        <w:contextualSpacing/>
        <w:jc w:val="both"/>
        <w:rPr>
          <w:rFonts w:eastAsia="Calibri"/>
          <w:b/>
          <w:bCs w:val="0"/>
          <w:lang w:eastAsia="en-US"/>
        </w:rPr>
      </w:pPr>
    </w:p>
    <w:p w:rsidR="00ED4174" w:rsidRPr="00ED4174" w:rsidP="00D461E7">
      <w:pPr>
        <w:widowControl w:val="0"/>
        <w:numPr>
          <w:ilvl w:val="0"/>
          <w:numId w:val="28"/>
        </w:numPr>
        <w:suppressAutoHyphens/>
        <w:autoSpaceDE w:val="0"/>
        <w:autoSpaceDN w:val="0"/>
        <w:adjustRightInd w:val="0"/>
        <w:contextualSpacing/>
        <w:jc w:val="both"/>
        <w:rPr>
          <w:rFonts w:eastAsia="Calibri"/>
          <w:b/>
          <w:bCs w:val="0"/>
          <w:lang w:eastAsia="en-US"/>
        </w:rPr>
      </w:pPr>
      <w:r w:rsidR="00D461E7">
        <w:rPr>
          <w:rFonts w:eastAsia="Calibri"/>
          <w:b/>
          <w:bCs w:val="0"/>
          <w:lang w:eastAsia="en-US"/>
        </w:rPr>
        <w:t>K čl. I</w:t>
      </w:r>
      <w:r w:rsidRPr="00ED4174">
        <w:rPr>
          <w:rFonts w:eastAsia="Calibri"/>
          <w:b/>
          <w:bCs w:val="0"/>
          <w:lang w:eastAsia="en-US"/>
        </w:rPr>
        <w:t xml:space="preserve"> § 10 </w:t>
      </w:r>
      <w:r w:rsidR="00D461E7">
        <w:rPr>
          <w:rFonts w:eastAsia="Calibri"/>
          <w:b/>
          <w:bCs w:val="0"/>
          <w:lang w:eastAsia="en-US"/>
        </w:rPr>
        <w:t>ods. 4</w:t>
      </w:r>
    </w:p>
    <w:p w:rsidR="00ED4174" w:rsidRPr="00ED4174" w:rsidP="00D461E7">
      <w:pPr>
        <w:widowControl w:val="0"/>
        <w:autoSpaceDE w:val="0"/>
        <w:autoSpaceDN w:val="0"/>
        <w:adjustRightInd w:val="0"/>
        <w:ind w:left="708"/>
        <w:contextualSpacing/>
        <w:jc w:val="both"/>
        <w:rPr>
          <w:rFonts w:eastAsia="Calibri"/>
          <w:bCs w:val="0"/>
          <w:lang w:eastAsia="en-US"/>
        </w:rPr>
      </w:pPr>
      <w:r w:rsidRPr="00ED4174">
        <w:rPr>
          <w:rFonts w:eastAsia="Calibri"/>
          <w:bCs w:val="0"/>
          <w:lang w:eastAsia="en-US"/>
        </w:rPr>
        <w:t xml:space="preserve">V čl. I, § 10 ods. 4 sa slová „pridelí platiteľovi podľa prvej vety“ nahrádzajú slovami „vydá platiteľovi podľa prvej vety osvedčenie o registrácii pre daň, pridelí mu“. </w:t>
      </w:r>
    </w:p>
    <w:p w:rsidR="00ED4174" w:rsidRPr="00ED4174" w:rsidP="00ED4174">
      <w:pPr>
        <w:widowControl w:val="0"/>
        <w:autoSpaceDE w:val="0"/>
        <w:autoSpaceDN w:val="0"/>
        <w:adjustRightInd w:val="0"/>
        <w:ind w:left="3969"/>
        <w:contextualSpacing/>
        <w:jc w:val="both"/>
        <w:rPr>
          <w:rFonts w:eastAsia="Calibri"/>
          <w:bCs w:val="0"/>
          <w:lang w:eastAsia="en-US"/>
        </w:rPr>
      </w:pPr>
    </w:p>
    <w:p w:rsidR="00ED4174" w:rsidRPr="00ED4174" w:rsidP="00ED4174">
      <w:pPr>
        <w:widowControl w:val="0"/>
        <w:autoSpaceDE w:val="0"/>
        <w:autoSpaceDN w:val="0"/>
        <w:adjustRightInd w:val="0"/>
        <w:ind w:left="3969"/>
        <w:contextualSpacing/>
        <w:jc w:val="both"/>
        <w:rPr>
          <w:bCs w:val="0"/>
        </w:rPr>
      </w:pPr>
      <w:r w:rsidRPr="00ED4174">
        <w:rPr>
          <w:rFonts w:eastAsia="Calibri"/>
          <w:bCs w:val="0"/>
          <w:lang w:eastAsia="en-US"/>
        </w:rPr>
        <w:t xml:space="preserve">Pozmeňujúci návrh terminologicky spresňuje predmetné ustanovenie doplnením relevantného úkonu, ktorým daňový úrad </w:t>
      </w:r>
      <w:r w:rsidRPr="00ED4174">
        <w:rPr>
          <w:bCs w:val="0"/>
        </w:rPr>
        <w:t>rozhodne</w:t>
      </w:r>
      <w:r w:rsidRPr="00ED4174">
        <w:rPr>
          <w:rFonts w:eastAsia="Calibri"/>
          <w:bCs w:val="0"/>
          <w:lang w:eastAsia="en-US"/>
        </w:rPr>
        <w:t xml:space="preserve"> o pridelení </w:t>
      </w:r>
      <w:r w:rsidRPr="00ED4174">
        <w:rPr>
          <w:bCs w:val="0"/>
        </w:rPr>
        <w:t xml:space="preserve">daňového identifikačného čísla. </w:t>
      </w:r>
    </w:p>
    <w:p w:rsidR="00ED4174" w:rsidRPr="00ED4174" w:rsidP="00ED4174">
      <w:pPr>
        <w:widowControl w:val="0"/>
        <w:autoSpaceDE w:val="0"/>
        <w:autoSpaceDN w:val="0"/>
        <w:adjustRightInd w:val="0"/>
        <w:ind w:left="3969"/>
        <w:contextualSpacing/>
        <w:jc w:val="both"/>
        <w:rPr>
          <w:rFonts w:eastAsia="Calibri"/>
          <w:bCs w:val="0"/>
          <w:lang w:eastAsia="en-US"/>
        </w:rPr>
      </w:pPr>
    </w:p>
    <w:p w:rsidR="00D461E7" w:rsidRPr="00D461E7" w:rsidP="00D461E7">
      <w:pPr>
        <w:pStyle w:val="Zkladntext"/>
        <w:numPr>
          <w:ilvl w:val="0"/>
          <w:numId w:val="28"/>
        </w:numPr>
        <w:jc w:val="both"/>
        <w:rPr>
          <w:b/>
        </w:rPr>
      </w:pPr>
      <w:r w:rsidRPr="00D461E7">
        <w:rPr>
          <w:b/>
        </w:rPr>
        <w:t>K čl. I § 13</w:t>
      </w:r>
      <w:r>
        <w:rPr>
          <w:b/>
        </w:rPr>
        <w:t xml:space="preserve"> ods. 1</w:t>
      </w:r>
    </w:p>
    <w:p w:rsidR="00ED4174" w:rsidRPr="00ED4174" w:rsidP="00D461E7">
      <w:pPr>
        <w:pStyle w:val="Zkladntext"/>
        <w:ind w:firstLine="708"/>
        <w:jc w:val="both"/>
      </w:pPr>
      <w:r w:rsidRPr="00ED4174">
        <w:t>V čl. I § 13 odsek 1 sa slová „30. septembri“ nahrádzajú slovami „31. decembri“.</w:t>
      </w:r>
    </w:p>
    <w:p w:rsidR="00ED4174" w:rsidRPr="00ED4174" w:rsidP="00ED4174">
      <w:pPr>
        <w:pStyle w:val="Zkladntext"/>
        <w:jc w:val="both"/>
      </w:pPr>
    </w:p>
    <w:p w:rsidR="00ED4174" w:rsidRPr="00ED4174" w:rsidP="00D461E7">
      <w:pPr>
        <w:pStyle w:val="Zkladntext"/>
        <w:ind w:left="708"/>
        <w:jc w:val="both"/>
        <w:rPr>
          <w:color w:val="auto"/>
        </w:rPr>
      </w:pPr>
      <w:r w:rsidRPr="00ED4174">
        <w:rPr>
          <w:color w:val="auto"/>
        </w:rPr>
        <w:t xml:space="preserve">Celý čl. I nadobúda účinnosť 1. januára 2019, čo sa premietne v ustanovení o účinnosti, pri vypracúvaní čistopisu schváleného zákona. </w:t>
      </w:r>
    </w:p>
    <w:p w:rsidR="00ED4174" w:rsidRPr="00ED4174" w:rsidP="00ED4174">
      <w:pPr>
        <w:pStyle w:val="Zkladntext"/>
        <w:jc w:val="both"/>
      </w:pPr>
    </w:p>
    <w:p w:rsidR="00ED4174" w:rsidRPr="00ED4174" w:rsidP="00ED4174">
      <w:pPr>
        <w:pStyle w:val="Zkladntext"/>
        <w:ind w:left="3969"/>
        <w:jc w:val="both"/>
      </w:pPr>
      <w:r w:rsidRPr="00ED4174">
        <w:t>Navrhuje sa zmena účinnosti zákona o dani z poistenia od 1. januára 2019, čím sa vytvorí pre poisťovne dostatočne dlhý časový priestor na zabezpeč</w:t>
      </w:r>
      <w:r w:rsidRPr="00ED4174">
        <w:t>enie systémových zmien v súvislosti so zavedením dane z poistenia.</w:t>
      </w:r>
    </w:p>
    <w:p w:rsidR="00ED4174" w:rsidRPr="00ED4174" w:rsidP="00ED4174">
      <w:pPr>
        <w:pStyle w:val="Zkladntext"/>
        <w:ind w:left="3969"/>
        <w:jc w:val="both"/>
        <w:rPr>
          <w:color w:val="FF0000"/>
        </w:rPr>
      </w:pPr>
    </w:p>
    <w:p w:rsidR="00D461E7" w:rsidP="00D461E7">
      <w:pPr>
        <w:pStyle w:val="Zkladntext"/>
        <w:numPr>
          <w:ilvl w:val="0"/>
          <w:numId w:val="28"/>
        </w:numPr>
        <w:rPr>
          <w:b/>
        </w:rPr>
      </w:pPr>
      <w:r>
        <w:rPr>
          <w:b/>
        </w:rPr>
        <w:t>K čl. I § 13 ods.3</w:t>
      </w:r>
    </w:p>
    <w:p w:rsidR="00ED4174" w:rsidRPr="00ED4174" w:rsidP="00D461E7">
      <w:pPr>
        <w:pStyle w:val="Zkladntext"/>
        <w:ind w:left="3969" w:hanging="3261"/>
      </w:pPr>
      <w:r w:rsidRPr="00ED4174">
        <w:t>V čl. I § 13 odsek 3 znie:</w:t>
      </w:r>
    </w:p>
    <w:p w:rsidR="00ED4174" w:rsidRPr="00ED4174" w:rsidP="00D461E7">
      <w:pPr>
        <w:pStyle w:val="Zkladntext"/>
        <w:ind w:left="708"/>
        <w:jc w:val="both"/>
        <w:rPr>
          <w:color w:val="auto"/>
        </w:rPr>
      </w:pPr>
      <w:r w:rsidRPr="00ED4174">
        <w:rPr>
          <w:color w:val="auto"/>
        </w:rPr>
        <w:t>„(3) Poisťovateľ, ktorému vznikla povinnosť odviesť odvod časti poistného z odvetví neživotného poistenia, sa stáva odo dňa účinnosti tohto zákona daňovým subjektom registrovaným pre daň. Ak poisťovateľ podľa prvej vety nemá daňové identifikačné číslo, daňový úrad je povinný mu vydať osvedčenie o registrácii pre daň, prideliť a oznámiť mu daňové identifikačné číslo najneskôr do 28. februára 2019</w:t>
      </w:r>
      <w:r w:rsidRPr="00ED4174">
        <w:rPr>
          <w:color w:val="auto"/>
        </w:rPr>
        <w:t xml:space="preserve">.“. </w:t>
      </w:r>
    </w:p>
    <w:p w:rsidR="00ED4174" w:rsidRPr="00ED4174" w:rsidP="00ED4174">
      <w:pPr>
        <w:pStyle w:val="Zkladntext"/>
        <w:ind w:firstLine="3969"/>
        <w:jc w:val="both"/>
      </w:pPr>
    </w:p>
    <w:p w:rsidR="00ED4174" w:rsidRPr="00ED4174" w:rsidP="00ED4174">
      <w:pPr>
        <w:pStyle w:val="Zkladntext"/>
        <w:ind w:left="3969" w:hanging="3969"/>
        <w:jc w:val="both"/>
      </w:pPr>
      <w:r w:rsidRPr="00ED4174">
        <w:tab/>
        <w:t xml:space="preserve">Navrhovaná zmena súvisí so zmenou účinnosti zákona o dani z poistenia. </w:t>
      </w:r>
    </w:p>
    <w:p w:rsidR="00ED4174" w:rsidRPr="00ED4174" w:rsidP="00ED4174">
      <w:pPr>
        <w:widowControl w:val="0"/>
        <w:suppressAutoHyphens/>
        <w:autoSpaceDE w:val="0"/>
        <w:autoSpaceDN w:val="0"/>
        <w:adjustRightInd w:val="0"/>
        <w:ind w:left="3969"/>
        <w:jc w:val="both"/>
        <w:rPr>
          <w:b/>
          <w:bCs w:val="0"/>
        </w:rPr>
      </w:pPr>
    </w:p>
    <w:p w:rsidR="00ED4174" w:rsidRPr="00ED4174" w:rsidP="00D461E7">
      <w:pPr>
        <w:widowControl w:val="0"/>
        <w:numPr>
          <w:ilvl w:val="0"/>
          <w:numId w:val="28"/>
        </w:numPr>
        <w:suppressAutoHyphens/>
        <w:autoSpaceDE w:val="0"/>
        <w:autoSpaceDN w:val="0"/>
        <w:adjustRightInd w:val="0"/>
        <w:contextualSpacing/>
        <w:jc w:val="both"/>
        <w:rPr>
          <w:rFonts w:eastAsia="Calibri"/>
          <w:b/>
          <w:bCs w:val="0"/>
          <w:lang w:eastAsia="en-US"/>
        </w:rPr>
      </w:pPr>
      <w:r w:rsidRPr="00ED4174">
        <w:rPr>
          <w:rFonts w:eastAsia="Calibri"/>
          <w:b/>
          <w:bCs w:val="0"/>
          <w:lang w:eastAsia="en-US"/>
        </w:rPr>
        <w:t xml:space="preserve">K čl. I § 14 </w:t>
      </w:r>
    </w:p>
    <w:p w:rsidR="00ED4174" w:rsidRPr="00ED4174" w:rsidP="00D461E7">
      <w:pPr>
        <w:widowControl w:val="0"/>
        <w:autoSpaceDE w:val="0"/>
        <w:autoSpaceDN w:val="0"/>
        <w:adjustRightInd w:val="0"/>
        <w:ind w:left="284" w:firstLine="424"/>
        <w:contextualSpacing/>
        <w:jc w:val="both"/>
        <w:rPr>
          <w:rFonts w:eastAsia="Calibri"/>
          <w:bCs w:val="0"/>
          <w:lang w:eastAsia="en-US"/>
        </w:rPr>
      </w:pPr>
      <w:r w:rsidRPr="00ED4174">
        <w:rPr>
          <w:rFonts w:eastAsia="Calibri"/>
          <w:bCs w:val="0"/>
          <w:lang w:eastAsia="en-US"/>
        </w:rPr>
        <w:t>V čl. I text § 14 znie:</w:t>
      </w:r>
    </w:p>
    <w:p w:rsidR="00ED4174" w:rsidRPr="00ED4174" w:rsidP="00D461E7">
      <w:pPr>
        <w:ind w:left="705"/>
        <w:contextualSpacing/>
        <w:jc w:val="both"/>
        <w:rPr>
          <w:rFonts w:eastAsia="Calibri"/>
          <w:bCs w:val="0"/>
          <w:lang w:eastAsia="en-US"/>
        </w:rPr>
      </w:pPr>
      <w:r w:rsidRPr="00ED4174">
        <w:rPr>
          <w:rFonts w:eastAsia="Calibri"/>
          <w:bCs w:val="0"/>
          <w:lang w:eastAsia="en-US"/>
        </w:rPr>
        <w:t>„Týmto zákonom sa preberajú právne záväzné akty Európskej únie uvedené v prílohe č. 2.“.</w:t>
      </w:r>
    </w:p>
    <w:p w:rsidR="00ED4174" w:rsidRPr="00ED4174" w:rsidP="00ED4174">
      <w:pPr>
        <w:widowControl w:val="0"/>
        <w:suppressAutoHyphens/>
        <w:autoSpaceDE w:val="0"/>
        <w:autoSpaceDN w:val="0"/>
        <w:adjustRightInd w:val="0"/>
        <w:ind w:left="3969"/>
        <w:jc w:val="both"/>
        <w:rPr>
          <w:bCs w:val="0"/>
        </w:rPr>
      </w:pPr>
      <w:r w:rsidRPr="00ED4174">
        <w:rPr>
          <w:bCs w:val="0"/>
        </w:rPr>
        <w:t>Legislatívno-technický pozmeňujúci návrh; odkaz na transpozičnú prílohu k zákonu sa podľa zaužívanej praxe  formuluje v množnom čísle aj v prípade, ak sa preberá iba jeden právne záväzný akt EÚ.</w:t>
      </w:r>
    </w:p>
    <w:p w:rsidR="00ED4174" w:rsidRPr="00ED4174" w:rsidP="00ED4174">
      <w:pPr>
        <w:widowControl w:val="0"/>
        <w:suppressAutoHyphens/>
        <w:autoSpaceDE w:val="0"/>
        <w:autoSpaceDN w:val="0"/>
        <w:adjustRightInd w:val="0"/>
        <w:jc w:val="both"/>
        <w:rPr>
          <w:bCs w:val="0"/>
        </w:rPr>
      </w:pPr>
    </w:p>
    <w:p w:rsidR="00ED4174" w:rsidRPr="00ED4174" w:rsidP="00D461E7">
      <w:pPr>
        <w:widowControl w:val="0"/>
        <w:numPr>
          <w:ilvl w:val="0"/>
          <w:numId w:val="28"/>
        </w:numPr>
        <w:suppressAutoHyphens/>
        <w:autoSpaceDE w:val="0"/>
        <w:autoSpaceDN w:val="0"/>
        <w:adjustRightInd w:val="0"/>
        <w:contextualSpacing/>
        <w:jc w:val="both"/>
        <w:rPr>
          <w:rFonts w:eastAsia="Calibri"/>
          <w:b/>
          <w:bCs w:val="0"/>
          <w:lang w:eastAsia="en-US"/>
        </w:rPr>
      </w:pPr>
      <w:r w:rsidR="00D461E7">
        <w:rPr>
          <w:rFonts w:eastAsia="Calibri"/>
          <w:b/>
          <w:bCs w:val="0"/>
          <w:lang w:eastAsia="en-US"/>
        </w:rPr>
        <w:t>K čl. I</w:t>
      </w:r>
      <w:r w:rsidRPr="00ED4174">
        <w:rPr>
          <w:rFonts w:eastAsia="Calibri"/>
          <w:b/>
          <w:bCs w:val="0"/>
          <w:lang w:eastAsia="en-US"/>
        </w:rPr>
        <w:t xml:space="preserve"> prílohe č. 2 </w:t>
      </w:r>
    </w:p>
    <w:p w:rsidR="00ED4174" w:rsidRPr="00ED4174" w:rsidP="00D461E7">
      <w:pPr>
        <w:widowControl w:val="0"/>
        <w:autoSpaceDE w:val="0"/>
        <w:autoSpaceDN w:val="0"/>
        <w:adjustRightInd w:val="0"/>
        <w:ind w:left="708"/>
        <w:contextualSpacing/>
        <w:jc w:val="both"/>
        <w:rPr>
          <w:rFonts w:eastAsia="Calibri"/>
          <w:bCs w:val="0"/>
          <w:lang w:eastAsia="en-US"/>
        </w:rPr>
      </w:pPr>
      <w:r w:rsidRPr="00ED4174">
        <w:rPr>
          <w:rFonts w:eastAsia="Calibri"/>
          <w:bCs w:val="0"/>
          <w:lang w:eastAsia="en-US"/>
        </w:rPr>
        <w:t xml:space="preserve">V prílohe č. 2 sa bodka na konci nahrádza čiarkou a pripájajú sa tieto slová: „v znení </w:t>
      </w:r>
      <w:r w:rsidRPr="00ED4174">
        <w:rPr>
          <w:rFonts w:eastAsia="Calibri"/>
          <w:bCs w:val="0"/>
          <w:lang w:eastAsia="en-US"/>
        </w:rPr>
        <w:t>smernice Európskeho parlamentu a Rady (EÚ) 2016/2341 zo 14. decembra 2016 (Ú. v. EÚ L 354, 23.12.2016).“.</w:t>
      </w:r>
    </w:p>
    <w:p w:rsidR="00ED4174" w:rsidRPr="00ED4174" w:rsidP="00ED4174">
      <w:pPr>
        <w:widowControl w:val="0"/>
        <w:suppressAutoHyphens/>
        <w:autoSpaceDE w:val="0"/>
        <w:autoSpaceDN w:val="0"/>
        <w:adjustRightInd w:val="0"/>
        <w:ind w:left="3969"/>
        <w:jc w:val="both"/>
        <w:rPr>
          <w:bCs w:val="0"/>
        </w:rPr>
      </w:pPr>
    </w:p>
    <w:p w:rsidR="00ED4174" w:rsidRPr="00ED4174" w:rsidP="00ED4174">
      <w:pPr>
        <w:widowControl w:val="0"/>
        <w:suppressAutoHyphens/>
        <w:autoSpaceDE w:val="0"/>
        <w:autoSpaceDN w:val="0"/>
        <w:adjustRightInd w:val="0"/>
        <w:ind w:left="3969"/>
        <w:jc w:val="both"/>
        <w:rPr>
          <w:bCs w:val="0"/>
        </w:rPr>
      </w:pPr>
      <w:r w:rsidRPr="00ED4174">
        <w:rPr>
          <w:bCs w:val="0"/>
        </w:rPr>
        <w:t>Legislatívno-technický pozmeňujúci návrh, ktorým sa dopĺňa posledná novela smernice EP a Rady 2009/138/ES.</w:t>
      </w:r>
    </w:p>
    <w:p w:rsidR="00ED4174" w:rsidRPr="00ED4174" w:rsidP="00ED4174">
      <w:pPr>
        <w:widowControl w:val="0"/>
        <w:suppressAutoHyphens/>
        <w:autoSpaceDE w:val="0"/>
        <w:autoSpaceDN w:val="0"/>
        <w:adjustRightInd w:val="0"/>
        <w:ind w:left="3969"/>
        <w:jc w:val="both"/>
        <w:rPr>
          <w:bCs w:val="0"/>
        </w:rPr>
      </w:pPr>
    </w:p>
    <w:p w:rsidR="00ED4174" w:rsidRPr="00D461E7" w:rsidP="00D461E7">
      <w:pPr>
        <w:numPr>
          <w:ilvl w:val="0"/>
          <w:numId w:val="28"/>
        </w:numPr>
        <w:jc w:val="both"/>
        <w:rPr>
          <w:b/>
        </w:rPr>
      </w:pPr>
      <w:r w:rsidRPr="00D461E7">
        <w:rPr>
          <w:b/>
        </w:rPr>
        <w:t>Za článok I sa vkladá nový článok II, kto</w:t>
      </w:r>
      <w:r w:rsidRPr="00D461E7">
        <w:rPr>
          <w:b/>
        </w:rPr>
        <w:t>rý znie:</w:t>
      </w:r>
    </w:p>
    <w:p w:rsidR="00ED4174" w:rsidRPr="00ED4174" w:rsidP="00ED4174">
      <w:pPr>
        <w:ind w:firstLine="363"/>
        <w:jc w:val="both"/>
      </w:pPr>
    </w:p>
    <w:p w:rsidR="00ED4174" w:rsidRPr="00ED4174" w:rsidP="00ED4174">
      <w:pPr>
        <w:ind w:firstLine="363"/>
        <w:jc w:val="center"/>
      </w:pPr>
      <w:r w:rsidRPr="00ED4174">
        <w:t>„Čl. II</w:t>
      </w:r>
    </w:p>
    <w:p w:rsidR="00ED4174" w:rsidRPr="00ED4174" w:rsidP="00ED4174">
      <w:pPr>
        <w:ind w:firstLine="363"/>
        <w:jc w:val="both"/>
      </w:pPr>
    </w:p>
    <w:p w:rsidR="00ED4174" w:rsidRPr="00ED4174" w:rsidP="00ED4174">
      <w:pPr>
        <w:ind w:firstLine="363"/>
        <w:jc w:val="both"/>
      </w:pPr>
      <w:r w:rsidRPr="00ED4174">
        <w:t>Zákon č. 40/1964 Zb. Občiansky zákonník v znení zákona č. 35/1965 Zb.,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w:t>
      </w:r>
      <w:r w:rsidRPr="00ED4174">
        <w:t>2014 Z. z., zákona č. 106/2014 Z. z., zákona č. 335/2014 Z. z., zákona č. 39/2015 Z. z., zákona č. 117/2015 Z. z., zákona č. 239/2015 Z. z., zákona č. 273/2015 Z. z., zákona č. 438/2015 Z. z., zákona č. 91/2016 Z. z., zákona č. 125/2016 Z. z. sa dopĺňa takto:</w:t>
      </w:r>
    </w:p>
    <w:p w:rsidR="00ED4174" w:rsidRPr="00ED4174" w:rsidP="00ED4174">
      <w:pPr>
        <w:ind w:firstLine="363"/>
        <w:jc w:val="both"/>
      </w:pPr>
    </w:p>
    <w:p w:rsidR="00ED4174" w:rsidRPr="00ED4174" w:rsidP="00ED4174">
      <w:pPr>
        <w:jc w:val="both"/>
      </w:pPr>
      <w:r w:rsidRPr="00ED4174">
        <w:t xml:space="preserve">1. V § 800 ods. 1 sa na konci pripája táto veta: „Ak došlo k zmene výšky poistného a poistiteľ výšku poistného neoznámil tomu, kto s ním uzavrel poistnú zmluvu, najneskôr desať týždňov pred uplynutím poistného obdobia, neuplatní sa lehota podľa prvej vety.“. </w:t>
      </w:r>
    </w:p>
    <w:p w:rsidR="00ED4174" w:rsidRPr="00ED4174" w:rsidP="00ED4174">
      <w:pPr>
        <w:rPr>
          <w:u w:val="single"/>
        </w:rPr>
      </w:pPr>
      <w:r w:rsidRPr="00ED4174">
        <w:t xml:space="preserve">                                                        </w:t>
      </w:r>
    </w:p>
    <w:p w:rsidR="00ED4174" w:rsidRPr="00ED4174" w:rsidP="00ED4174">
      <w:pPr>
        <w:ind w:left="3315"/>
        <w:jc w:val="both"/>
      </w:pPr>
      <w:r w:rsidRPr="00ED4174">
        <w:t xml:space="preserve">V zmysle ustanovenia § 800 ods. 1 sa musí dať výpoveď aspoň 6 týždňov pred uplynutím poistného obdobia. Nakoľko v súčasnosti poisťovateľ nemá ustanovenú lehotu na oznámenie novej výšky poistného na nasledujúce poistné obdobie, poistník nedisponuje adekvátnou lehotou na posúdenie a  prípadnú zmenu poisťovateľa, ak považuje navýšenie poistného za neakceptovateľné. S cieľom riešiť uvedenú disproporciu sa navrhuje povinnosť oznámiť najneskôr 10 týždňov pred uplynutím poistného obdobia výšku nového poistného. Zároveň sa upravuje situácia, ak poisťovateľ 10 týždňovú lehotu nedodrží, a to tým spôsobom, že poistník je v takomto prípade oprávnený podať výpoveď až do konca poistného obdobia. Poistený bude mať dostatok času na rozhodnutie, či novú výšku poistného akceptuje alebo nie. </w:t>
      </w:r>
    </w:p>
    <w:p w:rsidR="00ED4174" w:rsidRPr="00ED4174" w:rsidP="00ED4174"/>
    <w:p w:rsidR="00ED4174" w:rsidRPr="00ED4174" w:rsidP="00ED4174">
      <w:pPr>
        <w:jc w:val="both"/>
      </w:pPr>
      <w:r w:rsidRPr="00ED4174">
        <w:t>2. V § 801 ods. 2 sa na konci pripájajú tieto vety: „Poisťovateľ je povinný doručiť výzvu podľa prvej vety do jedného mesiaca odo dňa splatnosti poistného. Ak nebola výzva podľa predchádzajúcej vety doručená, poistenie zanikne, ak poistné nebolo zaplatené do troch mesiacov odo dňa jeho splatnosti.“.</w:t>
      </w:r>
    </w:p>
    <w:p w:rsidR="00ED4174" w:rsidRPr="00ED4174" w:rsidP="00ED4174">
      <w:pPr>
        <w:ind w:left="3540"/>
        <w:jc w:val="both"/>
      </w:pPr>
      <w:r w:rsidRPr="00ED4174">
        <w:t>V zmysle ustanovenia § 801 ods. 2 poistenie zanikne aj v prípade, že poistné za ďalšie poistné obdobie nebolo zaplatené do jedného mesiaca od doručenia výzvy poisťovateľa na jeho zaplatenie. Nakoľko lehota do kedy musí poisťovateľ predmetnú výzvu zaslať nie je ustanovená, jej absencia môže viesť k  neodvodnenému predlžovaniu zmluvného vzťahu, počas ktorého na jednej strane má poisťovateľ nárok na dlžné poistné aj s úrokmi z omeškania, na strane druhej v prípade poistnej udalosti dochádza ku výraznému kráteniu poistného plnenia.  Druhá veta navrhovaného ustanovenie určuje moment zániku poistenia v prípade, ak poisťovateľ nevyzval poistníka na uhradenie dlžného poistného alebo jeho časti v ustanovenej lehote a nedošlo k zaplateniu poistného.</w:t>
      </w:r>
    </w:p>
    <w:p w:rsidR="00ED4174" w:rsidRPr="00ED4174" w:rsidP="00ED4174">
      <w:pPr>
        <w:ind w:left="3540"/>
        <w:jc w:val="both"/>
      </w:pPr>
      <w:r w:rsidRPr="00ED4174">
        <w:t xml:space="preserve">     </w:t>
      </w:r>
    </w:p>
    <w:p w:rsidR="00ED4174" w:rsidRPr="00ED4174" w:rsidP="00ED4174">
      <w:pPr>
        <w:pStyle w:val="BodyText"/>
        <w:spacing w:after="0"/>
      </w:pPr>
      <w:r w:rsidRPr="00ED4174">
        <w:t>3.  V § 803 ods. 1 sa na konci pripája táto veta: „Ak poistenie zaniklo z dôvodu podľa § 801 ods. 1 alebo § 801 ods. 2, výška poistného, na ktoré má poistiteľ nárok, sa určí z poistného za predchádzajúce obdobie.“.</w:t>
      </w:r>
    </w:p>
    <w:p w:rsidR="00ED4174" w:rsidRPr="00ED4174" w:rsidP="00ED4174">
      <w:pPr>
        <w:ind w:left="3540"/>
        <w:jc w:val="both"/>
        <w:rPr>
          <w:bCs w:val="0"/>
        </w:rPr>
      </w:pPr>
      <w:r w:rsidRPr="00ED4174">
        <w:t>Navrhovaná úprava má za cieľ jasne ustanoviť pravidlá určenia poistného rozhodného pre určenie nároku poisťovateľa na zaplatenie pomernej časti poistného, ak došlo k zániku poistenia z dôvodu nezaplatenia poistného.</w:t>
      </w:r>
      <w:r w:rsidRPr="00ED4174">
        <w:rPr>
          <w:u w:val="single"/>
        </w:rPr>
        <w:t xml:space="preserve"> </w:t>
      </w:r>
      <w:r w:rsidRPr="00ED4174">
        <w:t xml:space="preserve">Vzhľadom k tomu, že poistník neakceptoval novú výšku poistného je nutné vychádzať z výšky poistného dohodnutého za predchádzajúce poistné obdobie tj. z výšky poistného, na ktorom sa poistník a poisťovateľ dohodli. </w:t>
      </w:r>
    </w:p>
    <w:p w:rsidR="00ED4174" w:rsidRPr="00ED4174" w:rsidP="00ED4174"/>
    <w:p w:rsidR="00ED4174" w:rsidRPr="00ED4174" w:rsidP="00ED4174">
      <w:r w:rsidRPr="00ED4174">
        <w:t>4. Za dvadsiatu druhú hlavu sa vkladá dvadsiata tretia hlava, ktorá vrátane nadpisu znie:</w:t>
      </w:r>
    </w:p>
    <w:p w:rsidR="00ED4174" w:rsidRPr="00ED4174" w:rsidP="00ED4174"/>
    <w:p w:rsidR="00ED4174" w:rsidRPr="00ED4174" w:rsidP="00ED4174">
      <w:pPr>
        <w:jc w:val="center"/>
      </w:pPr>
      <w:r w:rsidRPr="00ED4174">
        <w:t>„DVADSIATA TRETIA HLAVA</w:t>
      </w:r>
    </w:p>
    <w:p w:rsidR="00ED4174" w:rsidRPr="00ED4174" w:rsidP="00ED4174">
      <w:pPr>
        <w:jc w:val="center"/>
      </w:pPr>
    </w:p>
    <w:p w:rsidR="00ED4174" w:rsidRPr="00ED4174" w:rsidP="00ED4174">
      <w:pPr>
        <w:jc w:val="center"/>
      </w:pPr>
      <w:r w:rsidRPr="00ED4174">
        <w:rPr>
          <w:caps/>
        </w:rPr>
        <w:t>Prechodné ustanovenie</w:t>
      </w:r>
      <w:r w:rsidRPr="00ED4174">
        <w:t xml:space="preserve"> K ÚPRAVÁM ÚČINNÝM OD 1. OKTÓBRA 2018</w:t>
      </w:r>
    </w:p>
    <w:p w:rsidR="00ED4174" w:rsidRPr="00ED4174" w:rsidP="00ED4174">
      <w:pPr>
        <w:jc w:val="center"/>
      </w:pPr>
    </w:p>
    <w:p w:rsidR="00ED4174" w:rsidRPr="00ED4174" w:rsidP="00ED4174">
      <w:pPr>
        <w:jc w:val="center"/>
      </w:pPr>
      <w:r w:rsidRPr="00ED4174">
        <w:t>§ 879u</w:t>
      </w:r>
    </w:p>
    <w:p w:rsidR="00ED4174" w:rsidRPr="00ED4174" w:rsidP="00ED4174"/>
    <w:p w:rsidR="00ED4174" w:rsidRPr="00ED4174" w:rsidP="00ED4174">
      <w:pPr>
        <w:pStyle w:val="BodyText"/>
        <w:spacing w:after="0"/>
      </w:pPr>
      <w:r w:rsidRPr="00ED4174">
        <w:t>Ustanovenia § 800 ods. 1, § 801 ods. 2 a § 803 ods. 1 v znení účinnom od 1. októbra 2018 sa prvýkrát použijú od 1. októbra 2018.“.“.</w:t>
      </w:r>
    </w:p>
    <w:p w:rsidR="00ED4174" w:rsidRPr="00ED4174" w:rsidP="00ED4174">
      <w:pPr>
        <w:pStyle w:val="BodyText"/>
        <w:spacing w:after="0"/>
      </w:pPr>
    </w:p>
    <w:p w:rsidR="00ED4174" w:rsidRPr="00ED4174" w:rsidP="00ED4174">
      <w:pPr>
        <w:rPr>
          <w:bCs w:val="0"/>
        </w:rPr>
      </w:pPr>
      <w:r w:rsidRPr="00ED4174">
        <w:t xml:space="preserve">Doterajšie články II až V sa primerane prečíslujú. </w:t>
      </w:r>
    </w:p>
    <w:p w:rsidR="00ED4174" w:rsidRPr="00ED4174" w:rsidP="00ED4174">
      <w:pPr>
        <w:pStyle w:val="BodyText"/>
        <w:spacing w:after="0"/>
      </w:pPr>
    </w:p>
    <w:p w:rsidR="00ED4174" w:rsidRPr="00ED4174" w:rsidP="00D461E7">
      <w:pPr>
        <w:widowControl w:val="0"/>
        <w:numPr>
          <w:ilvl w:val="0"/>
          <w:numId w:val="28"/>
        </w:numPr>
        <w:suppressAutoHyphens/>
        <w:autoSpaceDE w:val="0"/>
        <w:autoSpaceDN w:val="0"/>
        <w:adjustRightInd w:val="0"/>
        <w:contextualSpacing/>
        <w:rPr>
          <w:rFonts w:eastAsia="Calibri"/>
          <w:b/>
          <w:bCs w:val="0"/>
          <w:lang w:eastAsia="en-US"/>
        </w:rPr>
      </w:pPr>
      <w:r w:rsidR="00D461E7">
        <w:rPr>
          <w:rFonts w:eastAsia="Calibri"/>
          <w:b/>
          <w:bCs w:val="0"/>
          <w:lang w:eastAsia="en-US"/>
        </w:rPr>
        <w:t>K čl. II</w:t>
      </w:r>
      <w:r w:rsidRPr="00ED4174">
        <w:rPr>
          <w:rFonts w:eastAsia="Calibri"/>
          <w:b/>
          <w:bCs w:val="0"/>
          <w:lang w:eastAsia="en-US"/>
        </w:rPr>
        <w:t xml:space="preserve"> 5. bod </w:t>
      </w:r>
    </w:p>
    <w:p w:rsidR="00ED4174" w:rsidRPr="00ED4174" w:rsidP="00D461E7">
      <w:pPr>
        <w:ind w:left="1068" w:hanging="360"/>
        <w:contextualSpacing/>
        <w:rPr>
          <w:rFonts w:eastAsia="Calibri"/>
          <w:bCs w:val="0"/>
          <w:lang w:eastAsia="en-US"/>
        </w:rPr>
      </w:pPr>
      <w:r w:rsidRPr="00ED4174">
        <w:rPr>
          <w:rFonts w:eastAsia="Calibri"/>
          <w:bCs w:val="0"/>
          <w:lang w:eastAsia="en-US"/>
        </w:rPr>
        <w:t xml:space="preserve">V čl. II, 5. bode, § 39q sa za slovo „Ustanovenia“ vkladajú slová „§ 24 ods. 10,“. </w:t>
      </w:r>
    </w:p>
    <w:p w:rsidR="00ED4174" w:rsidRPr="00ED4174" w:rsidP="00ED4174">
      <w:pPr>
        <w:ind w:left="3969"/>
        <w:contextualSpacing/>
        <w:jc w:val="both"/>
        <w:rPr>
          <w:rFonts w:eastAsia="Calibri"/>
          <w:bCs w:val="0"/>
          <w:lang w:eastAsia="en-US"/>
        </w:rPr>
      </w:pPr>
    </w:p>
    <w:p w:rsidR="00ED4174" w:rsidRPr="00ED4174" w:rsidP="00ED4174">
      <w:pPr>
        <w:ind w:left="3969"/>
        <w:contextualSpacing/>
        <w:jc w:val="both"/>
        <w:rPr>
          <w:rFonts w:eastAsia="Calibri"/>
          <w:bCs w:val="0"/>
          <w:lang w:eastAsia="en-US"/>
        </w:rPr>
      </w:pPr>
      <w:r w:rsidRPr="00ED4174">
        <w:rPr>
          <w:rFonts w:eastAsia="Calibri"/>
          <w:bCs w:val="0"/>
          <w:lang w:eastAsia="en-US"/>
        </w:rPr>
        <w:t xml:space="preserve">Pozmeňujúci návrh dopĺňa relevantný vnútorný odkaz na ustanovenie, ktoré sa má taktiež uplatňovať v zmysle formulácie prechodného ustanovenia. </w:t>
      </w:r>
    </w:p>
    <w:p w:rsidR="00ED4174" w:rsidRPr="00ED4174" w:rsidP="00ED4174">
      <w:pPr>
        <w:rPr>
          <w:b/>
          <w:bCs w:val="0"/>
        </w:rPr>
      </w:pPr>
    </w:p>
    <w:p w:rsidR="00ED4174" w:rsidRPr="00ED4174" w:rsidP="00ED4174">
      <w:pPr>
        <w:rPr>
          <w:b/>
          <w:bCs w:val="0"/>
        </w:rPr>
      </w:pPr>
    </w:p>
    <w:p w:rsidR="00ED4174" w:rsidRPr="00ED4174" w:rsidP="00D461E7">
      <w:pPr>
        <w:pStyle w:val="Zkladntext"/>
        <w:numPr>
          <w:ilvl w:val="0"/>
          <w:numId w:val="28"/>
        </w:numPr>
        <w:jc w:val="both"/>
        <w:rPr>
          <w:color w:val="auto"/>
        </w:rPr>
      </w:pPr>
      <w:r w:rsidRPr="00D461E7">
        <w:rPr>
          <w:b/>
          <w:color w:val="auto"/>
        </w:rPr>
        <w:t>Čl. III bod 5</w:t>
      </w:r>
      <w:r w:rsidRPr="00ED4174">
        <w:rPr>
          <w:color w:val="auto"/>
        </w:rPr>
        <w:t xml:space="preserve"> a čl. IV nadobúdajú účinnosť 1. januára 2019, čo sa premietne v ustanovení o účinnosti, pri vypracúvaní čistopisu schváleného zákona. </w:t>
      </w:r>
    </w:p>
    <w:p w:rsidR="00ED4174" w:rsidRPr="00ED4174" w:rsidP="00ED4174">
      <w:pPr>
        <w:pStyle w:val="Zkladntext"/>
        <w:jc w:val="both"/>
        <w:rPr>
          <w:color w:val="FF0000"/>
        </w:rPr>
      </w:pPr>
    </w:p>
    <w:p w:rsidR="00ED4174" w:rsidRPr="00ED4174" w:rsidP="00ED4174">
      <w:pPr>
        <w:pStyle w:val="Zkladntext"/>
        <w:ind w:left="3969"/>
        <w:jc w:val="both"/>
      </w:pPr>
      <w:r w:rsidRPr="00ED4174">
        <w:t>Navrhovaná zmena súvisí so zmenou účinnosti zákona o dani z poistenia.</w:t>
      </w:r>
    </w:p>
    <w:p w:rsidR="00ED4174" w:rsidRPr="00D461E7" w:rsidP="00ED4174">
      <w:pPr>
        <w:pStyle w:val="Zkladntext"/>
        <w:jc w:val="both"/>
        <w:rPr>
          <w:b/>
        </w:rPr>
      </w:pPr>
    </w:p>
    <w:p w:rsidR="00ED4174" w:rsidRPr="00D461E7" w:rsidP="00D461E7">
      <w:pPr>
        <w:pStyle w:val="Zkladntext"/>
        <w:numPr>
          <w:ilvl w:val="0"/>
          <w:numId w:val="28"/>
        </w:numPr>
        <w:jc w:val="both"/>
        <w:rPr>
          <w:b/>
        </w:rPr>
      </w:pPr>
      <w:r w:rsidRPr="00D461E7">
        <w:rPr>
          <w:b/>
        </w:rPr>
        <w:t>V čl. V bode 2 § 205a znie:</w:t>
      </w:r>
    </w:p>
    <w:p w:rsidR="00ED4174" w:rsidRPr="00ED4174" w:rsidP="00ED4174">
      <w:pPr>
        <w:pStyle w:val="Zkladntext"/>
        <w:jc w:val="both"/>
      </w:pPr>
    </w:p>
    <w:p w:rsidR="00ED4174" w:rsidRPr="00ED4174" w:rsidP="00ED4174">
      <w:pPr>
        <w:pStyle w:val="Zkladntext"/>
        <w:jc w:val="center"/>
        <w:rPr>
          <w:color w:val="auto"/>
        </w:rPr>
      </w:pPr>
      <w:r w:rsidRPr="00ED4174">
        <w:t xml:space="preserve">„§ </w:t>
      </w:r>
      <w:r w:rsidRPr="00ED4174">
        <w:rPr>
          <w:color w:val="auto"/>
        </w:rPr>
        <w:t xml:space="preserve">205a </w:t>
      </w:r>
    </w:p>
    <w:p w:rsidR="00ED4174" w:rsidRPr="00ED4174" w:rsidP="00ED4174">
      <w:pPr>
        <w:pStyle w:val="Zkladntext"/>
        <w:jc w:val="center"/>
        <w:rPr>
          <w:color w:val="auto"/>
        </w:rPr>
      </w:pPr>
      <w:r w:rsidRPr="00ED4174">
        <w:rPr>
          <w:color w:val="auto"/>
        </w:rPr>
        <w:t>Prechodné ustanovenia k úprave účinnej od 1. januára 2019</w:t>
      </w:r>
    </w:p>
    <w:p w:rsidR="00ED4174" w:rsidRPr="00ED4174" w:rsidP="00ED4174">
      <w:pPr>
        <w:pStyle w:val="Zkladntext"/>
        <w:jc w:val="center"/>
        <w:rPr>
          <w:color w:val="auto"/>
        </w:rPr>
      </w:pPr>
    </w:p>
    <w:p w:rsidR="00ED4174" w:rsidRPr="00ED4174" w:rsidP="00ED4174">
      <w:pPr>
        <w:pStyle w:val="Zkladntext"/>
        <w:jc w:val="both"/>
      </w:pPr>
      <w:r w:rsidRPr="00ED4174">
        <w:rPr>
          <w:color w:val="auto"/>
        </w:rPr>
        <w:t xml:space="preserve">(1) </w:t>
      </w:r>
      <w:r w:rsidRPr="00ED4174">
        <w:t>Poisťovňa, poisťovňa z iného členského štátu a pobočka zahraničnej poisťovne sú povinné odviesť do 31. januára 2019 odvod časti poistného z odvetví neživotného poistenia podľa § 68a ods. 1 v znení účinnom do 31. decembra 2018 za mesiac december 2018 na osobitný príjmový účet Daňového úradu pre vybrané daňové subjekty; ustanovenia § 68a ods. 2 až 4 v znení účinnom do 31. decembra 2018 sa uplatnia rovnako.</w:t>
      </w:r>
    </w:p>
    <w:p w:rsidR="00ED4174" w:rsidRPr="00ED4174" w:rsidP="00ED4174">
      <w:pPr>
        <w:jc w:val="both"/>
        <w:rPr>
          <w:color w:val="000000"/>
        </w:rPr>
      </w:pPr>
    </w:p>
    <w:p w:rsidR="00ED4174" w:rsidRPr="00ED4174" w:rsidP="00ED4174">
      <w:pPr>
        <w:jc w:val="both"/>
        <w:rPr>
          <w:color w:val="000000"/>
        </w:rPr>
      </w:pPr>
      <w:r w:rsidRPr="00ED4174">
        <w:rPr>
          <w:color w:val="000000"/>
        </w:rPr>
        <w:t>(2) Poisťovňa, poisťovňa z iného členského štátu a pobočka zahraničnej poisťovne sú povinné z poistných zmlúv, pri ktorých poistné obdobie začalo plynúť pred 1. januárom 2019 a z ktorých boli povinné odviesť odvod časti poistného z odvetví neživotného poistenia podľa § 68a v znení účinnom do 31. decembra 2018, odvádzať do začiatku nasledujúceho poistného obdobia odvod časti poistného z odvetví neživotného poistenia podľa § 68a v znení účinnom do 31. decembra 2018.“.</w:t>
      </w:r>
    </w:p>
    <w:p w:rsidR="00ED4174" w:rsidRPr="00ED4174" w:rsidP="00ED4174">
      <w:pPr>
        <w:pStyle w:val="Zkladntext"/>
        <w:jc w:val="center"/>
        <w:rPr>
          <w:color w:val="auto"/>
        </w:rPr>
      </w:pPr>
    </w:p>
    <w:p w:rsidR="00ED4174" w:rsidRPr="00ED4174" w:rsidP="00ED4174">
      <w:pPr>
        <w:pStyle w:val="Zkladntext"/>
        <w:jc w:val="both"/>
        <w:rPr>
          <w:color w:val="auto"/>
        </w:rPr>
      </w:pPr>
      <w:r w:rsidRPr="00ED4174">
        <w:rPr>
          <w:color w:val="auto"/>
        </w:rPr>
        <w:t xml:space="preserve">Celý čl. V nadobúda účinnosť 1. januára 2019, čo sa premietne v ustanovení o účinnosti, pri vypracúvaní čistopisu schváleného zákona. </w:t>
      </w:r>
    </w:p>
    <w:p w:rsidR="00ED4174" w:rsidRPr="00ED4174" w:rsidP="00ED4174">
      <w:pPr>
        <w:pStyle w:val="Zkladntext"/>
        <w:jc w:val="both"/>
        <w:rPr>
          <w:color w:val="auto"/>
        </w:rPr>
      </w:pPr>
    </w:p>
    <w:p w:rsidR="00ED4174" w:rsidRPr="00ED4174" w:rsidP="00D461E7">
      <w:pPr>
        <w:pStyle w:val="Zkladntext"/>
        <w:ind w:left="3969"/>
        <w:jc w:val="both"/>
      </w:pPr>
      <w:r w:rsidRPr="00ED4174">
        <w:t xml:space="preserve">Navrhovaná zmena súvisí so zmenou účinnosti zákona o dani z poistenia. </w:t>
      </w:r>
    </w:p>
    <w:p w:rsidR="00ED4174" w:rsidRPr="00ED4174" w:rsidP="00D461E7">
      <w:pPr>
        <w:ind w:left="3969"/>
        <w:jc w:val="both"/>
        <w:rPr>
          <w:b/>
          <w:bCs w:val="0"/>
        </w:rPr>
      </w:pPr>
      <w:r w:rsidRPr="00ED4174">
        <w:t>Účelom navrhovanej úpravy je taktiež doplnenie prechodného ustanovenia, ktorým sa upravuje platenie odvodu podľa doterajšej právnej úpravy v prechodnom období tak, aby bolo jednoznačné dokedy sa platí odvod podľa doterajšej právnej úpravy. Vzhľadom k tomu, že daň z poistenia sa uplatní len na poistné prislúchajúce k poistnému obdobiu začínajúcom po účinnosti zákona je potrebné upraviť platby poistného za poistné obdobie pred účinnosťou zákona. Cieľom právnej úpravy je, aby poistné na ktoré sa už uplatnil odvod z neživotného poistenia, bolo pokryté odvodom z neživotného poistenia až do začiatku nového poistného obdobia, ktoré začne po účinnosti zákona. Od tohto nového poistného obdobia  sa na poistné začne vzťahovať daň z poistenia a prestane sa na poistné vzťahovať odvod z neživotného poistenia</w:t>
      </w:r>
    </w:p>
    <w:p w:rsidR="00ED4174" w:rsidRPr="00ED4174" w:rsidP="00ED4174">
      <w:pPr>
        <w:rPr>
          <w:b/>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14E">
      <w:rPr>
        <w:rStyle w:val="PageNumber"/>
        <w:noProof/>
      </w:rPr>
      <w:t>6</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C156B"/>
    <w:multiLevelType w:val="hybridMultilevel"/>
    <w:tmpl w:val="93582848"/>
    <w:lvl w:ilvl="0">
      <w:start w:val="1"/>
      <w:numFmt w:val="decimal"/>
      <w:lvlText w:val="%1."/>
      <w:lvlJc w:val="left"/>
      <w:pPr>
        <w:ind w:left="720" w:hanging="360"/>
      </w:pPr>
      <w:rPr>
        <w:rFonts w:cs="Times New Roman"/>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136655F7"/>
    <w:multiLevelType w:val="hybridMultilevel"/>
    <w:tmpl w:val="F68ABE08"/>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145C3CB6"/>
    <w:multiLevelType w:val="hybridMultilevel"/>
    <w:tmpl w:val="899C856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5CD1065"/>
    <w:multiLevelType w:val="hybridMultilevel"/>
    <w:tmpl w:val="E7A8CCBE"/>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0314F5"/>
    <w:multiLevelType w:val="hybridMultilevel"/>
    <w:tmpl w:val="0C1ABDC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84A1711"/>
    <w:multiLevelType w:val="hybridMultilevel"/>
    <w:tmpl w:val="24AE8C5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E16623A"/>
    <w:multiLevelType w:val="hybridMultilevel"/>
    <w:tmpl w:val="61F8DE64"/>
    <w:lvl w:ilvl="0">
      <w:start w:val="24"/>
      <w:numFmt w:val="bullet"/>
      <w:lvlText w:val="-"/>
      <w:lvlJc w:val="left"/>
      <w:pPr>
        <w:ind w:left="1572" w:hanging="360"/>
      </w:pPr>
      <w:rPr>
        <w:rFonts w:ascii="Times New Roman" w:eastAsia="Times New Roman" w:hAnsi="Times New Roman" w:hint="default"/>
      </w:rPr>
    </w:lvl>
    <w:lvl w:ilvl="1">
      <w:start w:val="1"/>
      <w:numFmt w:val="bullet"/>
      <w:lvlText w:val="o"/>
      <w:lvlJc w:val="left"/>
      <w:pPr>
        <w:ind w:left="2292" w:hanging="360"/>
      </w:pPr>
      <w:rPr>
        <w:rFonts w:ascii="Courier New" w:hAnsi="Courier New" w:hint="default"/>
      </w:rPr>
    </w:lvl>
    <w:lvl w:ilvl="2">
      <w:start w:val="1"/>
      <w:numFmt w:val="bullet"/>
      <w:lvlText w:val=""/>
      <w:lvlJc w:val="left"/>
      <w:pPr>
        <w:ind w:left="3012" w:hanging="360"/>
      </w:pPr>
      <w:rPr>
        <w:rFonts w:ascii="Wingdings" w:hAnsi="Wingdings" w:hint="default"/>
      </w:rPr>
    </w:lvl>
    <w:lvl w:ilvl="3">
      <w:start w:val="1"/>
      <w:numFmt w:val="bullet"/>
      <w:lvlText w:val=""/>
      <w:lvlJc w:val="left"/>
      <w:pPr>
        <w:ind w:left="3732" w:hanging="360"/>
      </w:pPr>
      <w:rPr>
        <w:rFonts w:ascii="Symbol" w:hAnsi="Symbol" w:hint="default"/>
      </w:rPr>
    </w:lvl>
    <w:lvl w:ilvl="4">
      <w:start w:val="1"/>
      <w:numFmt w:val="bullet"/>
      <w:lvlText w:val="o"/>
      <w:lvlJc w:val="left"/>
      <w:pPr>
        <w:ind w:left="4452" w:hanging="360"/>
      </w:pPr>
      <w:rPr>
        <w:rFonts w:ascii="Courier New" w:hAnsi="Courier New" w:hint="default"/>
      </w:rPr>
    </w:lvl>
    <w:lvl w:ilvl="5">
      <w:start w:val="1"/>
      <w:numFmt w:val="bullet"/>
      <w:lvlText w:val=""/>
      <w:lvlJc w:val="left"/>
      <w:pPr>
        <w:ind w:left="5172" w:hanging="360"/>
      </w:pPr>
      <w:rPr>
        <w:rFonts w:ascii="Wingdings" w:hAnsi="Wingdings" w:hint="default"/>
      </w:rPr>
    </w:lvl>
    <w:lvl w:ilvl="6">
      <w:start w:val="1"/>
      <w:numFmt w:val="bullet"/>
      <w:lvlText w:val=""/>
      <w:lvlJc w:val="left"/>
      <w:pPr>
        <w:ind w:left="5892" w:hanging="360"/>
      </w:pPr>
      <w:rPr>
        <w:rFonts w:ascii="Symbol" w:hAnsi="Symbol" w:hint="default"/>
      </w:rPr>
    </w:lvl>
    <w:lvl w:ilvl="7">
      <w:start w:val="1"/>
      <w:numFmt w:val="bullet"/>
      <w:lvlText w:val="o"/>
      <w:lvlJc w:val="left"/>
      <w:pPr>
        <w:ind w:left="6612" w:hanging="360"/>
      </w:pPr>
      <w:rPr>
        <w:rFonts w:ascii="Courier New" w:hAnsi="Courier New" w:hint="default"/>
      </w:rPr>
    </w:lvl>
    <w:lvl w:ilvl="8">
      <w:start w:val="1"/>
      <w:numFmt w:val="bullet"/>
      <w:lvlText w:val=""/>
      <w:lvlJc w:val="left"/>
      <w:pPr>
        <w:ind w:left="7332" w:hanging="360"/>
      </w:pPr>
      <w:rPr>
        <w:rFonts w:ascii="Wingdings" w:hAnsi="Wingdings" w:hint="default"/>
      </w:rPr>
    </w:lvl>
  </w:abstractNum>
  <w:abstractNum w:abstractNumId="7">
    <w:nsid w:val="220A1285"/>
    <w:multiLevelType w:val="hybridMultilevel"/>
    <w:tmpl w:val="17D45DC4"/>
    <w:lvl w:ilvl="0">
      <w:start w:val="1"/>
      <w:numFmt w:val="lowerLetter"/>
      <w:lvlText w:val="%1)"/>
      <w:lvlJc w:val="left"/>
      <w:pPr>
        <w:ind w:left="2137" w:hanging="360"/>
      </w:pPr>
      <w:rPr>
        <w:rFonts w:cs="Times New Roman" w:hint="default"/>
      </w:rPr>
    </w:lvl>
    <w:lvl w:ilvl="1">
      <w:start w:val="1"/>
      <w:numFmt w:val="lowerLetter"/>
      <w:lvlText w:val="%2."/>
      <w:lvlJc w:val="left"/>
      <w:pPr>
        <w:ind w:left="2857" w:hanging="360"/>
      </w:pPr>
      <w:rPr>
        <w:rFonts w:cs="Times New Roman"/>
      </w:rPr>
    </w:lvl>
    <w:lvl w:ilvl="2" w:tentative="1">
      <w:start w:val="1"/>
      <w:numFmt w:val="lowerRoman"/>
      <w:lvlText w:val="%3."/>
      <w:lvlJc w:val="right"/>
      <w:pPr>
        <w:ind w:left="3577" w:hanging="180"/>
      </w:pPr>
      <w:rPr>
        <w:rFonts w:cs="Times New Roman"/>
      </w:rPr>
    </w:lvl>
    <w:lvl w:ilvl="3" w:tentative="1">
      <w:start w:val="1"/>
      <w:numFmt w:val="decimal"/>
      <w:lvlText w:val="%4."/>
      <w:lvlJc w:val="left"/>
      <w:pPr>
        <w:ind w:left="4297" w:hanging="360"/>
      </w:pPr>
      <w:rPr>
        <w:rFonts w:cs="Times New Roman"/>
      </w:rPr>
    </w:lvl>
    <w:lvl w:ilvl="4" w:tentative="1">
      <w:start w:val="1"/>
      <w:numFmt w:val="lowerLetter"/>
      <w:lvlText w:val="%5."/>
      <w:lvlJc w:val="left"/>
      <w:pPr>
        <w:ind w:left="5017" w:hanging="360"/>
      </w:pPr>
      <w:rPr>
        <w:rFonts w:cs="Times New Roman"/>
      </w:rPr>
    </w:lvl>
    <w:lvl w:ilvl="5" w:tentative="1">
      <w:start w:val="1"/>
      <w:numFmt w:val="lowerRoman"/>
      <w:lvlText w:val="%6."/>
      <w:lvlJc w:val="right"/>
      <w:pPr>
        <w:ind w:left="5737" w:hanging="180"/>
      </w:pPr>
      <w:rPr>
        <w:rFonts w:cs="Times New Roman"/>
      </w:rPr>
    </w:lvl>
    <w:lvl w:ilvl="6" w:tentative="1">
      <w:start w:val="1"/>
      <w:numFmt w:val="decimal"/>
      <w:lvlText w:val="%7."/>
      <w:lvlJc w:val="left"/>
      <w:pPr>
        <w:ind w:left="6457" w:hanging="360"/>
      </w:pPr>
      <w:rPr>
        <w:rFonts w:cs="Times New Roman"/>
      </w:rPr>
    </w:lvl>
    <w:lvl w:ilvl="7" w:tentative="1">
      <w:start w:val="1"/>
      <w:numFmt w:val="lowerLetter"/>
      <w:lvlText w:val="%8."/>
      <w:lvlJc w:val="left"/>
      <w:pPr>
        <w:ind w:left="7177" w:hanging="360"/>
      </w:pPr>
      <w:rPr>
        <w:rFonts w:cs="Times New Roman"/>
      </w:rPr>
    </w:lvl>
    <w:lvl w:ilvl="8" w:tentative="1">
      <w:start w:val="1"/>
      <w:numFmt w:val="lowerRoman"/>
      <w:lvlText w:val="%9."/>
      <w:lvlJc w:val="right"/>
      <w:pPr>
        <w:ind w:left="7897" w:hanging="180"/>
      </w:pPr>
      <w:rPr>
        <w:rFonts w:cs="Times New Roman"/>
      </w:rPr>
    </w:lvl>
  </w:abstractNum>
  <w:abstractNum w:abstractNumId="8">
    <w:nsid w:val="25711CD7"/>
    <w:multiLevelType w:val="hybridMultilevel"/>
    <w:tmpl w:val="59FC7F60"/>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0">
    <w:nsid w:val="272C0F28"/>
    <w:multiLevelType w:val="hybridMultilevel"/>
    <w:tmpl w:val="562EA3CA"/>
    <w:lvl w:ilvl="0">
      <w:start w:val="1"/>
      <w:numFmt w:val="decimal"/>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9664AE"/>
    <w:multiLevelType w:val="hybridMultilevel"/>
    <w:tmpl w:val="8654D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14522E"/>
    <w:multiLevelType w:val="hybridMultilevel"/>
    <w:tmpl w:val="9B28C81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376B3BDA"/>
    <w:multiLevelType w:val="hybridMultilevel"/>
    <w:tmpl w:val="38B03A56"/>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A84DC2"/>
    <w:multiLevelType w:val="hybridMultilevel"/>
    <w:tmpl w:val="AA6C6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1D4F47"/>
    <w:multiLevelType w:val="hybridMultilevel"/>
    <w:tmpl w:val="46A6DCF8"/>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16">
    <w:nsid w:val="464D2BF4"/>
    <w:multiLevelType w:val="hybridMultilevel"/>
    <w:tmpl w:val="540CD3AA"/>
    <w:lvl w:ilvl="0">
      <w:start w:val="3"/>
      <w:numFmt w:val="decimal"/>
      <w:lvlText w:val="(%1)"/>
      <w:lvlJc w:val="left"/>
      <w:pPr>
        <w:ind w:left="717" w:hanging="36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17">
    <w:nsid w:val="52670515"/>
    <w:multiLevelType w:val="hybridMultilevel"/>
    <w:tmpl w:val="6F7A06A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8">
    <w:nsid w:val="57E24BA3"/>
    <w:multiLevelType w:val="hybridMultilevel"/>
    <w:tmpl w:val="D0C21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AC02E7"/>
    <w:multiLevelType w:val="hybridMultilevel"/>
    <w:tmpl w:val="07F48F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36607C"/>
    <w:multiLevelType w:val="hybridMultilevel"/>
    <w:tmpl w:val="6BECA5B6"/>
    <w:lvl w:ilvl="0">
      <w:start w:val="1"/>
      <w:numFmt w:val="decimal"/>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9F28A8"/>
    <w:multiLevelType w:val="hybridMultilevel"/>
    <w:tmpl w:val="50987172"/>
    <w:lvl w:ilvl="0">
      <w:start w:val="1"/>
      <w:numFmt w:val="decimal"/>
      <w:lvlText w:val="%1."/>
      <w:lvlJc w:val="left"/>
      <w:pPr>
        <w:ind w:left="7164" w:hanging="360"/>
      </w:pPr>
      <w:rPr>
        <w:rFonts w:hint="default"/>
      </w:rPr>
    </w:lvl>
    <w:lvl w:ilvl="1" w:tentative="1">
      <w:start w:val="1"/>
      <w:numFmt w:val="lowerLetter"/>
      <w:lvlText w:val="%2."/>
      <w:lvlJc w:val="left"/>
      <w:pPr>
        <w:ind w:left="7884" w:hanging="360"/>
      </w:pPr>
    </w:lvl>
    <w:lvl w:ilvl="2" w:tentative="1">
      <w:start w:val="1"/>
      <w:numFmt w:val="lowerRoman"/>
      <w:lvlText w:val="%3."/>
      <w:lvlJc w:val="right"/>
      <w:pPr>
        <w:ind w:left="8604" w:hanging="180"/>
      </w:pPr>
    </w:lvl>
    <w:lvl w:ilvl="3" w:tentative="1">
      <w:start w:val="1"/>
      <w:numFmt w:val="decimal"/>
      <w:lvlText w:val="%4."/>
      <w:lvlJc w:val="left"/>
      <w:pPr>
        <w:ind w:left="9324" w:hanging="360"/>
      </w:pPr>
    </w:lvl>
    <w:lvl w:ilvl="4" w:tentative="1">
      <w:start w:val="1"/>
      <w:numFmt w:val="lowerLetter"/>
      <w:lvlText w:val="%5."/>
      <w:lvlJc w:val="left"/>
      <w:pPr>
        <w:ind w:left="10044" w:hanging="360"/>
      </w:pPr>
    </w:lvl>
    <w:lvl w:ilvl="5" w:tentative="1">
      <w:start w:val="1"/>
      <w:numFmt w:val="lowerRoman"/>
      <w:lvlText w:val="%6."/>
      <w:lvlJc w:val="right"/>
      <w:pPr>
        <w:ind w:left="10764" w:hanging="180"/>
      </w:pPr>
    </w:lvl>
    <w:lvl w:ilvl="6" w:tentative="1">
      <w:start w:val="1"/>
      <w:numFmt w:val="decimal"/>
      <w:lvlText w:val="%7."/>
      <w:lvlJc w:val="left"/>
      <w:pPr>
        <w:ind w:left="11484" w:hanging="360"/>
      </w:pPr>
    </w:lvl>
    <w:lvl w:ilvl="7" w:tentative="1">
      <w:start w:val="1"/>
      <w:numFmt w:val="lowerLetter"/>
      <w:lvlText w:val="%8."/>
      <w:lvlJc w:val="left"/>
      <w:pPr>
        <w:ind w:left="12204" w:hanging="360"/>
      </w:pPr>
    </w:lvl>
    <w:lvl w:ilvl="8" w:tentative="1">
      <w:start w:val="1"/>
      <w:numFmt w:val="lowerRoman"/>
      <w:lvlText w:val="%9."/>
      <w:lvlJc w:val="right"/>
      <w:pPr>
        <w:ind w:left="12924" w:hanging="180"/>
      </w:pPr>
    </w:lvl>
  </w:abstractNum>
  <w:abstractNum w:abstractNumId="22">
    <w:nsid w:val="73BC4895"/>
    <w:multiLevelType w:val="hybridMultilevel"/>
    <w:tmpl w:val="A0AA2B32"/>
    <w:lvl w:ilvl="0">
      <w:start w:val="3"/>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3">
    <w:nsid w:val="765F59E6"/>
    <w:multiLevelType w:val="hybridMultilevel"/>
    <w:tmpl w:val="08EA74FE"/>
    <w:lvl w:ilvl="0">
      <w:start w:val="1"/>
      <w:numFmt w:val="decimal"/>
      <w:lvlText w:val="%1."/>
      <w:lvlJc w:val="left"/>
      <w:pPr>
        <w:ind w:left="4613" w:hanging="360"/>
      </w:pPr>
      <w:rPr>
        <w:rFonts w:hint="default"/>
        <w:b/>
      </w:rPr>
    </w:lvl>
    <w:lvl w:ilvl="1" w:tentative="1">
      <w:start w:val="1"/>
      <w:numFmt w:val="lowerLetter"/>
      <w:lvlText w:val="%2."/>
      <w:lvlJc w:val="left"/>
      <w:pPr>
        <w:ind w:left="5333" w:hanging="360"/>
      </w:pPr>
    </w:lvl>
    <w:lvl w:ilvl="2" w:tentative="1">
      <w:start w:val="1"/>
      <w:numFmt w:val="lowerRoman"/>
      <w:lvlText w:val="%3."/>
      <w:lvlJc w:val="right"/>
      <w:pPr>
        <w:ind w:left="6053" w:hanging="180"/>
      </w:pPr>
    </w:lvl>
    <w:lvl w:ilvl="3" w:tentative="1">
      <w:start w:val="1"/>
      <w:numFmt w:val="decimal"/>
      <w:lvlText w:val="%4."/>
      <w:lvlJc w:val="left"/>
      <w:pPr>
        <w:ind w:left="6773" w:hanging="360"/>
      </w:pPr>
    </w:lvl>
    <w:lvl w:ilvl="4" w:tentative="1">
      <w:start w:val="1"/>
      <w:numFmt w:val="lowerLetter"/>
      <w:lvlText w:val="%5."/>
      <w:lvlJc w:val="left"/>
      <w:pPr>
        <w:ind w:left="7493" w:hanging="360"/>
      </w:pPr>
    </w:lvl>
    <w:lvl w:ilvl="5" w:tentative="1">
      <w:start w:val="1"/>
      <w:numFmt w:val="lowerRoman"/>
      <w:lvlText w:val="%6."/>
      <w:lvlJc w:val="right"/>
      <w:pPr>
        <w:ind w:left="8213" w:hanging="180"/>
      </w:pPr>
    </w:lvl>
    <w:lvl w:ilvl="6" w:tentative="1">
      <w:start w:val="1"/>
      <w:numFmt w:val="decimal"/>
      <w:lvlText w:val="%7."/>
      <w:lvlJc w:val="left"/>
      <w:pPr>
        <w:ind w:left="8933" w:hanging="360"/>
      </w:pPr>
    </w:lvl>
    <w:lvl w:ilvl="7" w:tentative="1">
      <w:start w:val="1"/>
      <w:numFmt w:val="lowerLetter"/>
      <w:lvlText w:val="%8."/>
      <w:lvlJc w:val="left"/>
      <w:pPr>
        <w:ind w:left="9653" w:hanging="360"/>
      </w:pPr>
    </w:lvl>
    <w:lvl w:ilvl="8" w:tentative="1">
      <w:start w:val="1"/>
      <w:numFmt w:val="lowerRoman"/>
      <w:lvlText w:val="%9."/>
      <w:lvlJc w:val="right"/>
      <w:pPr>
        <w:ind w:left="10373" w:hanging="180"/>
      </w:pPr>
    </w:lvl>
  </w:abstractNum>
  <w:abstractNum w:abstractNumId="24">
    <w:nsid w:val="7B0F4F7F"/>
    <w:multiLevelType w:val="hybridMultilevel"/>
    <w:tmpl w:val="61DEF222"/>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nsid w:val="7C0D5514"/>
    <w:multiLevelType w:val="hybridMultilevel"/>
    <w:tmpl w:val="1AA6D2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BB711C"/>
    <w:multiLevelType w:val="hybridMultilevel"/>
    <w:tmpl w:val="BAF60B2E"/>
    <w:lvl w:ilvl="0">
      <w:start w:val="1"/>
      <w:numFmt w:val="decimal"/>
      <w:lvlText w:val="(%1)"/>
      <w:lvlJc w:val="left"/>
      <w:pPr>
        <w:ind w:left="717" w:hanging="360"/>
      </w:pPr>
      <w:rPr>
        <w:rFonts w:hint="default"/>
      </w:rPr>
    </w:lvl>
    <w:lvl w:ilvl="1" w:tentative="1">
      <w:start w:val="1"/>
      <w:numFmt w:val="lowerLetter"/>
      <w:lvlText w:val="%2."/>
      <w:lvlJc w:val="left"/>
      <w:pPr>
        <w:ind w:left="1085" w:hanging="360"/>
      </w:pPr>
    </w:lvl>
    <w:lvl w:ilvl="2" w:tentative="1">
      <w:start w:val="1"/>
      <w:numFmt w:val="lowerRoman"/>
      <w:lvlText w:val="%3."/>
      <w:lvlJc w:val="right"/>
      <w:pPr>
        <w:ind w:left="1805" w:hanging="180"/>
      </w:pPr>
    </w:lvl>
    <w:lvl w:ilvl="3" w:tentative="1">
      <w:start w:val="1"/>
      <w:numFmt w:val="decimal"/>
      <w:lvlText w:val="%4."/>
      <w:lvlJc w:val="left"/>
      <w:pPr>
        <w:ind w:left="2525" w:hanging="360"/>
      </w:pPr>
    </w:lvl>
    <w:lvl w:ilvl="4" w:tentative="1">
      <w:start w:val="1"/>
      <w:numFmt w:val="lowerLetter"/>
      <w:lvlText w:val="%5."/>
      <w:lvlJc w:val="left"/>
      <w:pPr>
        <w:ind w:left="3245" w:hanging="360"/>
      </w:pPr>
    </w:lvl>
    <w:lvl w:ilvl="5" w:tentative="1">
      <w:start w:val="1"/>
      <w:numFmt w:val="lowerRoman"/>
      <w:lvlText w:val="%6."/>
      <w:lvlJc w:val="right"/>
      <w:pPr>
        <w:ind w:left="3965" w:hanging="180"/>
      </w:pPr>
    </w:lvl>
    <w:lvl w:ilvl="6" w:tentative="1">
      <w:start w:val="1"/>
      <w:numFmt w:val="decimal"/>
      <w:lvlText w:val="%7."/>
      <w:lvlJc w:val="left"/>
      <w:pPr>
        <w:ind w:left="4685" w:hanging="360"/>
      </w:pPr>
    </w:lvl>
    <w:lvl w:ilvl="7" w:tentative="1">
      <w:start w:val="1"/>
      <w:numFmt w:val="lowerLetter"/>
      <w:lvlText w:val="%8."/>
      <w:lvlJc w:val="left"/>
      <w:pPr>
        <w:ind w:left="5405" w:hanging="360"/>
      </w:pPr>
    </w:lvl>
    <w:lvl w:ilvl="8" w:tentative="1">
      <w:start w:val="1"/>
      <w:numFmt w:val="lowerRoman"/>
      <w:lvlText w:val="%9."/>
      <w:lvlJc w:val="right"/>
      <w:pPr>
        <w:ind w:left="6125"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num>
  <w:num w:numId="4">
    <w:abstractNumId w:val="16"/>
  </w:num>
  <w:num w:numId="5">
    <w:abstractNumId w:val="17"/>
  </w:num>
  <w:num w:numId="6">
    <w:abstractNumId w:val="12"/>
  </w:num>
  <w:num w:numId="7">
    <w:abstractNumId w:val="9"/>
  </w:num>
  <w:num w:numId="8">
    <w:abstractNumId w:val="18"/>
  </w:num>
  <w:num w:numId="9">
    <w:abstractNumId w:val="11"/>
  </w:num>
  <w:num w:numId="10">
    <w:abstractNumId w:val="14"/>
  </w:num>
  <w:num w:numId="11">
    <w:abstractNumId w:val="5"/>
  </w:num>
  <w:num w:numId="12">
    <w:abstractNumId w:val="8"/>
  </w:num>
  <w:num w:numId="13">
    <w:abstractNumId w:val="13"/>
  </w:num>
  <w:num w:numId="14">
    <w:abstractNumId w:val="1"/>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2"/>
  </w:num>
  <w:num w:numId="20">
    <w:abstractNumId w:val="0"/>
  </w:num>
  <w:num w:numId="21">
    <w:abstractNumId w:val="10"/>
  </w:num>
  <w:num w:numId="22">
    <w:abstractNumId w:val="21"/>
  </w:num>
  <w:num w:numId="23">
    <w:abstractNumId w:val="2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5"/>
  </w:num>
  <w:num w:numId="27">
    <w:abstractNumId w:val="2"/>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15"/>
    <w:rsid w:val="00006DD7"/>
    <w:rsid w:val="000107AE"/>
    <w:rsid w:val="000139BA"/>
    <w:rsid w:val="00015125"/>
    <w:rsid w:val="000165A9"/>
    <w:rsid w:val="000237D9"/>
    <w:rsid w:val="00026345"/>
    <w:rsid w:val="0002666C"/>
    <w:rsid w:val="00034AEF"/>
    <w:rsid w:val="0004001B"/>
    <w:rsid w:val="00040044"/>
    <w:rsid w:val="00041192"/>
    <w:rsid w:val="000434DA"/>
    <w:rsid w:val="00045E54"/>
    <w:rsid w:val="0005173D"/>
    <w:rsid w:val="0005235B"/>
    <w:rsid w:val="00053FB9"/>
    <w:rsid w:val="00057956"/>
    <w:rsid w:val="00064F60"/>
    <w:rsid w:val="00065DBF"/>
    <w:rsid w:val="00066275"/>
    <w:rsid w:val="00067F0B"/>
    <w:rsid w:val="000741D0"/>
    <w:rsid w:val="0007451E"/>
    <w:rsid w:val="000746C2"/>
    <w:rsid w:val="00074F37"/>
    <w:rsid w:val="000826D8"/>
    <w:rsid w:val="0008289A"/>
    <w:rsid w:val="00084653"/>
    <w:rsid w:val="00085A9B"/>
    <w:rsid w:val="00092341"/>
    <w:rsid w:val="00092B30"/>
    <w:rsid w:val="00097C39"/>
    <w:rsid w:val="000A0E23"/>
    <w:rsid w:val="000A3DB2"/>
    <w:rsid w:val="000A44A0"/>
    <w:rsid w:val="000A7E84"/>
    <w:rsid w:val="000B19F4"/>
    <w:rsid w:val="000B4AAD"/>
    <w:rsid w:val="000D0046"/>
    <w:rsid w:val="000D14F9"/>
    <w:rsid w:val="000D4078"/>
    <w:rsid w:val="000E176D"/>
    <w:rsid w:val="000E2CAC"/>
    <w:rsid w:val="000E52F0"/>
    <w:rsid w:val="000E5323"/>
    <w:rsid w:val="000E5C35"/>
    <w:rsid w:val="000F1967"/>
    <w:rsid w:val="0010647C"/>
    <w:rsid w:val="0011101B"/>
    <w:rsid w:val="001117D7"/>
    <w:rsid w:val="001139A4"/>
    <w:rsid w:val="0011524C"/>
    <w:rsid w:val="00115708"/>
    <w:rsid w:val="00117627"/>
    <w:rsid w:val="001212D5"/>
    <w:rsid w:val="001337FF"/>
    <w:rsid w:val="00143F10"/>
    <w:rsid w:val="00152B22"/>
    <w:rsid w:val="00153E1E"/>
    <w:rsid w:val="001545C9"/>
    <w:rsid w:val="001559B7"/>
    <w:rsid w:val="001569C1"/>
    <w:rsid w:val="00160A16"/>
    <w:rsid w:val="001626EB"/>
    <w:rsid w:val="00163635"/>
    <w:rsid w:val="0016756E"/>
    <w:rsid w:val="001675CD"/>
    <w:rsid w:val="001734EE"/>
    <w:rsid w:val="0017714E"/>
    <w:rsid w:val="00183676"/>
    <w:rsid w:val="00184104"/>
    <w:rsid w:val="001852E1"/>
    <w:rsid w:val="001926CE"/>
    <w:rsid w:val="00192864"/>
    <w:rsid w:val="001957AD"/>
    <w:rsid w:val="001A39FF"/>
    <w:rsid w:val="001A602E"/>
    <w:rsid w:val="001B1E93"/>
    <w:rsid w:val="001B41F7"/>
    <w:rsid w:val="001B5EC4"/>
    <w:rsid w:val="001C51E2"/>
    <w:rsid w:val="001C5BF3"/>
    <w:rsid w:val="001C639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2F32"/>
    <w:rsid w:val="002461A5"/>
    <w:rsid w:val="00254F23"/>
    <w:rsid w:val="00255E78"/>
    <w:rsid w:val="0025610E"/>
    <w:rsid w:val="002629D4"/>
    <w:rsid w:val="00272FA8"/>
    <w:rsid w:val="002743DB"/>
    <w:rsid w:val="00283931"/>
    <w:rsid w:val="00284126"/>
    <w:rsid w:val="0028499B"/>
    <w:rsid w:val="002916B8"/>
    <w:rsid w:val="00294FAE"/>
    <w:rsid w:val="00295B9C"/>
    <w:rsid w:val="002A59BC"/>
    <w:rsid w:val="002A6335"/>
    <w:rsid w:val="002A7220"/>
    <w:rsid w:val="002B6101"/>
    <w:rsid w:val="002C62FF"/>
    <w:rsid w:val="002D29EA"/>
    <w:rsid w:val="002E46AB"/>
    <w:rsid w:val="002E78E3"/>
    <w:rsid w:val="002E7F6B"/>
    <w:rsid w:val="002F2800"/>
    <w:rsid w:val="002F3ED4"/>
    <w:rsid w:val="00301227"/>
    <w:rsid w:val="00301A42"/>
    <w:rsid w:val="00302EB6"/>
    <w:rsid w:val="0030491B"/>
    <w:rsid w:val="00321A20"/>
    <w:rsid w:val="00325E49"/>
    <w:rsid w:val="0032711D"/>
    <w:rsid w:val="00334FEC"/>
    <w:rsid w:val="003371B9"/>
    <w:rsid w:val="0034179B"/>
    <w:rsid w:val="00342FD3"/>
    <w:rsid w:val="00345A3A"/>
    <w:rsid w:val="00347242"/>
    <w:rsid w:val="00352292"/>
    <w:rsid w:val="00356336"/>
    <w:rsid w:val="003676F8"/>
    <w:rsid w:val="00370DA7"/>
    <w:rsid w:val="00371F1B"/>
    <w:rsid w:val="0037360B"/>
    <w:rsid w:val="00373CBB"/>
    <w:rsid w:val="00373F0C"/>
    <w:rsid w:val="0038060C"/>
    <w:rsid w:val="00380A1C"/>
    <w:rsid w:val="00384B88"/>
    <w:rsid w:val="003916AC"/>
    <w:rsid w:val="00397CB2"/>
    <w:rsid w:val="003A4FC0"/>
    <w:rsid w:val="003B1B33"/>
    <w:rsid w:val="003C2355"/>
    <w:rsid w:val="003D441A"/>
    <w:rsid w:val="003E4817"/>
    <w:rsid w:val="003E5C21"/>
    <w:rsid w:val="003E60B4"/>
    <w:rsid w:val="003F1D1C"/>
    <w:rsid w:val="003F27B9"/>
    <w:rsid w:val="00401691"/>
    <w:rsid w:val="00415698"/>
    <w:rsid w:val="004231C1"/>
    <w:rsid w:val="004265B4"/>
    <w:rsid w:val="0043269C"/>
    <w:rsid w:val="00450C55"/>
    <w:rsid w:val="0046108E"/>
    <w:rsid w:val="00467565"/>
    <w:rsid w:val="0047332F"/>
    <w:rsid w:val="004770E8"/>
    <w:rsid w:val="00483F95"/>
    <w:rsid w:val="00485AD3"/>
    <w:rsid w:val="00491556"/>
    <w:rsid w:val="004925DB"/>
    <w:rsid w:val="00493DCA"/>
    <w:rsid w:val="004A12F3"/>
    <w:rsid w:val="004A1B48"/>
    <w:rsid w:val="004A3E40"/>
    <w:rsid w:val="004B7312"/>
    <w:rsid w:val="004B77A8"/>
    <w:rsid w:val="004D03C0"/>
    <w:rsid w:val="004D0847"/>
    <w:rsid w:val="004D397F"/>
    <w:rsid w:val="004D71D6"/>
    <w:rsid w:val="004E263D"/>
    <w:rsid w:val="004E2763"/>
    <w:rsid w:val="004E43BB"/>
    <w:rsid w:val="004E6C03"/>
    <w:rsid w:val="004E70D1"/>
    <w:rsid w:val="004F0838"/>
    <w:rsid w:val="004F255E"/>
    <w:rsid w:val="004F2B3E"/>
    <w:rsid w:val="004F45C8"/>
    <w:rsid w:val="00500C97"/>
    <w:rsid w:val="0050102D"/>
    <w:rsid w:val="00504177"/>
    <w:rsid w:val="00504F17"/>
    <w:rsid w:val="0052115B"/>
    <w:rsid w:val="00522678"/>
    <w:rsid w:val="00525612"/>
    <w:rsid w:val="00534101"/>
    <w:rsid w:val="005375F3"/>
    <w:rsid w:val="005458EF"/>
    <w:rsid w:val="00552BE1"/>
    <w:rsid w:val="0057223B"/>
    <w:rsid w:val="0057256F"/>
    <w:rsid w:val="005757C8"/>
    <w:rsid w:val="00576DE1"/>
    <w:rsid w:val="00577A8F"/>
    <w:rsid w:val="0058523A"/>
    <w:rsid w:val="005860D4"/>
    <w:rsid w:val="00587F18"/>
    <w:rsid w:val="00590FB8"/>
    <w:rsid w:val="005919F9"/>
    <w:rsid w:val="00594981"/>
    <w:rsid w:val="00595842"/>
    <w:rsid w:val="00595B3A"/>
    <w:rsid w:val="005A7352"/>
    <w:rsid w:val="005B36AB"/>
    <w:rsid w:val="005B76DD"/>
    <w:rsid w:val="005D03BE"/>
    <w:rsid w:val="005D04B9"/>
    <w:rsid w:val="005D0B03"/>
    <w:rsid w:val="005D1F0B"/>
    <w:rsid w:val="005D2E69"/>
    <w:rsid w:val="005D368F"/>
    <w:rsid w:val="005D62EB"/>
    <w:rsid w:val="005E0E12"/>
    <w:rsid w:val="005E26FF"/>
    <w:rsid w:val="005E27AA"/>
    <w:rsid w:val="005E3D70"/>
    <w:rsid w:val="005E3EC9"/>
    <w:rsid w:val="005E63ED"/>
    <w:rsid w:val="005F2A14"/>
    <w:rsid w:val="00602FF8"/>
    <w:rsid w:val="00604305"/>
    <w:rsid w:val="006107BB"/>
    <w:rsid w:val="00611469"/>
    <w:rsid w:val="00622525"/>
    <w:rsid w:val="00624DDC"/>
    <w:rsid w:val="00634830"/>
    <w:rsid w:val="0063617C"/>
    <w:rsid w:val="0063749C"/>
    <w:rsid w:val="00642D4E"/>
    <w:rsid w:val="006437A1"/>
    <w:rsid w:val="006443CB"/>
    <w:rsid w:val="0065532A"/>
    <w:rsid w:val="0065582E"/>
    <w:rsid w:val="00656806"/>
    <w:rsid w:val="00665A38"/>
    <w:rsid w:val="0066682E"/>
    <w:rsid w:val="00670BE9"/>
    <w:rsid w:val="006732DF"/>
    <w:rsid w:val="00682E41"/>
    <w:rsid w:val="006A3283"/>
    <w:rsid w:val="006A3C85"/>
    <w:rsid w:val="006A6D97"/>
    <w:rsid w:val="006A749F"/>
    <w:rsid w:val="006C19B0"/>
    <w:rsid w:val="006C72E6"/>
    <w:rsid w:val="006D23E3"/>
    <w:rsid w:val="006D6B84"/>
    <w:rsid w:val="006E1415"/>
    <w:rsid w:val="006E5A71"/>
    <w:rsid w:val="006E6823"/>
    <w:rsid w:val="006F4192"/>
    <w:rsid w:val="007119E1"/>
    <w:rsid w:val="00714E4A"/>
    <w:rsid w:val="00716246"/>
    <w:rsid w:val="00716C63"/>
    <w:rsid w:val="00716D1C"/>
    <w:rsid w:val="00716FBB"/>
    <w:rsid w:val="00723D47"/>
    <w:rsid w:val="0072664E"/>
    <w:rsid w:val="00731798"/>
    <w:rsid w:val="007336DB"/>
    <w:rsid w:val="00740E97"/>
    <w:rsid w:val="007451AB"/>
    <w:rsid w:val="007460EC"/>
    <w:rsid w:val="0074684C"/>
    <w:rsid w:val="0075013C"/>
    <w:rsid w:val="00753D13"/>
    <w:rsid w:val="00754367"/>
    <w:rsid w:val="00766B24"/>
    <w:rsid w:val="00766EB1"/>
    <w:rsid w:val="00771DBB"/>
    <w:rsid w:val="00776A60"/>
    <w:rsid w:val="00777CFA"/>
    <w:rsid w:val="00780DD8"/>
    <w:rsid w:val="00782059"/>
    <w:rsid w:val="00782C11"/>
    <w:rsid w:val="007865EF"/>
    <w:rsid w:val="00787F13"/>
    <w:rsid w:val="00791016"/>
    <w:rsid w:val="007965EB"/>
    <w:rsid w:val="007A7FC3"/>
    <w:rsid w:val="007B40ED"/>
    <w:rsid w:val="007B71A2"/>
    <w:rsid w:val="007C3A2E"/>
    <w:rsid w:val="007C6EC6"/>
    <w:rsid w:val="007D3639"/>
    <w:rsid w:val="007D5012"/>
    <w:rsid w:val="007E168E"/>
    <w:rsid w:val="007F189D"/>
    <w:rsid w:val="0081158D"/>
    <w:rsid w:val="00830899"/>
    <w:rsid w:val="008349BA"/>
    <w:rsid w:val="00843997"/>
    <w:rsid w:val="008458BA"/>
    <w:rsid w:val="0085189B"/>
    <w:rsid w:val="00867FEE"/>
    <w:rsid w:val="008720CA"/>
    <w:rsid w:val="0087655D"/>
    <w:rsid w:val="008769DE"/>
    <w:rsid w:val="00880343"/>
    <w:rsid w:val="00881478"/>
    <w:rsid w:val="00883651"/>
    <w:rsid w:val="0089148D"/>
    <w:rsid w:val="008A2AEF"/>
    <w:rsid w:val="008A65D4"/>
    <w:rsid w:val="008A7014"/>
    <w:rsid w:val="008B2507"/>
    <w:rsid w:val="008C0201"/>
    <w:rsid w:val="008C2619"/>
    <w:rsid w:val="008C606C"/>
    <w:rsid w:val="008D037B"/>
    <w:rsid w:val="008E0425"/>
    <w:rsid w:val="008E0724"/>
    <w:rsid w:val="008E46E2"/>
    <w:rsid w:val="008E4744"/>
    <w:rsid w:val="008E4B87"/>
    <w:rsid w:val="008E52C8"/>
    <w:rsid w:val="008F03F8"/>
    <w:rsid w:val="008F1D4B"/>
    <w:rsid w:val="008F35D7"/>
    <w:rsid w:val="008F51E4"/>
    <w:rsid w:val="009014AF"/>
    <w:rsid w:val="00901501"/>
    <w:rsid w:val="00902EC3"/>
    <w:rsid w:val="00914F38"/>
    <w:rsid w:val="00916E15"/>
    <w:rsid w:val="009171A7"/>
    <w:rsid w:val="0092372D"/>
    <w:rsid w:val="00930886"/>
    <w:rsid w:val="00932542"/>
    <w:rsid w:val="009434CE"/>
    <w:rsid w:val="00943A22"/>
    <w:rsid w:val="00944ECD"/>
    <w:rsid w:val="00945E30"/>
    <w:rsid w:val="009466A5"/>
    <w:rsid w:val="00947192"/>
    <w:rsid w:val="009534E4"/>
    <w:rsid w:val="0096543A"/>
    <w:rsid w:val="009673E9"/>
    <w:rsid w:val="00972CAE"/>
    <w:rsid w:val="00985280"/>
    <w:rsid w:val="009861B2"/>
    <w:rsid w:val="00990B21"/>
    <w:rsid w:val="009940AF"/>
    <w:rsid w:val="00996EF0"/>
    <w:rsid w:val="009A5069"/>
    <w:rsid w:val="009B024D"/>
    <w:rsid w:val="009B1A9B"/>
    <w:rsid w:val="009B629D"/>
    <w:rsid w:val="009B6458"/>
    <w:rsid w:val="009C5634"/>
    <w:rsid w:val="009C6829"/>
    <w:rsid w:val="009D0655"/>
    <w:rsid w:val="009D25C5"/>
    <w:rsid w:val="009D3928"/>
    <w:rsid w:val="009D67FA"/>
    <w:rsid w:val="009E08C5"/>
    <w:rsid w:val="009E4434"/>
    <w:rsid w:val="009E58D6"/>
    <w:rsid w:val="009E6FD9"/>
    <w:rsid w:val="009F0117"/>
    <w:rsid w:val="009F3782"/>
    <w:rsid w:val="009F7C39"/>
    <w:rsid w:val="00A02DDE"/>
    <w:rsid w:val="00A112D9"/>
    <w:rsid w:val="00A13BFD"/>
    <w:rsid w:val="00A22570"/>
    <w:rsid w:val="00A26DE4"/>
    <w:rsid w:val="00A42717"/>
    <w:rsid w:val="00A44797"/>
    <w:rsid w:val="00A45E0F"/>
    <w:rsid w:val="00A46F21"/>
    <w:rsid w:val="00A61D71"/>
    <w:rsid w:val="00A64B15"/>
    <w:rsid w:val="00A64ED6"/>
    <w:rsid w:val="00A73ECD"/>
    <w:rsid w:val="00A76F2A"/>
    <w:rsid w:val="00A80718"/>
    <w:rsid w:val="00A8165F"/>
    <w:rsid w:val="00A83F16"/>
    <w:rsid w:val="00A8705A"/>
    <w:rsid w:val="00AC22E2"/>
    <w:rsid w:val="00AC2960"/>
    <w:rsid w:val="00AC65F9"/>
    <w:rsid w:val="00AC7EC3"/>
    <w:rsid w:val="00AD0864"/>
    <w:rsid w:val="00AE3087"/>
    <w:rsid w:val="00AE69DF"/>
    <w:rsid w:val="00AF0917"/>
    <w:rsid w:val="00AF7145"/>
    <w:rsid w:val="00B04B3C"/>
    <w:rsid w:val="00B060C0"/>
    <w:rsid w:val="00B07F36"/>
    <w:rsid w:val="00B1559A"/>
    <w:rsid w:val="00B16CED"/>
    <w:rsid w:val="00B17563"/>
    <w:rsid w:val="00B264CD"/>
    <w:rsid w:val="00B349AD"/>
    <w:rsid w:val="00B40126"/>
    <w:rsid w:val="00B5058C"/>
    <w:rsid w:val="00B55896"/>
    <w:rsid w:val="00B55EBB"/>
    <w:rsid w:val="00B614DE"/>
    <w:rsid w:val="00B64787"/>
    <w:rsid w:val="00B7178E"/>
    <w:rsid w:val="00B71E6A"/>
    <w:rsid w:val="00B73982"/>
    <w:rsid w:val="00B75EB5"/>
    <w:rsid w:val="00B774DD"/>
    <w:rsid w:val="00B956AC"/>
    <w:rsid w:val="00B95CCC"/>
    <w:rsid w:val="00B97CFB"/>
    <w:rsid w:val="00BA1E88"/>
    <w:rsid w:val="00BA399F"/>
    <w:rsid w:val="00BB1415"/>
    <w:rsid w:val="00BB1607"/>
    <w:rsid w:val="00BB19BA"/>
    <w:rsid w:val="00BB2023"/>
    <w:rsid w:val="00BB42C8"/>
    <w:rsid w:val="00BB438D"/>
    <w:rsid w:val="00BB4DB1"/>
    <w:rsid w:val="00BB533D"/>
    <w:rsid w:val="00BB5C38"/>
    <w:rsid w:val="00BB7AEC"/>
    <w:rsid w:val="00BC2BF3"/>
    <w:rsid w:val="00BC3578"/>
    <w:rsid w:val="00BD1191"/>
    <w:rsid w:val="00BD172A"/>
    <w:rsid w:val="00BD1A81"/>
    <w:rsid w:val="00BD37D8"/>
    <w:rsid w:val="00BD7172"/>
    <w:rsid w:val="00BE5478"/>
    <w:rsid w:val="00BE56B8"/>
    <w:rsid w:val="00BE788B"/>
    <w:rsid w:val="00C059CD"/>
    <w:rsid w:val="00C2409D"/>
    <w:rsid w:val="00C26CC3"/>
    <w:rsid w:val="00C34FB0"/>
    <w:rsid w:val="00C37D3C"/>
    <w:rsid w:val="00C40208"/>
    <w:rsid w:val="00C41E4A"/>
    <w:rsid w:val="00C46DBA"/>
    <w:rsid w:val="00C5055D"/>
    <w:rsid w:val="00C511AD"/>
    <w:rsid w:val="00C609C6"/>
    <w:rsid w:val="00C637C7"/>
    <w:rsid w:val="00C64E1A"/>
    <w:rsid w:val="00C72FBD"/>
    <w:rsid w:val="00C739C2"/>
    <w:rsid w:val="00C74C86"/>
    <w:rsid w:val="00C7601A"/>
    <w:rsid w:val="00C77F6E"/>
    <w:rsid w:val="00C81129"/>
    <w:rsid w:val="00C85101"/>
    <w:rsid w:val="00C91164"/>
    <w:rsid w:val="00C93F38"/>
    <w:rsid w:val="00C97207"/>
    <w:rsid w:val="00CA02CA"/>
    <w:rsid w:val="00CA0E04"/>
    <w:rsid w:val="00CA2C36"/>
    <w:rsid w:val="00CA4BC6"/>
    <w:rsid w:val="00CA7FA7"/>
    <w:rsid w:val="00CB08EF"/>
    <w:rsid w:val="00CB45BF"/>
    <w:rsid w:val="00CB5AF6"/>
    <w:rsid w:val="00CB60CD"/>
    <w:rsid w:val="00CD05F3"/>
    <w:rsid w:val="00CD3386"/>
    <w:rsid w:val="00CD45D1"/>
    <w:rsid w:val="00CD5189"/>
    <w:rsid w:val="00CD689C"/>
    <w:rsid w:val="00CE23DD"/>
    <w:rsid w:val="00CE39AF"/>
    <w:rsid w:val="00CE3CA7"/>
    <w:rsid w:val="00CE5FA3"/>
    <w:rsid w:val="00CF0260"/>
    <w:rsid w:val="00CF7721"/>
    <w:rsid w:val="00D003D9"/>
    <w:rsid w:val="00D066CB"/>
    <w:rsid w:val="00D11C07"/>
    <w:rsid w:val="00D14BB3"/>
    <w:rsid w:val="00D1527C"/>
    <w:rsid w:val="00D24006"/>
    <w:rsid w:val="00D3491C"/>
    <w:rsid w:val="00D43E19"/>
    <w:rsid w:val="00D461E7"/>
    <w:rsid w:val="00D468CB"/>
    <w:rsid w:val="00D47606"/>
    <w:rsid w:val="00D5059A"/>
    <w:rsid w:val="00D51BBC"/>
    <w:rsid w:val="00D5389F"/>
    <w:rsid w:val="00D551ED"/>
    <w:rsid w:val="00D56CFD"/>
    <w:rsid w:val="00D60D33"/>
    <w:rsid w:val="00D64717"/>
    <w:rsid w:val="00D72E6C"/>
    <w:rsid w:val="00D77944"/>
    <w:rsid w:val="00D9317C"/>
    <w:rsid w:val="00D93A8F"/>
    <w:rsid w:val="00DA4A4E"/>
    <w:rsid w:val="00DB0648"/>
    <w:rsid w:val="00DB14FA"/>
    <w:rsid w:val="00DB15FF"/>
    <w:rsid w:val="00DB6E2F"/>
    <w:rsid w:val="00DC342A"/>
    <w:rsid w:val="00DD72DC"/>
    <w:rsid w:val="00DE311B"/>
    <w:rsid w:val="00DF00E6"/>
    <w:rsid w:val="00DF378F"/>
    <w:rsid w:val="00DF4461"/>
    <w:rsid w:val="00E028CB"/>
    <w:rsid w:val="00E03E0D"/>
    <w:rsid w:val="00E077EC"/>
    <w:rsid w:val="00E13467"/>
    <w:rsid w:val="00E165F4"/>
    <w:rsid w:val="00E20A99"/>
    <w:rsid w:val="00E24E2F"/>
    <w:rsid w:val="00E27648"/>
    <w:rsid w:val="00E3668B"/>
    <w:rsid w:val="00E4207A"/>
    <w:rsid w:val="00E54D4F"/>
    <w:rsid w:val="00E564B4"/>
    <w:rsid w:val="00E56CEF"/>
    <w:rsid w:val="00E70960"/>
    <w:rsid w:val="00E72EC0"/>
    <w:rsid w:val="00E8666A"/>
    <w:rsid w:val="00E906AB"/>
    <w:rsid w:val="00E92427"/>
    <w:rsid w:val="00E95866"/>
    <w:rsid w:val="00E97E3F"/>
    <w:rsid w:val="00EA2888"/>
    <w:rsid w:val="00EA6751"/>
    <w:rsid w:val="00EA7E4D"/>
    <w:rsid w:val="00EC5F3F"/>
    <w:rsid w:val="00ED2440"/>
    <w:rsid w:val="00ED3C5E"/>
    <w:rsid w:val="00ED4174"/>
    <w:rsid w:val="00EE616F"/>
    <w:rsid w:val="00EF1F27"/>
    <w:rsid w:val="00EF60D1"/>
    <w:rsid w:val="00F00247"/>
    <w:rsid w:val="00F009A6"/>
    <w:rsid w:val="00F02C65"/>
    <w:rsid w:val="00F03B10"/>
    <w:rsid w:val="00F04CE1"/>
    <w:rsid w:val="00F11C1D"/>
    <w:rsid w:val="00F15963"/>
    <w:rsid w:val="00F328DE"/>
    <w:rsid w:val="00F33022"/>
    <w:rsid w:val="00F362CE"/>
    <w:rsid w:val="00F37ECF"/>
    <w:rsid w:val="00F40C6E"/>
    <w:rsid w:val="00F5334F"/>
    <w:rsid w:val="00F557FC"/>
    <w:rsid w:val="00F6286E"/>
    <w:rsid w:val="00F7316C"/>
    <w:rsid w:val="00F7461A"/>
    <w:rsid w:val="00F74A68"/>
    <w:rsid w:val="00F80E71"/>
    <w:rsid w:val="00F844E8"/>
    <w:rsid w:val="00F87FF3"/>
    <w:rsid w:val="00F95255"/>
    <w:rsid w:val="00F962BB"/>
    <w:rsid w:val="00F966EF"/>
    <w:rsid w:val="00FA5B31"/>
    <w:rsid w:val="00FC15F7"/>
    <w:rsid w:val="00FC37F2"/>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aliases w:val="Základný text Char Char"/>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uiPriority w:val="22"/>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18CD3-8342-4FF5-9045-0FD427CE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6</Pages>
  <Words>1738</Words>
  <Characters>9913</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383</cp:revision>
  <cp:lastPrinted>2018-03-12T10:30:00Z</cp:lastPrinted>
  <dcterms:created xsi:type="dcterms:W3CDTF">2003-06-05T10:59:00Z</dcterms:created>
  <dcterms:modified xsi:type="dcterms:W3CDTF">2018-06-07T12:57:00Z</dcterms:modified>
</cp:coreProperties>
</file>