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8349BA">
      <w:pPr>
        <w:ind w:left="4248"/>
        <w:jc w:val="right"/>
      </w:pPr>
      <w:r w:rsidRPr="008349BA">
        <w:t xml:space="preserve">                                        </w:t>
      </w:r>
      <w:r w:rsidR="00D5059A">
        <w:t>51</w:t>
      </w:r>
      <w:r w:rsidRPr="008349BA" w:rsidR="00985280">
        <w:t>.</w:t>
      </w:r>
      <w:r w:rsidRPr="008349BA">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Pr="00D5059A" w:rsidR="00D5059A">
        <w:t>804</w:t>
      </w:r>
      <w:r w:rsidRPr="00053FB9" w:rsidR="003371B9">
        <w:t>/</w:t>
      </w:r>
      <w:r w:rsidR="00053FB9">
        <w:t>201</w:t>
      </w:r>
      <w:r w:rsidR="0087655D">
        <w:t>8</w:t>
      </w:r>
    </w:p>
    <w:p w:rsidR="0004001B" w:rsidP="00067F0B">
      <w:pPr>
        <w:ind w:left="3540" w:firstLine="708"/>
        <w:rPr>
          <w:b/>
        </w:rPr>
      </w:pPr>
    </w:p>
    <w:p w:rsidR="00576DE1" w:rsidP="00067F0B">
      <w:pPr>
        <w:ind w:left="3540" w:firstLine="708"/>
        <w:rPr>
          <w:b/>
        </w:rPr>
      </w:pPr>
    </w:p>
    <w:p w:rsidR="009B024D" w:rsidP="00067F0B">
      <w:pPr>
        <w:ind w:left="3540" w:firstLine="708"/>
        <w:rPr>
          <w:b/>
        </w:rPr>
      </w:pPr>
      <w:r w:rsidR="0011101B">
        <w:rPr>
          <w:b/>
        </w:rPr>
        <w:t xml:space="preserve">        </w:t>
      </w:r>
      <w:r w:rsidR="00D551ED">
        <w:rPr>
          <w:b/>
        </w:rPr>
        <w:t xml:space="preserve"> </w:t>
      </w:r>
      <w:r w:rsidR="003C3FB4">
        <w:rPr>
          <w:b/>
        </w:rPr>
        <w:t>286</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D5059A">
        <w:rPr>
          <w:b/>
        </w:rPr>
        <w:t>o</w:t>
      </w:r>
      <w:r w:rsidR="00272FA8">
        <w:rPr>
          <w:b/>
        </w:rPr>
        <w:t xml:space="preserve"> </w:t>
      </w:r>
      <w:r w:rsidR="00D5059A">
        <w:rPr>
          <w:b/>
        </w:rPr>
        <w:t>7</w:t>
      </w:r>
      <w:r w:rsidR="00C72FBD">
        <w:rPr>
          <w:b/>
        </w:rPr>
        <w:t xml:space="preserve">. </w:t>
      </w:r>
      <w:r w:rsidR="00D5059A">
        <w:rPr>
          <w:b/>
        </w:rPr>
        <w:t>júna</w:t>
      </w:r>
      <w:r w:rsidR="00830899">
        <w:rPr>
          <w:b/>
        </w:rPr>
        <w:t xml:space="preserve"> 201</w:t>
      </w:r>
      <w:r w:rsidR="0087655D">
        <w:rPr>
          <w:b/>
        </w:rPr>
        <w:t>8</w:t>
      </w:r>
    </w:p>
    <w:p w:rsidR="00FC15F7" w:rsidP="00FC15F7">
      <w:pPr>
        <w:keepNext/>
        <w:shd w:val="clear" w:color="auto" w:fill="FFFFFF"/>
        <w:jc w:val="both"/>
        <w:outlineLvl w:val="1"/>
        <w:rPr>
          <w:b/>
        </w:rPr>
      </w:pPr>
    </w:p>
    <w:p w:rsidR="00EC5F3F" w:rsidRPr="00D5059A" w:rsidP="00D5059A">
      <w:pPr>
        <w:tabs>
          <w:tab w:val="left" w:pos="426"/>
        </w:tabs>
        <w:contextualSpacing/>
        <w:jc w:val="both"/>
        <w:rPr>
          <w:b/>
          <w:bCs w:val="0"/>
          <w:color w:val="FF0000"/>
        </w:rPr>
      </w:pPr>
      <w:r w:rsidRPr="005D2E69">
        <w:t>Výbor Národnej rady Sl</w:t>
      </w:r>
      <w:r w:rsidRPr="005D2E69" w:rsidR="003371B9">
        <w:t>ovenskej republiky pre financie a</w:t>
      </w:r>
      <w:r w:rsidRPr="005D2E69">
        <w:t xml:space="preserve"> rozpočet </w:t>
      </w:r>
      <w:r w:rsidRPr="005D2E69" w:rsidR="00F966EF">
        <w:t>prerokoval</w:t>
      </w:r>
      <w:r w:rsidRPr="00D1527C" w:rsidR="00D1527C">
        <w:rPr>
          <w:b/>
          <w:iCs/>
          <w:color w:val="000000"/>
        </w:rPr>
        <w:t xml:space="preserve"> </w:t>
      </w:r>
      <w:r w:rsidR="00D5059A">
        <w:rPr>
          <w:iCs/>
          <w:color w:val="000000"/>
        </w:rPr>
        <w:t>v</w:t>
      </w:r>
      <w:r w:rsidRPr="00D5059A" w:rsidR="00D5059A">
        <w:rPr>
          <w:bCs w:val="0"/>
        </w:rPr>
        <w:t xml:space="preserve">ládny návrh zákona, ktorým sa mení a dopĺňa zákon č. 39/2015 Z. z. o poisťovníctve a o zmene a doplnení niektorých zákonov v znení neskorších predpisov a ktorým sa menia a dopĺňajú niektoré zákony </w:t>
      </w:r>
      <w:r w:rsidRPr="00D5059A" w:rsidR="00D5059A">
        <w:rPr>
          <w:b/>
          <w:bCs w:val="0"/>
        </w:rPr>
        <w:t>(tlač 944)</w:t>
      </w:r>
      <w:r w:rsidR="00D5059A">
        <w:rPr>
          <w:b/>
          <w:bCs w:val="0"/>
        </w:rPr>
        <w:t xml:space="preserve"> </w:t>
      </w:r>
      <w:r w:rsidRPr="0087655D" w:rsidR="00450C55">
        <w:rPr>
          <w:b/>
        </w:rPr>
        <w:t>a</w:t>
      </w:r>
      <w:r w:rsidRPr="0087655D" w:rsidR="00ED3C5E">
        <w:rPr>
          <w:b/>
        </w:rPr>
        <w:t xml:space="preserve"> </w:t>
      </w:r>
      <w:r w:rsidRPr="0087655D" w:rsidR="008458BA">
        <w:rPr>
          <w:b/>
        </w:rPr>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87655D">
      <w:pPr>
        <w:pStyle w:val="BodyText"/>
        <w:spacing w:after="0"/>
        <w:ind w:firstLine="567"/>
        <w:jc w:val="both"/>
      </w:pPr>
      <w:r w:rsidR="00321A20">
        <w:t>s</w:t>
      </w:r>
      <w:r w:rsidRPr="00A73ECD" w:rsidR="00B614DE">
        <w:t> </w:t>
      </w:r>
      <w:r w:rsidR="00D5059A">
        <w:rPr>
          <w:iCs/>
          <w:color w:val="000000"/>
        </w:rPr>
        <w:t>v</w:t>
      </w:r>
      <w:r w:rsidRPr="00D5059A" w:rsidR="00D5059A">
        <w:rPr>
          <w:bCs w:val="0"/>
        </w:rPr>
        <w:t>ládny</w:t>
      </w:r>
      <w:r w:rsidR="00D5059A">
        <w:rPr>
          <w:bCs w:val="0"/>
        </w:rPr>
        <w:t>m</w:t>
      </w:r>
      <w:r w:rsidRPr="00D5059A" w:rsidR="00D5059A">
        <w:rPr>
          <w:bCs w:val="0"/>
        </w:rPr>
        <w:t xml:space="preserve"> návrh</w:t>
      </w:r>
      <w:r w:rsidR="00D5059A">
        <w:rPr>
          <w:bCs w:val="0"/>
        </w:rPr>
        <w:t>om</w:t>
      </w:r>
      <w:r w:rsidRPr="00D5059A" w:rsidR="00D5059A">
        <w:rPr>
          <w:bCs w:val="0"/>
        </w:rPr>
        <w:t xml:space="preserve"> zákona, ktorým sa mení a dopĺňa zákon č. 39/2015 Z. z. o poisťovníctve a o zmene a doplnení niektorých zákonov v znení neskorších predpisov a ktorým sa menia a dopĺňajú</w:t>
      </w:r>
      <w:r w:rsidRPr="00D5059A" w:rsidR="00D5059A">
        <w:rPr>
          <w:bCs w:val="0"/>
        </w:rPr>
        <w:t xml:space="preserve"> niektoré zákony </w:t>
      </w:r>
      <w:r w:rsidRPr="00D5059A" w:rsidR="00D5059A">
        <w:rPr>
          <w:b/>
          <w:bCs w:val="0"/>
        </w:rPr>
        <w:t>(tlač 944)</w:t>
      </w:r>
    </w:p>
    <w:p w:rsidR="00777CFA" w:rsidP="00E20A99">
      <w:pPr>
        <w:pStyle w:val="BodyText"/>
        <w:spacing w:after="0"/>
        <w:ind w:left="1416" w:firstLine="708"/>
        <w:jc w:val="both"/>
        <w:rPr>
          <w:color w:val="000000"/>
        </w:rPr>
      </w:pPr>
    </w:p>
    <w:p w:rsidR="00AC2960" w:rsidP="00E20A99">
      <w:pPr>
        <w:pStyle w:val="BodyText"/>
        <w:spacing w:after="0"/>
        <w:ind w:left="1416" w:firstLine="708"/>
        <w:jc w:val="both"/>
        <w:rPr>
          <w:color w:val="000000"/>
        </w:rPr>
      </w:pPr>
    </w:p>
    <w:p w:rsidR="00D551ED"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9B024D">
      <w:pPr>
        <w:pStyle w:val="Heading1"/>
        <w:ind w:left="0" w:firstLine="567"/>
        <w:jc w:val="both"/>
      </w:pPr>
      <w:r w:rsidRPr="00D5059A" w:rsidR="00D5059A">
        <w:rPr>
          <w:b w:val="0"/>
          <w:iCs/>
          <w:color w:val="000000"/>
        </w:rPr>
        <w:t>v</w:t>
      </w:r>
      <w:r w:rsidRPr="00D5059A" w:rsidR="00D5059A">
        <w:rPr>
          <w:b w:val="0"/>
          <w:bCs w:val="0"/>
        </w:rPr>
        <w:t>ládny návrh zákona, ktorým sa mení a dopĺňa zákon č. 39/2015 Z. z. o poisťovníctve a o zmene a doplnení niektorých zákonov v znení neskorších predpisov a ktorým sa menia a dopĺňajú niektoré zákony (tlač 944)</w:t>
      </w:r>
      <w:r w:rsidR="00D5059A">
        <w:rPr>
          <w:bCs w:val="0"/>
        </w:rPr>
        <w:t xml:space="preserve"> </w:t>
      </w:r>
      <w:r w:rsidRPr="00E20A99" w:rsidR="00F33022">
        <w:t xml:space="preserve">schváliť </w:t>
      </w:r>
      <w:r w:rsidRPr="00534101" w:rsidR="00F33022">
        <w:t>s pozmeňujúcimi a doplňujúcimi návrhmi tak, ako sú uvedené v prílohe tohto uznesenia</w:t>
      </w:r>
      <w:r w:rsidR="00FA5B31">
        <w:t>;</w:t>
      </w:r>
    </w:p>
    <w:p w:rsidR="00E13467" w:rsidP="000139BA">
      <w:pPr>
        <w:ind w:left="1416"/>
        <w:jc w:val="both"/>
        <w:rPr>
          <w:b/>
        </w:rPr>
      </w:pPr>
      <w:r>
        <w:rPr>
          <w:b/>
        </w:rPr>
        <w:tab/>
      </w:r>
    </w:p>
    <w:p w:rsidR="00777CFA" w:rsidP="000139BA">
      <w:pPr>
        <w:ind w:left="1416"/>
        <w:jc w:val="both"/>
        <w:rPr>
          <w:b/>
        </w:rPr>
      </w:pPr>
    </w:p>
    <w:p w:rsidR="00D551ED"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P="004E43BB">
      <w:pPr>
        <w:ind w:firstLine="567"/>
        <w:jc w:val="both"/>
      </w:pPr>
      <w:r w:rsidRPr="00B1559A" w:rsidR="004D0847">
        <w:t>informovať predsedu Národnej</w:t>
      </w:r>
      <w:r w:rsidR="004D0847">
        <w:t xml:space="preserve"> </w:t>
      </w:r>
      <w:r w:rsidRPr="00B1559A" w:rsidR="004D0847">
        <w:t>rady Slovenskej republiky o výsledku prerokovania uvedeného</w:t>
      </w:r>
      <w:r w:rsidR="004D0847">
        <w:t xml:space="preserve"> </w:t>
      </w:r>
      <w:r w:rsidR="008349BA">
        <w:t>vládneh</w:t>
      </w:r>
      <w:r w:rsidR="008349BA">
        <w:t xml:space="preserve">o </w:t>
      </w:r>
      <w:r w:rsidRPr="00B1559A" w:rsidR="004D0847">
        <w:t xml:space="preserve">návrhu </w:t>
      </w:r>
      <w:r w:rsidR="00B04B3C">
        <w:t xml:space="preserve">zákona </w:t>
      </w:r>
      <w:r w:rsidRPr="00B1559A" w:rsidR="004D0847">
        <w:t>vo výbore</w:t>
      </w:r>
      <w:r w:rsidR="004D0847">
        <w:t>.</w:t>
      </w:r>
    </w:p>
    <w:p w:rsidR="0052115B" w:rsidP="00C739C2">
      <w:r w:rsidR="00E20A99">
        <w:t xml:space="preserve">                                                              </w:t>
      </w:r>
    </w:p>
    <w:p w:rsidR="008349BA" w:rsidP="00C739C2"/>
    <w:p w:rsidR="00A45E0F"/>
    <w:p w:rsidR="008A7014" w:rsidP="008A7014">
      <w:pPr>
        <w:rPr>
          <w:b/>
          <w:bCs w:val="0"/>
        </w:rPr>
      </w:pPr>
    </w:p>
    <w:p w:rsidR="008A7014" w:rsidP="008A7014">
      <w:pPr>
        <w:ind w:left="5664" w:firstLine="708"/>
        <w:rPr>
          <w:b/>
          <w:bCs w:val="0"/>
        </w:rPr>
      </w:pPr>
    </w:p>
    <w:p w:rsidR="008A7014" w:rsidP="008A7014">
      <w:pPr>
        <w:ind w:left="5664" w:firstLine="708"/>
        <w:rPr>
          <w:b/>
        </w:rPr>
      </w:pPr>
      <w:r>
        <w:rPr>
          <w:b/>
          <w:bCs w:val="0"/>
        </w:rPr>
        <w:t xml:space="preserve">        Ladislav Kamenický </w:t>
      </w:r>
    </w:p>
    <w:p w:rsidR="008A7014" w:rsidP="008A7014">
      <w:pPr>
        <w:ind w:left="5664" w:firstLine="708"/>
      </w:pPr>
      <w:r>
        <w:t xml:space="preserve">           predseda výboru</w:t>
      </w:r>
    </w:p>
    <w:p w:rsidR="008A7014" w:rsidP="008A7014">
      <w:pPr>
        <w:jc w:val="both"/>
        <w:rPr>
          <w:b/>
          <w:bCs w:val="0"/>
        </w:rPr>
      </w:pPr>
      <w:r>
        <w:rPr>
          <w:b/>
        </w:rPr>
        <w:t xml:space="preserve">  </w:t>
      </w:r>
      <w:r>
        <w:rPr>
          <w:b/>
          <w:bCs w:val="0"/>
        </w:rPr>
        <w:t>Irén Sárközy</w:t>
      </w:r>
    </w:p>
    <w:p w:rsidR="008A7014" w:rsidP="008A7014">
      <w:pPr>
        <w:jc w:val="both"/>
        <w:rPr>
          <w:b/>
          <w:bCs w:val="0"/>
        </w:rPr>
      </w:pPr>
      <w:r>
        <w:rPr>
          <w:b/>
          <w:bCs w:val="0"/>
        </w:rPr>
        <w:t xml:space="preserve"> Peter Štarchoň</w:t>
      </w:r>
    </w:p>
    <w:p w:rsidR="008A7014" w:rsidRPr="008F51E4" w:rsidP="008A7014">
      <w:pPr>
        <w:jc w:val="both"/>
        <w:rPr>
          <w:bCs w:val="0"/>
        </w:rPr>
      </w:pPr>
      <w:r>
        <w:rPr>
          <w:bCs w:val="0"/>
        </w:rPr>
        <w:t>overovateľ výboru</w:t>
      </w:r>
    </w:p>
    <w:p w:rsidR="00AC2960"/>
    <w:p w:rsidR="00065DBF"/>
    <w:p w:rsidR="0087655D"/>
    <w:p w:rsidR="00065DBF"/>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0D14F9">
      <w:pPr>
        <w:jc w:val="right"/>
        <w:rPr>
          <w:b/>
        </w:rPr>
      </w:pPr>
      <w:r>
        <w:t xml:space="preserve">Príloha k uzn. </w:t>
      </w:r>
      <w:r w:rsidRPr="006C72E6">
        <w:rPr>
          <w:b/>
        </w:rPr>
        <w:t>č.</w:t>
      </w:r>
      <w:r w:rsidR="0065532A">
        <w:rPr>
          <w:b/>
        </w:rPr>
        <w:t xml:space="preserve"> </w:t>
      </w:r>
      <w:r w:rsidR="003C3FB4">
        <w:rPr>
          <w:b/>
        </w:rPr>
        <w:t>286</w:t>
      </w:r>
    </w:p>
    <w:p w:rsidR="000D14F9" w:rsidRPr="003371B9" w:rsidP="000D14F9">
      <w:pPr>
        <w:jc w:val="right"/>
      </w:pPr>
      <w:r w:rsidR="00CF61A5">
        <w:rPr>
          <w:bCs w:val="0"/>
        </w:rPr>
        <w:t>51</w:t>
      </w:r>
      <w:r w:rsidRPr="003371B9">
        <w:rPr>
          <w:bCs w:val="0"/>
        </w:rPr>
        <w:t xml:space="preserve">. </w:t>
      </w:r>
      <w:r w:rsidRPr="003371B9">
        <w:t>schôdza</w:t>
      </w:r>
    </w:p>
    <w:p w:rsidR="008E4B87" w:rsidP="000D14F9">
      <w:pPr>
        <w:jc w:val="center"/>
        <w:rPr>
          <w:b/>
        </w:rPr>
      </w:pPr>
    </w:p>
    <w:p w:rsidR="00D5059A" w:rsidP="000D14F9">
      <w:pPr>
        <w:jc w:val="center"/>
        <w:rPr>
          <w:b/>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87655D">
      <w:pPr>
        <w:pStyle w:val="Heading1"/>
        <w:ind w:left="360"/>
        <w:jc w:val="center"/>
      </w:pPr>
      <w:r w:rsidR="00117627">
        <w:t>k</w:t>
      </w:r>
      <w:r w:rsidR="00057956">
        <w:t> </w:t>
      </w:r>
      <w:r w:rsidR="00D5059A">
        <w:rPr>
          <w:iCs/>
          <w:color w:val="000000"/>
        </w:rPr>
        <w:t>v</w:t>
      </w:r>
      <w:r w:rsidR="00D5059A">
        <w:rPr>
          <w:bCs w:val="0"/>
        </w:rPr>
        <w:t>ládnemu</w:t>
      </w:r>
      <w:r w:rsidRPr="00D5059A" w:rsidR="00D5059A">
        <w:rPr>
          <w:bCs w:val="0"/>
        </w:rPr>
        <w:t xml:space="preserve"> návrh</w:t>
      </w:r>
      <w:r w:rsidR="00D5059A">
        <w:rPr>
          <w:bCs w:val="0"/>
        </w:rPr>
        <w:t>u</w:t>
      </w:r>
      <w:r w:rsidRPr="00D5059A" w:rsidR="00D5059A">
        <w:rPr>
          <w:bCs w:val="0"/>
        </w:rPr>
        <w:t xml:space="preserve"> zákona, ktorým sa mení a dopĺňa zákon č. 39/2015 Z. z. o poisťovníctve a o zmene a doplnení niektorých zákonov v znení neskorších predpisov a ktorým sa menia a dopĺňajú niektoré zákony (tlač 944)</w:t>
      </w:r>
    </w:p>
    <w:p w:rsidR="000D14F9" w:rsidP="000D14F9">
      <w:pPr>
        <w:rPr>
          <w:b/>
          <w:bCs w:val="0"/>
        </w:rPr>
      </w:pPr>
      <w:r>
        <w:rPr>
          <w:b/>
          <w:bCs w:val="0"/>
        </w:rPr>
        <w:t xml:space="preserve">––––––––––––––––––––––––––––––––––––––––––––––––––––––––––––––––––––––––––––––  </w:t>
      </w:r>
    </w:p>
    <w:p w:rsidR="003C3FB4" w:rsidRPr="00A91487" w:rsidP="003C3FB4">
      <w:pPr>
        <w:numPr>
          <w:ilvl w:val="0"/>
          <w:numId w:val="27"/>
        </w:numPr>
        <w:jc w:val="both"/>
        <w:rPr>
          <w:b/>
        </w:rPr>
      </w:pPr>
      <w:r w:rsidRPr="00A91487">
        <w:rPr>
          <w:b/>
        </w:rPr>
        <w:t xml:space="preserve">K čl. I – nový bod 1 </w:t>
      </w:r>
    </w:p>
    <w:p w:rsidR="003C3FB4" w:rsidP="003C3FB4">
      <w:pPr>
        <w:ind w:firstLine="708"/>
        <w:jc w:val="both"/>
      </w:pPr>
      <w:r>
        <w:t>V čl. I sa pred doterajší bod 1 vkladá nový bod 1, ktorý znie:</w:t>
      </w:r>
    </w:p>
    <w:p w:rsidR="003C3FB4" w:rsidP="003C3FB4">
      <w:pPr>
        <w:ind w:left="708"/>
        <w:jc w:val="both"/>
      </w:pPr>
      <w:r>
        <w:t>„1. V § 70 ods. 3 sa slová „viazaných investičných agentov“ nahrádzajú slovami „finančných sprostredkovateľov z iného členského štátu v oblasti poskytovania úverov na bývanie“.</w:t>
      </w:r>
    </w:p>
    <w:p w:rsidR="003C3FB4" w:rsidP="003C3FB4">
      <w:pPr>
        <w:jc w:val="both"/>
      </w:pPr>
    </w:p>
    <w:p w:rsidR="003C3FB4" w:rsidP="003C3FB4">
      <w:pPr>
        <w:ind w:firstLine="708"/>
        <w:jc w:val="both"/>
      </w:pPr>
      <w:r>
        <w:t>Doterajšie body 1 až 6 sa primerane prečíslujú.</w:t>
      </w:r>
    </w:p>
    <w:p w:rsidR="003C3FB4" w:rsidP="003C3FB4">
      <w:pPr>
        <w:ind w:firstLine="709"/>
        <w:jc w:val="both"/>
      </w:pPr>
    </w:p>
    <w:p w:rsidR="003C3FB4" w:rsidP="003C3FB4">
      <w:pPr>
        <w:ind w:left="3544"/>
        <w:jc w:val="both"/>
      </w:pPr>
      <w:r>
        <w:t>Ide o zosúladenie názvu predmetného registra s názvom podľa § 1 ods. 1 písm. c) zákona č. 186/2009 Z. z. o finančnom sprostredkovaní a finančnom poradenstve a o zmene a doplnení niektorých zákonov.</w:t>
      </w:r>
    </w:p>
    <w:p w:rsidR="003C3FB4" w:rsidP="003C3FB4">
      <w:pPr>
        <w:pStyle w:val="NoSpacing"/>
        <w:jc w:val="both"/>
        <w:rPr>
          <w:rFonts w:ascii="Times New Roman" w:hAnsi="Times New Roman"/>
          <w:sz w:val="24"/>
          <w:szCs w:val="24"/>
        </w:rPr>
      </w:pPr>
    </w:p>
    <w:p w:rsidR="003C3FB4" w:rsidRPr="00A91487" w:rsidP="003C3FB4">
      <w:pPr>
        <w:pStyle w:val="NoSpacing"/>
        <w:numPr>
          <w:ilvl w:val="0"/>
          <w:numId w:val="27"/>
        </w:numPr>
        <w:jc w:val="both"/>
        <w:rPr>
          <w:rFonts w:ascii="Times New Roman" w:hAnsi="Times New Roman"/>
          <w:b/>
          <w:sz w:val="24"/>
          <w:szCs w:val="24"/>
        </w:rPr>
      </w:pPr>
      <w:r w:rsidRPr="00A91487">
        <w:rPr>
          <w:rFonts w:ascii="Times New Roman" w:hAnsi="Times New Roman"/>
          <w:b/>
          <w:sz w:val="24"/>
          <w:szCs w:val="24"/>
        </w:rPr>
        <w:t>K čl. I – doterajší bod 1</w:t>
      </w:r>
    </w:p>
    <w:p w:rsidR="003C3FB4" w:rsidRPr="00A75C51" w:rsidP="003C3FB4">
      <w:pPr>
        <w:pStyle w:val="NoSpacing"/>
        <w:ind w:left="708"/>
        <w:jc w:val="both"/>
        <w:rPr>
          <w:rFonts w:ascii="Times New Roman" w:hAnsi="Times New Roman"/>
          <w:sz w:val="24"/>
          <w:szCs w:val="24"/>
        </w:rPr>
      </w:pPr>
      <w:r w:rsidRPr="00A75C51">
        <w:rPr>
          <w:rFonts w:ascii="Times New Roman" w:hAnsi="Times New Roman"/>
          <w:sz w:val="24"/>
          <w:szCs w:val="24"/>
        </w:rPr>
        <w:t xml:space="preserve">V čl. I doterajšom bode 1 sa vypúšťajú slová „uvedeného v prílohe č. 3“ a na konci sa pripája táto veta: „Vzor informačného formulára o jednotlivých zložkách poistného ustanoví všeobecne záväzný právny predpis, ktorý vydá ministerstvo financií.“. </w:t>
      </w:r>
    </w:p>
    <w:p w:rsidR="003C3FB4" w:rsidRPr="00A75C51" w:rsidP="003C3FB4">
      <w:pPr>
        <w:pStyle w:val="NoSpacing"/>
        <w:jc w:val="both"/>
        <w:rPr>
          <w:rFonts w:ascii="Times New Roman" w:hAnsi="Times New Roman"/>
          <w:sz w:val="24"/>
          <w:szCs w:val="24"/>
        </w:rPr>
      </w:pPr>
    </w:p>
    <w:p w:rsidR="003C3FB4" w:rsidRPr="00A75C51" w:rsidP="003C3FB4">
      <w:pPr>
        <w:ind w:left="3540"/>
        <w:jc w:val="both"/>
      </w:pPr>
      <w:r w:rsidRPr="00A75C51">
        <w:t xml:space="preserve">Vzory informačných formulárov budú ustanovené vyhláškou vydanou Ministerstvom </w:t>
      </w:r>
      <w:r w:rsidRPr="00A75C51">
        <w:t xml:space="preserve">financií SR. </w:t>
      </w:r>
    </w:p>
    <w:p w:rsidR="003C3FB4" w:rsidP="003C3FB4">
      <w:pPr>
        <w:pStyle w:val="NoSpacing"/>
        <w:jc w:val="both"/>
        <w:rPr>
          <w:rFonts w:ascii="Times New Roman" w:hAnsi="Times New Roman"/>
          <w:sz w:val="24"/>
          <w:szCs w:val="24"/>
        </w:rPr>
      </w:pPr>
      <w:r w:rsidRPr="00A75C51">
        <w:rPr>
          <w:rFonts w:ascii="Times New Roman" w:hAnsi="Times New Roman"/>
          <w:sz w:val="24"/>
          <w:szCs w:val="24"/>
        </w:rPr>
        <w:t xml:space="preserve">    </w:t>
      </w:r>
    </w:p>
    <w:p w:rsidR="003C3FB4" w:rsidRPr="00A91487" w:rsidP="003C3FB4">
      <w:pPr>
        <w:pStyle w:val="NoSpacing"/>
        <w:numPr>
          <w:ilvl w:val="0"/>
          <w:numId w:val="27"/>
        </w:numPr>
        <w:jc w:val="both"/>
        <w:rPr>
          <w:rFonts w:ascii="Times New Roman" w:hAnsi="Times New Roman"/>
          <w:b/>
          <w:sz w:val="24"/>
          <w:szCs w:val="24"/>
        </w:rPr>
      </w:pPr>
      <w:r w:rsidRPr="00A91487">
        <w:rPr>
          <w:rFonts w:ascii="Times New Roman" w:hAnsi="Times New Roman"/>
          <w:b/>
          <w:sz w:val="24"/>
          <w:szCs w:val="24"/>
        </w:rPr>
        <w:t>K čl. I – doterajší bod 2</w:t>
      </w:r>
    </w:p>
    <w:p w:rsidR="003C3FB4" w:rsidRPr="00A75C51" w:rsidP="003C3FB4">
      <w:pPr>
        <w:pStyle w:val="NoSpacing"/>
        <w:ind w:left="142"/>
        <w:jc w:val="both"/>
        <w:rPr>
          <w:rFonts w:ascii="Times New Roman" w:hAnsi="Times New Roman"/>
          <w:sz w:val="24"/>
          <w:szCs w:val="24"/>
        </w:rPr>
      </w:pPr>
      <w:r w:rsidRPr="00A75C51">
        <w:rPr>
          <w:rFonts w:ascii="Times New Roman" w:hAnsi="Times New Roman"/>
          <w:sz w:val="24"/>
          <w:szCs w:val="24"/>
        </w:rPr>
        <w:t xml:space="preserve">  </w:t>
      </w:r>
      <w:r>
        <w:rPr>
          <w:rFonts w:ascii="Times New Roman" w:hAnsi="Times New Roman"/>
          <w:sz w:val="24"/>
          <w:szCs w:val="24"/>
        </w:rPr>
        <w:tab/>
      </w:r>
      <w:r w:rsidRPr="00A75C51">
        <w:rPr>
          <w:rFonts w:ascii="Times New Roman" w:hAnsi="Times New Roman"/>
          <w:sz w:val="24"/>
          <w:szCs w:val="24"/>
        </w:rPr>
        <w:t>V čl. I doterajší bod 2 znie:</w:t>
      </w:r>
    </w:p>
    <w:p w:rsidR="003C3FB4" w:rsidRPr="00A75C51" w:rsidP="003C3FB4">
      <w:pPr>
        <w:pStyle w:val="NoSpacing"/>
        <w:ind w:left="142" w:firstLine="566"/>
        <w:jc w:val="both"/>
        <w:rPr>
          <w:rFonts w:ascii="Times New Roman" w:hAnsi="Times New Roman"/>
          <w:sz w:val="24"/>
          <w:szCs w:val="24"/>
        </w:rPr>
      </w:pPr>
      <w:r w:rsidRPr="00A75C51">
        <w:rPr>
          <w:rFonts w:ascii="Times New Roman" w:hAnsi="Times New Roman"/>
          <w:sz w:val="24"/>
          <w:szCs w:val="24"/>
        </w:rPr>
        <w:t>„2. Za 70 sa vkladá § 70a, ktorý vrátane nadpisu znie:</w:t>
      </w:r>
    </w:p>
    <w:p w:rsidR="003C3FB4" w:rsidP="003C3FB4">
      <w:pPr>
        <w:pStyle w:val="NoSpacing"/>
        <w:ind w:left="142"/>
        <w:jc w:val="both"/>
        <w:rPr>
          <w:rFonts w:ascii="Times New Roman" w:hAnsi="Times New Roman"/>
          <w:sz w:val="24"/>
          <w:szCs w:val="24"/>
        </w:rPr>
      </w:pPr>
    </w:p>
    <w:p w:rsidR="003C3FB4" w:rsidP="003C3FB4">
      <w:pPr>
        <w:pStyle w:val="NoSpacing"/>
        <w:ind w:left="142"/>
        <w:jc w:val="center"/>
        <w:rPr>
          <w:rFonts w:ascii="Times New Roman" w:hAnsi="Times New Roman"/>
          <w:sz w:val="24"/>
          <w:szCs w:val="24"/>
        </w:rPr>
      </w:pPr>
      <w:r>
        <w:rPr>
          <w:rFonts w:ascii="Times New Roman" w:hAnsi="Times New Roman"/>
          <w:sz w:val="24"/>
          <w:szCs w:val="24"/>
        </w:rPr>
        <w:t>„§ 70a</w:t>
      </w:r>
    </w:p>
    <w:p w:rsidR="003C3FB4" w:rsidP="003C3FB4">
      <w:pPr>
        <w:pStyle w:val="NoSpacing"/>
        <w:ind w:left="142"/>
        <w:jc w:val="center"/>
        <w:rPr>
          <w:rFonts w:ascii="Times New Roman" w:hAnsi="Times New Roman"/>
          <w:sz w:val="24"/>
          <w:szCs w:val="24"/>
        </w:rPr>
      </w:pPr>
      <w:r>
        <w:rPr>
          <w:rFonts w:ascii="Times New Roman" w:hAnsi="Times New Roman"/>
          <w:sz w:val="24"/>
          <w:szCs w:val="24"/>
        </w:rPr>
        <w:t xml:space="preserve">Pravidlá pre výpočet odkupnej hodnoty </w:t>
      </w:r>
    </w:p>
    <w:p w:rsidR="003C3FB4" w:rsidP="003C3FB4">
      <w:pPr>
        <w:pStyle w:val="NoSpacing"/>
        <w:ind w:left="142"/>
        <w:jc w:val="both"/>
        <w:rPr>
          <w:rFonts w:ascii="Times New Roman" w:hAnsi="Times New Roman"/>
          <w:sz w:val="24"/>
          <w:szCs w:val="24"/>
        </w:rPr>
      </w:pPr>
    </w:p>
    <w:p w:rsidR="003C3FB4" w:rsidP="00A91487">
      <w:pPr>
        <w:pStyle w:val="NoSpacing"/>
        <w:ind w:left="708" w:firstLine="4"/>
        <w:jc w:val="both"/>
        <w:rPr>
          <w:rFonts w:ascii="Times New Roman" w:hAnsi="Times New Roman"/>
          <w:sz w:val="24"/>
          <w:szCs w:val="24"/>
        </w:rPr>
      </w:pPr>
      <w:r>
        <w:rPr>
          <w:rFonts w:ascii="Times New Roman" w:hAnsi="Times New Roman"/>
          <w:sz w:val="24"/>
          <w:szCs w:val="24"/>
        </w:rPr>
        <w:t>(1) Ak ide o poistenie spojené s investičnými fondmi uvedené v prílohe č. 1 časti B treťom bode, poisťovňa, poisťovňa z iného členského štátu a pobočka zahraničnej poisťovne je povinná investovať do aktív, ktoré budú slúžiť na krytie technických rezerv z investovania finančných prostriedkov v mene poistených vyplývajúcich z tohto poistenia, finančné prostriedky vo výške, ktorá je rovná alebo väčšia, ako</w:t>
      </w:r>
    </w:p>
    <w:p w:rsidR="003C3FB4" w:rsidRPr="00A75C51" w:rsidP="00A91487">
      <w:pPr>
        <w:pStyle w:val="NoSpacing"/>
        <w:ind w:left="142" w:firstLine="566"/>
        <w:jc w:val="both"/>
        <w:rPr>
          <w:rFonts w:ascii="Times New Roman" w:hAnsi="Times New Roman"/>
          <w:sz w:val="24"/>
          <w:szCs w:val="24"/>
        </w:rPr>
      </w:pPr>
      <w:r w:rsidRPr="00A75C51">
        <w:rPr>
          <w:rFonts w:ascii="Times New Roman" w:hAnsi="Times New Roman"/>
          <w:sz w:val="24"/>
          <w:szCs w:val="24"/>
        </w:rPr>
        <w:t>a) 50 % zo zaplateného poistného v prvom roku trvania poistnej zmluvy,</w:t>
      </w:r>
    </w:p>
    <w:p w:rsidR="003C3FB4" w:rsidRPr="00A75C51" w:rsidP="00A91487">
      <w:pPr>
        <w:pStyle w:val="NoSpacing"/>
        <w:ind w:left="142" w:firstLine="566"/>
        <w:jc w:val="both"/>
        <w:rPr>
          <w:rFonts w:ascii="Times New Roman" w:hAnsi="Times New Roman"/>
          <w:sz w:val="24"/>
          <w:szCs w:val="24"/>
        </w:rPr>
      </w:pPr>
      <w:r w:rsidRPr="00A75C51">
        <w:rPr>
          <w:rFonts w:ascii="Times New Roman" w:hAnsi="Times New Roman"/>
          <w:sz w:val="24"/>
          <w:szCs w:val="24"/>
        </w:rPr>
        <w:t>b) 60 % zo zaplateného poistného v druhom  roku trvania poistnej zmluvy,</w:t>
      </w:r>
    </w:p>
    <w:p w:rsidR="003C3FB4" w:rsidRPr="00A75C51" w:rsidP="00A91487">
      <w:pPr>
        <w:pStyle w:val="NoSpacing"/>
        <w:ind w:left="142" w:firstLine="566"/>
        <w:jc w:val="both"/>
        <w:rPr>
          <w:rFonts w:ascii="Times New Roman" w:hAnsi="Times New Roman"/>
          <w:sz w:val="24"/>
          <w:szCs w:val="24"/>
        </w:rPr>
      </w:pPr>
      <w:r w:rsidRPr="00A75C51">
        <w:rPr>
          <w:rFonts w:ascii="Times New Roman" w:hAnsi="Times New Roman"/>
          <w:sz w:val="24"/>
          <w:szCs w:val="24"/>
        </w:rPr>
        <w:t>c) 70 % zo zaplateného poistného v</w:t>
      </w:r>
      <w:r>
        <w:rPr>
          <w:rFonts w:ascii="Times New Roman" w:hAnsi="Times New Roman"/>
          <w:sz w:val="24"/>
          <w:szCs w:val="24"/>
        </w:rPr>
        <w:t> </w:t>
      </w:r>
      <w:r w:rsidRPr="00A75C51">
        <w:rPr>
          <w:rFonts w:ascii="Times New Roman" w:hAnsi="Times New Roman"/>
          <w:sz w:val="24"/>
          <w:szCs w:val="24"/>
        </w:rPr>
        <w:t>treťom</w:t>
      </w:r>
      <w:r>
        <w:rPr>
          <w:rFonts w:ascii="Times New Roman" w:hAnsi="Times New Roman"/>
          <w:sz w:val="24"/>
          <w:szCs w:val="24"/>
        </w:rPr>
        <w:t xml:space="preserve"> roku</w:t>
      </w:r>
      <w:r w:rsidRPr="00A75C51">
        <w:rPr>
          <w:rFonts w:ascii="Times New Roman" w:hAnsi="Times New Roman"/>
          <w:sz w:val="24"/>
          <w:szCs w:val="24"/>
        </w:rPr>
        <w:t xml:space="preserve"> trvania poistnej zmluvy.</w:t>
      </w:r>
    </w:p>
    <w:p w:rsidR="003C3FB4" w:rsidRPr="00A75C51" w:rsidP="00A91487">
      <w:pPr>
        <w:pStyle w:val="NoSpacing"/>
        <w:ind w:left="708"/>
        <w:jc w:val="both"/>
        <w:rPr>
          <w:rFonts w:ascii="Times New Roman" w:hAnsi="Times New Roman"/>
          <w:sz w:val="24"/>
          <w:szCs w:val="24"/>
        </w:rPr>
      </w:pPr>
      <w:r w:rsidRPr="00A75C51">
        <w:rPr>
          <w:rFonts w:ascii="Times New Roman" w:hAnsi="Times New Roman"/>
          <w:sz w:val="24"/>
          <w:szCs w:val="24"/>
        </w:rPr>
        <w:t>(2) Ak ide o poistenie podľa odseku 1 a poistník ukončí poistnú zmluvu pred uplynutím poistnej doby, poisťovňa, poisťovňa z iného členského štátu a pobočka zahraničnej poisťovne vyplatí poistníkovi počas prvých troch rokov trvania poistnej zmluvy odkupnú hodnotu minimálne vo výške aktuálnej hodnoty aktív, do ktorých poisťovňa, poisťovňa z iného členského štátu a pobočka zahraničnej poisťovne investovala podľa odseku 1, ku dňu ukončenia poistnej zmluvy, zníženej o poistné na krytie rizika dožitia alebo úmrtia počas trvania poistnej zmluvy a zníženej o plnenia, ktoré boli z tohto poistenia už v minulosti poskytnuté.</w:t>
      </w:r>
      <w:r>
        <w:rPr>
          <w:rFonts w:ascii="Times New Roman" w:hAnsi="Times New Roman"/>
          <w:sz w:val="24"/>
          <w:szCs w:val="24"/>
        </w:rPr>
        <w:t xml:space="preserve"> </w:t>
      </w:r>
      <w:r w:rsidRPr="00113715">
        <w:rPr>
          <w:rFonts w:ascii="Times New Roman" w:hAnsi="Times New Roman"/>
          <w:sz w:val="24"/>
          <w:szCs w:val="24"/>
        </w:rPr>
        <w:t xml:space="preserve">Výška odkupnej hodnoty musí byť v ďalších rokoch </w:t>
      </w:r>
      <w:r>
        <w:rPr>
          <w:rFonts w:ascii="Times New Roman" w:hAnsi="Times New Roman"/>
          <w:sz w:val="24"/>
          <w:szCs w:val="24"/>
        </w:rPr>
        <w:t xml:space="preserve">trvania poistenia </w:t>
      </w:r>
      <w:r w:rsidRPr="00113715">
        <w:rPr>
          <w:rFonts w:ascii="Times New Roman" w:hAnsi="Times New Roman"/>
          <w:sz w:val="24"/>
          <w:szCs w:val="24"/>
        </w:rPr>
        <w:t>vždy kladná</w:t>
      </w:r>
      <w:r w:rsidRPr="00A75C51">
        <w:rPr>
          <w:rFonts w:ascii="Times New Roman" w:hAnsi="Times New Roman"/>
          <w:sz w:val="24"/>
          <w:szCs w:val="24"/>
        </w:rPr>
        <w:t>.</w:t>
      </w:r>
    </w:p>
    <w:p w:rsidR="003C3FB4" w:rsidRPr="00A75C51" w:rsidP="00A91487">
      <w:pPr>
        <w:ind w:left="708"/>
        <w:jc w:val="both"/>
      </w:pPr>
      <w:r w:rsidRPr="00A75C51">
        <w:t xml:space="preserve">(3) Ak ide o poistenie, iné ako uvedené v odseku 1, pri ktorom vzniká právo na odkupnú hodnotu a poistník ukončí poistnú zmluvu pred uplynutím poistnej doby, poisťovňa, poisťovňa z iného členského štátu a pobočka zahraničnej poisťovne vyplatí poistníkovi počas prvých troch rokov trvania poistnej zmluvy odkupnú hodnotu minimálne vo výške súčtu </w:t>
      </w:r>
    </w:p>
    <w:p w:rsidR="003C3FB4" w:rsidRPr="00A75C51" w:rsidP="00A91487">
      <w:pPr>
        <w:ind w:left="708"/>
        <w:jc w:val="both"/>
      </w:pPr>
      <w:r w:rsidRPr="00A75C51">
        <w:t xml:space="preserve">a) 50 % zaplateného poistného v prvom roku trvania poistnej zmluvy zníženého o poistné na krytie rizika, </w:t>
      </w:r>
    </w:p>
    <w:p w:rsidR="003C3FB4" w:rsidRPr="00A75C51" w:rsidP="00A91487">
      <w:pPr>
        <w:ind w:left="708"/>
        <w:jc w:val="both"/>
      </w:pPr>
      <w:r w:rsidRPr="00A75C51">
        <w:t>b) 60 % zaplateného poistného v druhom roku trvania poistnej zmluvy zníženého o poistné na</w:t>
      </w:r>
      <w:r w:rsidRPr="00A75C51">
        <w:t xml:space="preserve"> krytie rizika, </w:t>
      </w:r>
    </w:p>
    <w:p w:rsidR="003C3FB4" w:rsidRPr="00A75C51" w:rsidP="00A91487">
      <w:pPr>
        <w:ind w:left="708"/>
        <w:jc w:val="both"/>
      </w:pPr>
      <w:r w:rsidRPr="00A75C51">
        <w:t xml:space="preserve">c) 70 % zaplateného poistného v treťom roku trvania poistnej zmluvy zníženého o poistné na krytie rizika. </w:t>
      </w:r>
    </w:p>
    <w:p w:rsidR="003C3FB4" w:rsidRPr="00A75C51" w:rsidP="00A91487">
      <w:pPr>
        <w:ind w:left="708"/>
        <w:jc w:val="both"/>
      </w:pPr>
      <w:r>
        <w:t xml:space="preserve">(4) </w:t>
      </w:r>
      <w:r w:rsidRPr="007A222C">
        <w:t xml:space="preserve">Výška odkupnej </w:t>
      </w:r>
      <w:r w:rsidRPr="00A75C51">
        <w:t>hodnoty musí byť v ďalších rokoch trvania poistenia podľa odseku 3 vždy kladná.“.“.</w:t>
      </w:r>
    </w:p>
    <w:p w:rsidR="003C3FB4" w:rsidRPr="0042797E" w:rsidP="003C3FB4">
      <w:pPr>
        <w:pStyle w:val="NoSpacing"/>
        <w:ind w:firstLine="142"/>
        <w:jc w:val="both"/>
        <w:rPr>
          <w:rFonts w:ascii="Times New Roman" w:hAnsi="Times New Roman"/>
          <w:sz w:val="24"/>
          <w:szCs w:val="24"/>
          <w:u w:val="single"/>
        </w:rPr>
      </w:pPr>
      <w:r w:rsidRPr="0042797E">
        <w:rPr>
          <w:rFonts w:ascii="Times New Roman" w:hAnsi="Times New Roman"/>
          <w:sz w:val="24"/>
          <w:szCs w:val="24"/>
        </w:rPr>
        <w:tab/>
        <w:tab/>
        <w:tab/>
        <w:tab/>
        <w:tab/>
      </w:r>
    </w:p>
    <w:p w:rsidR="003C3FB4" w:rsidP="003C3FB4">
      <w:pPr>
        <w:pStyle w:val="NoSpacing"/>
        <w:ind w:left="3544"/>
        <w:jc w:val="both"/>
        <w:rPr>
          <w:rFonts w:ascii="Times New Roman" w:hAnsi="Times New Roman"/>
          <w:sz w:val="24"/>
          <w:szCs w:val="24"/>
        </w:rPr>
      </w:pPr>
      <w:r>
        <w:rPr>
          <w:rFonts w:ascii="Times New Roman" w:hAnsi="Times New Roman"/>
          <w:sz w:val="24"/>
          <w:szCs w:val="24"/>
        </w:rPr>
        <w:t>Návrhom sa znižuje výšk</w:t>
      </w:r>
      <w:r>
        <w:rPr>
          <w:rFonts w:ascii="Times New Roman" w:hAnsi="Times New Roman"/>
          <w:sz w:val="24"/>
          <w:szCs w:val="24"/>
        </w:rPr>
        <w:t>a limitov na investovanie a stanovenie odkupnej hodnoty v prvých troch rokoch trvania zmluvy.</w:t>
      </w:r>
      <w:r w:rsidRPr="007828D9">
        <w:rPr>
          <w:rFonts w:ascii="Times New Roman" w:hAnsi="Times New Roman"/>
          <w:sz w:val="24"/>
          <w:szCs w:val="24"/>
        </w:rPr>
        <w:t xml:space="preserve"> </w:t>
      </w:r>
      <w:r>
        <w:rPr>
          <w:rFonts w:ascii="Times New Roman" w:hAnsi="Times New Roman"/>
          <w:sz w:val="24"/>
          <w:szCs w:val="24"/>
        </w:rPr>
        <w:t xml:space="preserve">Taktiež sa skracuje lehota počas ktorej sa uplatňujú stanovené limity. Zároveň sa pojmologicky spresňuje znenie návrhu zákona. </w:t>
      </w:r>
    </w:p>
    <w:p w:rsidR="003C3FB4" w:rsidP="003C3FB4">
      <w:pPr>
        <w:pStyle w:val="NoSpacing"/>
        <w:ind w:firstLine="142"/>
        <w:jc w:val="both"/>
        <w:rPr>
          <w:rFonts w:ascii="Times New Roman" w:hAnsi="Times New Roman"/>
          <w:sz w:val="24"/>
          <w:szCs w:val="24"/>
        </w:rPr>
      </w:pPr>
    </w:p>
    <w:p w:rsidR="003E6EFD" w:rsidRPr="00A91487" w:rsidP="003E6EFD">
      <w:pPr>
        <w:pStyle w:val="NoSpacing"/>
        <w:numPr>
          <w:ilvl w:val="0"/>
          <w:numId w:val="27"/>
        </w:numPr>
        <w:jc w:val="both"/>
        <w:rPr>
          <w:rFonts w:ascii="Times New Roman" w:hAnsi="Times New Roman"/>
          <w:b/>
          <w:sz w:val="24"/>
          <w:szCs w:val="24"/>
        </w:rPr>
      </w:pPr>
      <w:r w:rsidRPr="00A91487">
        <w:rPr>
          <w:rFonts w:ascii="Times New Roman" w:hAnsi="Times New Roman"/>
          <w:b/>
          <w:sz w:val="24"/>
          <w:szCs w:val="24"/>
        </w:rPr>
        <w:t>K čl. I – doterajší bod 6</w:t>
      </w:r>
    </w:p>
    <w:p w:rsidR="003E6EFD" w:rsidRPr="00612751" w:rsidP="003E6EFD">
      <w:pPr>
        <w:pStyle w:val="NoSpacing"/>
        <w:jc w:val="both"/>
        <w:rPr>
          <w:rFonts w:ascii="Times New Roman" w:hAnsi="Times New Roman"/>
          <w:sz w:val="24"/>
          <w:szCs w:val="24"/>
        </w:rPr>
      </w:pPr>
      <w:r w:rsidRPr="00612751">
        <w:rPr>
          <w:rFonts w:ascii="Times New Roman" w:hAnsi="Times New Roman"/>
          <w:sz w:val="24"/>
          <w:szCs w:val="24"/>
        </w:rPr>
        <w:t xml:space="preserve">    </w:t>
      </w:r>
      <w:r>
        <w:rPr>
          <w:rFonts w:ascii="Times New Roman" w:hAnsi="Times New Roman"/>
          <w:sz w:val="24"/>
          <w:szCs w:val="24"/>
        </w:rPr>
        <w:tab/>
      </w:r>
      <w:r w:rsidRPr="00612751">
        <w:rPr>
          <w:rFonts w:ascii="Times New Roman" w:hAnsi="Times New Roman"/>
          <w:sz w:val="24"/>
          <w:szCs w:val="24"/>
        </w:rPr>
        <w:t xml:space="preserve">V čl. I doterajší bod 6 sa vypúšťa. </w:t>
      </w:r>
    </w:p>
    <w:p w:rsidR="003E6EFD" w:rsidRPr="00612751" w:rsidP="003E6EFD">
      <w:pPr>
        <w:pStyle w:val="NoSpacing"/>
        <w:ind w:firstLine="142"/>
        <w:jc w:val="both"/>
        <w:rPr>
          <w:rFonts w:ascii="Times New Roman" w:hAnsi="Times New Roman"/>
          <w:sz w:val="24"/>
          <w:szCs w:val="24"/>
        </w:rPr>
      </w:pPr>
    </w:p>
    <w:p w:rsidR="003E6EFD" w:rsidRPr="00612751" w:rsidP="003E6EFD">
      <w:pPr>
        <w:ind w:left="3540"/>
        <w:jc w:val="both"/>
      </w:pPr>
      <w:r w:rsidRPr="00612751">
        <w:t xml:space="preserve">Vzory informačných formulárov budú ustanovené vyhláškou vydanou Ministerstvom financií SR. </w:t>
      </w:r>
    </w:p>
    <w:p w:rsidR="003E6EFD" w:rsidP="003C3FB4">
      <w:pPr>
        <w:pStyle w:val="NoSpacing"/>
        <w:ind w:firstLine="142"/>
        <w:jc w:val="both"/>
        <w:rPr>
          <w:rFonts w:ascii="Times New Roman" w:hAnsi="Times New Roman"/>
          <w:sz w:val="24"/>
          <w:szCs w:val="24"/>
        </w:rPr>
      </w:pPr>
    </w:p>
    <w:p w:rsidR="00A91487" w:rsidRPr="00A91487" w:rsidP="00A91487">
      <w:pPr>
        <w:numPr>
          <w:ilvl w:val="0"/>
          <w:numId w:val="27"/>
        </w:numPr>
        <w:jc w:val="both"/>
        <w:rPr>
          <w:b/>
        </w:rPr>
      </w:pPr>
      <w:r w:rsidRPr="00A91487">
        <w:rPr>
          <w:b/>
        </w:rPr>
        <w:t>K čl. III bod 8</w:t>
      </w:r>
    </w:p>
    <w:p w:rsidR="003C3FB4" w:rsidRPr="00B25233" w:rsidP="00A91487">
      <w:pPr>
        <w:ind w:left="720"/>
        <w:jc w:val="both"/>
      </w:pPr>
      <w:r w:rsidRPr="00B25233">
        <w:t>V čl. III  v  8. bode  § 22 ods. 7 sa za slová „tretej vete“ vkladajú slová „a  štvrtej vete“.</w:t>
      </w:r>
    </w:p>
    <w:p w:rsidR="003E6EFD" w:rsidP="003C3FB4">
      <w:pPr>
        <w:ind w:left="3540"/>
        <w:jc w:val="both"/>
      </w:pPr>
    </w:p>
    <w:p w:rsidR="003C3FB4" w:rsidRPr="00B25233" w:rsidP="003C3FB4">
      <w:pPr>
        <w:ind w:left="3540"/>
        <w:jc w:val="both"/>
      </w:pPr>
      <w:r w:rsidRPr="00B25233">
        <w:t xml:space="preserve">Ide o precizovanie navrhovaného znenia  § 22 ods. 7, ktorý určuje náležitosti zoznamu  osôb, ktoré absolvovali osobitné finančné vzdelávanie.                     </w:t>
      </w:r>
    </w:p>
    <w:p w:rsidR="003C3FB4" w:rsidP="003C3FB4">
      <w:pPr>
        <w:pStyle w:val="NoSpacing"/>
        <w:ind w:firstLine="142"/>
        <w:jc w:val="both"/>
        <w:rPr>
          <w:rFonts w:ascii="Times New Roman" w:hAnsi="Times New Roman"/>
          <w:sz w:val="24"/>
          <w:szCs w:val="24"/>
        </w:rPr>
      </w:pPr>
    </w:p>
    <w:p w:rsidR="003C3FB4" w:rsidRPr="00A91487" w:rsidP="003C3FB4">
      <w:pPr>
        <w:numPr>
          <w:ilvl w:val="0"/>
          <w:numId w:val="27"/>
        </w:numPr>
        <w:rPr>
          <w:b/>
        </w:rPr>
      </w:pPr>
      <w:r w:rsidRPr="00A91487">
        <w:rPr>
          <w:b/>
        </w:rPr>
        <w:t>K čl. III – doterajší bod 21</w:t>
      </w:r>
    </w:p>
    <w:p w:rsidR="003C3FB4" w:rsidRPr="00612751" w:rsidP="003C3FB4">
      <w:pPr>
        <w:ind w:firstLine="708"/>
      </w:pPr>
      <w:r w:rsidRPr="00612751">
        <w:t>V čl. III doterajšom bode 21 poznámka pod čiarou k odkazu 41la znie:</w:t>
      </w:r>
    </w:p>
    <w:p w:rsidR="003C3FB4" w:rsidRPr="00612751" w:rsidP="003C3FB4">
      <w:pPr>
        <w:ind w:left="708"/>
      </w:pPr>
      <w:r w:rsidRPr="00612751">
        <w:t>„</w:t>
      </w:r>
      <w:r w:rsidRPr="00612751">
        <w:rPr>
          <w:vertAlign w:val="superscript"/>
        </w:rPr>
        <w:t>41la</w:t>
      </w:r>
      <w:r w:rsidRPr="00612751">
        <w:t xml:space="preserve">) § 70 ods. 14 zákona č. 39/2015 Z. z. v znení zákona č. .../... Z. z.“. </w:t>
      </w:r>
    </w:p>
    <w:p w:rsidR="003C3FB4" w:rsidRPr="00612751" w:rsidP="003C3FB4"/>
    <w:p w:rsidR="003C3FB4" w:rsidRPr="009810F7" w:rsidP="003C3FB4">
      <w:pPr>
        <w:ind w:left="3540"/>
        <w:jc w:val="both"/>
        <w:rPr>
          <w:color w:val="FF0000"/>
        </w:rPr>
      </w:pPr>
      <w:r w:rsidRPr="00612751">
        <w:t xml:space="preserve">Vzory informačných formulárov budú ustanovené vyhláškou vydanou Ministerstvom financií SR. </w:t>
      </w:r>
    </w:p>
    <w:p w:rsidR="003C3FB4" w:rsidRPr="00612751" w:rsidP="003C3FB4">
      <w:pPr>
        <w:ind w:left="3540"/>
        <w:jc w:val="both"/>
      </w:pPr>
    </w:p>
    <w:p w:rsidR="003C3FB4" w:rsidRPr="00A91487" w:rsidP="003C3FB4">
      <w:pPr>
        <w:numPr>
          <w:ilvl w:val="0"/>
          <w:numId w:val="27"/>
        </w:numPr>
        <w:rPr>
          <w:b/>
        </w:rPr>
      </w:pPr>
      <w:r w:rsidRPr="00A91487">
        <w:rPr>
          <w:b/>
        </w:rPr>
        <w:t>K čl. III – nový bod 23</w:t>
      </w:r>
    </w:p>
    <w:p w:rsidR="003C3FB4" w:rsidP="003C3FB4">
      <w:r>
        <w:t xml:space="preserve">   </w:t>
        <w:tab/>
        <w:t xml:space="preserve"> Čl. III sa dopĺňa novým bodom 23, ktorý znie:</w:t>
      </w:r>
    </w:p>
    <w:p w:rsidR="003C3FB4" w:rsidRPr="00C26E52" w:rsidP="003C3FB4">
      <w:pPr>
        <w:ind w:left="708"/>
        <w:jc w:val="both"/>
      </w:pPr>
      <w:r>
        <w:t>„23. V § 42c ods.1 sa na konci pripájajú tieto slová: „s výnimkou požiadavky pre odbornú prax pre vyšší stupeň odbornej spôsobilosti, ktorú sú povinné splniť najneskôr do 23. februára 2021 a požiadavky pre odbornú prax pre najvyšší stupeň odbornej spôsobilosti, ktorú sú povinné splniť najneskôr do 23. februára 2025“.“.</w:t>
      </w:r>
    </w:p>
    <w:p w:rsidR="003C3FB4" w:rsidP="003C3FB4"/>
    <w:p w:rsidR="003C3FB4" w:rsidP="003E6EFD">
      <w:pPr>
        <w:ind w:left="3540"/>
        <w:jc w:val="both"/>
      </w:pPr>
      <w:r>
        <w:t xml:space="preserve">S cieľom umožniť pokračovanie vo výkone činnosti sa osobám, ktoré spĺňali požiadavku na odbornú prax podľa doterajších predpisov, predlžuje lehota na zosúladenie s novými požiadavkami na odbornú prax. </w:t>
      </w:r>
    </w:p>
    <w:p w:rsidR="003C3FB4" w:rsidRPr="009810F7" w:rsidP="003C3FB4">
      <w:pPr>
        <w:ind w:left="3540"/>
        <w:jc w:val="both"/>
        <w:rPr>
          <w:color w:val="FF0000"/>
        </w:rPr>
      </w:pPr>
    </w:p>
    <w:p w:rsidR="003C3FB4" w:rsidRPr="00A91487" w:rsidP="003C3FB4">
      <w:pPr>
        <w:numPr>
          <w:ilvl w:val="0"/>
          <w:numId w:val="27"/>
        </w:numPr>
        <w:jc w:val="both"/>
        <w:rPr>
          <w:b/>
        </w:rPr>
      </w:pPr>
      <w:r w:rsidRPr="00A91487">
        <w:rPr>
          <w:b/>
        </w:rPr>
        <w:t>K čl. IV – k doterajšiemu bodu 1</w:t>
      </w:r>
    </w:p>
    <w:p w:rsidR="003C3FB4" w:rsidP="003C3FB4">
      <w:r>
        <w:t xml:space="preserve">    </w:t>
        <w:tab/>
        <w:t xml:space="preserve">V čl. </w:t>
      </w:r>
      <w:r w:rsidRPr="005D4B74">
        <w:t>I</w:t>
      </w:r>
      <w:r>
        <w:t>V doterajšom bode 1 sa číslo „18“ nahrádza číslom „16“.</w:t>
      </w:r>
    </w:p>
    <w:p w:rsidR="003C3FB4" w:rsidP="003C3FB4">
      <w:pPr>
        <w:jc w:val="both"/>
      </w:pPr>
    </w:p>
    <w:p w:rsidR="003C3FB4" w:rsidP="003C3FB4">
      <w:pPr>
        <w:ind w:left="3540"/>
        <w:jc w:val="both"/>
      </w:pPr>
      <w:r>
        <w:t xml:space="preserve">Legislatívno-technická zmena v súvislosti s navrhovaným novým znením doterajšieho bodu 3, čiže v súvislosti s vypustením odsekov 11 a 12 v § 4 v doterajšom bode 3. </w:t>
      </w:r>
    </w:p>
    <w:p w:rsidR="003C3FB4" w:rsidP="003C3FB4">
      <w:pPr>
        <w:jc w:val="both"/>
      </w:pPr>
    </w:p>
    <w:p w:rsidR="003C3FB4" w:rsidRPr="00A91487" w:rsidP="003C3FB4">
      <w:pPr>
        <w:numPr>
          <w:ilvl w:val="0"/>
          <w:numId w:val="27"/>
        </w:numPr>
        <w:jc w:val="both"/>
        <w:rPr>
          <w:b/>
        </w:rPr>
      </w:pPr>
      <w:r w:rsidRPr="00A91487">
        <w:rPr>
          <w:b/>
        </w:rPr>
        <w:t>K čl. IV – nové znenie doterajšieho bodu 3</w:t>
      </w:r>
    </w:p>
    <w:p w:rsidR="003C3FB4" w:rsidP="003C3FB4">
      <w:pPr>
        <w:ind w:firstLine="708"/>
        <w:jc w:val="both"/>
      </w:pPr>
      <w:r>
        <w:t>Doterajší bod 3 znie:</w:t>
      </w:r>
    </w:p>
    <w:p w:rsidR="003C3FB4" w:rsidP="003C3FB4">
      <w:pPr>
        <w:ind w:firstLine="708"/>
        <w:jc w:val="both"/>
      </w:pPr>
      <w:r>
        <w:t>„</w:t>
      </w:r>
      <w:r w:rsidR="008013CD">
        <w:t xml:space="preserve">3. </w:t>
      </w:r>
      <w:r>
        <w:t>V § 4 sa za odsek 8 vkladajú nové odseky 9 a 10, ktoré znejú:</w:t>
      </w:r>
    </w:p>
    <w:p w:rsidR="003C3FB4" w:rsidP="003C3FB4">
      <w:pPr>
        <w:ind w:left="708"/>
        <w:jc w:val="both"/>
      </w:pPr>
      <w:r>
        <w:t>„(9) Pri sprostredkovaní spotrebiteľského úveru nad 10 000 eur veriteľ vypláca odmenu finančnému agentovi najviac vo výške 1,5 % zo sumy poskytnutého spotrebiteľského úveru.</w:t>
      </w:r>
    </w:p>
    <w:p w:rsidR="003C3FB4" w:rsidP="003C3FB4">
      <w:pPr>
        <w:jc w:val="both"/>
      </w:pPr>
    </w:p>
    <w:p w:rsidR="003C3FB4" w:rsidP="003C3FB4">
      <w:pPr>
        <w:ind w:left="708"/>
        <w:jc w:val="both"/>
      </w:pPr>
      <w:r>
        <w:t>(10) Odmenou finančného agenta sa rozumie súčet akýchkoľvek provízií, poplatkov alebo iných druhov platieb vrátane ekonomickej výhody akéhokoľvek druhu alebo akákoľvek iná peňažná výhoda alebo nepeňažná výhoda či stimul, ktoré sa ponúkajú alebo dávajú finančnému agentovi v súvislosti so sprostredkovaním spotrebiteľského úveru.“.</w:t>
      </w:r>
    </w:p>
    <w:p w:rsidR="003C3FB4" w:rsidP="003C3FB4">
      <w:pPr>
        <w:ind w:left="709" w:firstLine="284"/>
        <w:jc w:val="both"/>
      </w:pPr>
    </w:p>
    <w:p w:rsidR="003C3FB4" w:rsidP="003C3FB4">
      <w:pPr>
        <w:ind w:firstLine="708"/>
        <w:jc w:val="both"/>
      </w:pPr>
      <w:r>
        <w:t>Doterajšie odseky 9 až 15 sa označujú ako odseky 11 až 17.“.</w:t>
      </w:r>
    </w:p>
    <w:p w:rsidR="003C3FB4" w:rsidP="003C3FB4">
      <w:pPr>
        <w:ind w:left="720"/>
        <w:jc w:val="both"/>
      </w:pPr>
    </w:p>
    <w:p w:rsidR="003C3FB4" w:rsidP="003C3FB4">
      <w:pPr>
        <w:ind w:left="3540"/>
        <w:jc w:val="both"/>
      </w:pPr>
      <w:r>
        <w:t xml:space="preserve">Navrhuje sa nové znenie doterajšieho bodu 3, pričom zmena oproti pôvodnému zneniu spočíva vo vypustení odsekov 11 a 12 z navrhovaného § 4 v doterajšom bode 3, ktoré upravujú mechanizmus postupného vyplácania odmeny pre finančného agenta v súvislosti so sprostredkovaním spotrebiteľského úveru, ako aj podmienku, že v prípade predčasného splatenia spotrebiteľského úveru takýto sprostredkovateľ stráca nárok na ďalšie vyplatenie odmeny. </w:t>
      </w:r>
      <w:r w:rsidRPr="0074401C">
        <w:t xml:space="preserve">Keďže výška jednotlivých spotrebiteľských úverov a tým pádom aj odmien za ich sprostredkovanie je nižšia ako napr. pri úveroch na bývanie, postupné vyplácanie odmeny, resp. jej krátenie </w:t>
      </w:r>
      <w:r>
        <w:t xml:space="preserve">pri predčasnom splatení spotrebiteľského úveru </w:t>
      </w:r>
      <w:r w:rsidRPr="0074401C">
        <w:t>nie je potrebné</w:t>
      </w:r>
      <w:r>
        <w:t>.</w:t>
      </w:r>
    </w:p>
    <w:p w:rsidR="003C3FB4" w:rsidRPr="008242E5" w:rsidP="003C3FB4">
      <w:pPr>
        <w:ind w:left="4245"/>
        <w:jc w:val="both"/>
        <w:rPr>
          <w:u w:val="single"/>
        </w:rPr>
      </w:pPr>
    </w:p>
    <w:p w:rsidR="003C3FB4" w:rsidRPr="00A91487" w:rsidP="003C3FB4">
      <w:pPr>
        <w:pStyle w:val="NoSpacing"/>
        <w:numPr>
          <w:ilvl w:val="0"/>
          <w:numId w:val="27"/>
        </w:numPr>
        <w:jc w:val="both"/>
        <w:rPr>
          <w:rFonts w:ascii="Times New Roman" w:hAnsi="Times New Roman"/>
          <w:b/>
          <w:sz w:val="24"/>
          <w:szCs w:val="24"/>
        </w:rPr>
      </w:pPr>
      <w:r w:rsidRPr="00A91487">
        <w:rPr>
          <w:rFonts w:ascii="Times New Roman" w:hAnsi="Times New Roman"/>
          <w:b/>
          <w:sz w:val="24"/>
          <w:szCs w:val="24"/>
        </w:rPr>
        <w:t>K čl. IV – doterajší bod 4</w:t>
      </w:r>
    </w:p>
    <w:p w:rsidR="003C3FB4" w:rsidRPr="008242E5" w:rsidP="003C3FB4">
      <w:pPr>
        <w:pStyle w:val="NoSpacing"/>
        <w:ind w:left="708"/>
        <w:jc w:val="both"/>
        <w:rPr>
          <w:rFonts w:ascii="Times New Roman" w:hAnsi="Times New Roman"/>
          <w:sz w:val="24"/>
          <w:szCs w:val="24"/>
        </w:rPr>
      </w:pPr>
      <w:r w:rsidRPr="008242E5">
        <w:rPr>
          <w:rFonts w:ascii="Times New Roman" w:hAnsi="Times New Roman"/>
          <w:sz w:val="24"/>
          <w:szCs w:val="24"/>
        </w:rPr>
        <w:t xml:space="preserve">V čl. IV doterajšom bode 4 sa vypúšťajú slová „uvedeného v prílohe č. 5“ a na konci sa pripája táto veta: „Vzor formulára s informáciami k sprostredkovaniu spotrebiteľského úveru ustanoví všeobecne záväzný právny predpis, ktorý vydá ministerstvo.“. </w:t>
      </w:r>
    </w:p>
    <w:p w:rsidR="003C3FB4" w:rsidRPr="008242E5" w:rsidP="003C3FB4">
      <w:pPr>
        <w:pStyle w:val="NoSpacing"/>
        <w:jc w:val="both"/>
        <w:rPr>
          <w:rFonts w:ascii="Times New Roman" w:hAnsi="Times New Roman"/>
          <w:sz w:val="24"/>
          <w:szCs w:val="24"/>
        </w:rPr>
      </w:pPr>
    </w:p>
    <w:p w:rsidR="003C3FB4" w:rsidP="003C3FB4">
      <w:pPr>
        <w:ind w:left="3540"/>
        <w:jc w:val="both"/>
      </w:pPr>
      <w:r w:rsidRPr="008242E5">
        <w:t xml:space="preserve">Vzor formulára s informáciami k sprostredkovaniu spotrebiteľského úveru bude ustanovený vyhláškou vydanou Ministerstvom financií SR. </w:t>
      </w:r>
    </w:p>
    <w:p w:rsidR="003C3FB4" w:rsidRPr="008242E5" w:rsidP="003C3FB4">
      <w:pPr>
        <w:ind w:left="3540"/>
        <w:jc w:val="both"/>
      </w:pPr>
    </w:p>
    <w:p w:rsidR="003C3FB4" w:rsidRPr="00A91487" w:rsidP="003C3FB4">
      <w:pPr>
        <w:numPr>
          <w:ilvl w:val="0"/>
          <w:numId w:val="27"/>
        </w:numPr>
        <w:jc w:val="both"/>
        <w:rPr>
          <w:b/>
        </w:rPr>
      </w:pPr>
      <w:r w:rsidRPr="00A91487">
        <w:rPr>
          <w:b/>
        </w:rPr>
        <w:t>K čl. IV – k doterajšiemu bodu 5</w:t>
      </w:r>
    </w:p>
    <w:p w:rsidR="003C3FB4" w:rsidP="003C3FB4">
      <w:pPr>
        <w:ind w:firstLine="708"/>
        <w:jc w:val="both"/>
      </w:pPr>
      <w:r>
        <w:t xml:space="preserve">V čl. </w:t>
      </w:r>
      <w:r w:rsidRPr="005D4B74">
        <w:t>I</w:t>
      </w:r>
      <w:r>
        <w:t>V doterajšom bode 5 sa číslo „17“ nahrádza číslom „15“.</w:t>
      </w:r>
    </w:p>
    <w:p w:rsidR="003C3FB4" w:rsidP="003C3FB4">
      <w:pPr>
        <w:ind w:left="3540" w:firstLine="708"/>
        <w:jc w:val="both"/>
        <w:rPr>
          <w:u w:val="single"/>
        </w:rPr>
      </w:pPr>
    </w:p>
    <w:p w:rsidR="003C3FB4" w:rsidP="003C3FB4">
      <w:pPr>
        <w:ind w:left="3540"/>
        <w:jc w:val="both"/>
      </w:pPr>
      <w:r>
        <w:t>Legislatívno-technická zmena v súvislosti s navrhovaným novým znením doterajšieho bodu 3, čiže v súvislosti s vypustením odsekov 11 a 12 v § 4 v doterajšom bode 3.</w:t>
      </w:r>
    </w:p>
    <w:p w:rsidR="003C3FB4" w:rsidP="003C3FB4"/>
    <w:p w:rsidR="003E6EFD" w:rsidP="003C3FB4"/>
    <w:p w:rsidR="003E6EFD" w:rsidP="003C3FB4"/>
    <w:p w:rsidR="003E6EFD" w:rsidP="003C3FB4"/>
    <w:p w:rsidR="003C3FB4" w:rsidRPr="00A91487" w:rsidP="003C3FB4">
      <w:pPr>
        <w:numPr>
          <w:ilvl w:val="0"/>
          <w:numId w:val="27"/>
        </w:numPr>
        <w:rPr>
          <w:b/>
        </w:rPr>
      </w:pPr>
      <w:r w:rsidRPr="00A91487">
        <w:rPr>
          <w:b/>
        </w:rPr>
        <w:t>K čl. IV – k doterajšiemu bodu 6</w:t>
      </w:r>
    </w:p>
    <w:p w:rsidR="003C3FB4" w:rsidP="003C3FB4">
      <w:pPr>
        <w:ind w:firstLine="708"/>
      </w:pPr>
      <w:r>
        <w:t>V čl. IV doterajšom bode 6 v § 25k sa slová „až 12“ nahrádzajú slovami „a 10“.</w:t>
      </w:r>
    </w:p>
    <w:p w:rsidR="003C3FB4" w:rsidP="003C3FB4">
      <w:pPr>
        <w:ind w:left="3540" w:firstLine="708"/>
        <w:jc w:val="both"/>
        <w:rPr>
          <w:u w:val="single"/>
        </w:rPr>
      </w:pPr>
    </w:p>
    <w:p w:rsidR="003C3FB4" w:rsidP="003C3FB4">
      <w:pPr>
        <w:ind w:left="3540"/>
        <w:jc w:val="both"/>
      </w:pPr>
      <w:r>
        <w:t>Legislatívno-technická zmena v súvislosti s navrhovaným novým znením doterajšieho bodu 3, čiže v súvislosti s vypustením odsekov 11 a 12 v § 4 v doterajšom bode 3.</w:t>
      </w:r>
    </w:p>
    <w:p w:rsidR="003C3FB4" w:rsidP="003C3FB4">
      <w:pPr>
        <w:jc w:val="both"/>
      </w:pPr>
    </w:p>
    <w:p w:rsidR="003C3FB4" w:rsidRPr="00A91487" w:rsidP="003C3FB4">
      <w:pPr>
        <w:pStyle w:val="NoSpacing"/>
        <w:numPr>
          <w:ilvl w:val="0"/>
          <w:numId w:val="27"/>
        </w:numPr>
        <w:jc w:val="both"/>
        <w:rPr>
          <w:rFonts w:ascii="Times New Roman" w:hAnsi="Times New Roman"/>
          <w:b/>
          <w:sz w:val="24"/>
          <w:szCs w:val="24"/>
        </w:rPr>
      </w:pPr>
      <w:r w:rsidRPr="00A91487">
        <w:rPr>
          <w:rFonts w:ascii="Times New Roman" w:hAnsi="Times New Roman"/>
          <w:b/>
          <w:sz w:val="24"/>
          <w:szCs w:val="24"/>
        </w:rPr>
        <w:t>K čl. IV – doterajší bod 7</w:t>
      </w:r>
    </w:p>
    <w:p w:rsidR="003C3FB4" w:rsidRPr="008242E5" w:rsidP="003C3FB4">
      <w:pPr>
        <w:pStyle w:val="NoSpacing"/>
        <w:ind w:left="142"/>
        <w:jc w:val="both"/>
        <w:rPr>
          <w:rFonts w:ascii="Times New Roman" w:hAnsi="Times New Roman"/>
          <w:sz w:val="24"/>
          <w:szCs w:val="24"/>
        </w:rPr>
      </w:pPr>
      <w:r w:rsidRPr="008242E5">
        <w:rPr>
          <w:rFonts w:ascii="Times New Roman" w:hAnsi="Times New Roman"/>
          <w:sz w:val="24"/>
          <w:szCs w:val="24"/>
        </w:rPr>
        <w:t xml:space="preserve">    </w:t>
      </w:r>
      <w:r>
        <w:rPr>
          <w:rFonts w:ascii="Times New Roman" w:hAnsi="Times New Roman"/>
          <w:sz w:val="24"/>
          <w:szCs w:val="24"/>
        </w:rPr>
        <w:tab/>
      </w:r>
      <w:r w:rsidRPr="008242E5">
        <w:rPr>
          <w:rFonts w:ascii="Times New Roman" w:hAnsi="Times New Roman"/>
          <w:sz w:val="24"/>
          <w:szCs w:val="24"/>
        </w:rPr>
        <w:t xml:space="preserve">V čl. IV sa doterajší bod 7 vypúšťa. </w:t>
      </w:r>
    </w:p>
    <w:p w:rsidR="003C3FB4" w:rsidRPr="008242E5" w:rsidP="003C3FB4">
      <w:pPr>
        <w:pStyle w:val="NoSpacing"/>
        <w:ind w:firstLine="142"/>
        <w:jc w:val="both"/>
        <w:rPr>
          <w:rFonts w:ascii="Times New Roman" w:hAnsi="Times New Roman"/>
          <w:sz w:val="24"/>
          <w:szCs w:val="24"/>
        </w:rPr>
      </w:pPr>
    </w:p>
    <w:p w:rsidR="003C3FB4" w:rsidRPr="008242E5" w:rsidP="003C3FB4">
      <w:pPr>
        <w:ind w:left="3540"/>
        <w:jc w:val="both"/>
      </w:pPr>
      <w:r w:rsidRPr="008242E5">
        <w:t xml:space="preserve">Vzor formulára s informáciami k sprostredkovaniu spotrebiteľského úveru bude ustanovený vyhláškou vydanou Ministerstvom financií SR. </w:t>
      </w:r>
    </w:p>
    <w:p w:rsidR="003C3FB4" w:rsidP="003C3FB4">
      <w:pPr>
        <w:jc w:val="both"/>
      </w:pPr>
    </w:p>
    <w:p w:rsidR="003C3FB4" w:rsidRPr="00A91487" w:rsidP="003C3FB4">
      <w:pPr>
        <w:pStyle w:val="ListParagraph"/>
        <w:numPr>
          <w:ilvl w:val="0"/>
          <w:numId w:val="27"/>
        </w:numPr>
        <w:spacing w:after="0" w:line="240" w:lineRule="auto"/>
        <w:jc w:val="both"/>
        <w:rPr>
          <w:rFonts w:ascii="Times New Roman" w:hAnsi="Times New Roman"/>
          <w:b/>
          <w:sz w:val="24"/>
          <w:szCs w:val="24"/>
        </w:rPr>
      </w:pPr>
      <w:r w:rsidRPr="00A91487">
        <w:rPr>
          <w:rFonts w:ascii="Times New Roman" w:hAnsi="Times New Roman"/>
          <w:b/>
          <w:sz w:val="24"/>
          <w:szCs w:val="24"/>
        </w:rPr>
        <w:t>K čl. V – doterajšie body 4 a 5</w:t>
      </w:r>
    </w:p>
    <w:p w:rsidR="003C3FB4" w:rsidRPr="003C3FB4" w:rsidP="003C3FB4">
      <w:pPr>
        <w:pStyle w:val="ListParagraph"/>
        <w:spacing w:after="0" w:line="240" w:lineRule="auto"/>
        <w:jc w:val="both"/>
        <w:rPr>
          <w:rFonts w:ascii="Times New Roman" w:hAnsi="Times New Roman"/>
          <w:sz w:val="24"/>
          <w:szCs w:val="24"/>
          <w:u w:val="single"/>
        </w:rPr>
      </w:pPr>
      <w:r w:rsidRPr="003C3FB4">
        <w:rPr>
          <w:rFonts w:ascii="Times New Roman" w:hAnsi="Times New Roman"/>
          <w:sz w:val="24"/>
          <w:szCs w:val="24"/>
        </w:rPr>
        <w:t>V čl. V sa vypúšťajú doterajšie body 4 a 5.</w:t>
      </w:r>
    </w:p>
    <w:p w:rsidR="003C3FB4" w:rsidRPr="003C3FB4" w:rsidP="003C3FB4">
      <w:pPr>
        <w:jc w:val="both"/>
        <w:rPr>
          <w:u w:val="single"/>
        </w:rPr>
      </w:pPr>
      <w:r w:rsidRPr="003C3FB4">
        <w:tab/>
        <w:tab/>
        <w:tab/>
        <w:tab/>
        <w:tab/>
      </w:r>
    </w:p>
    <w:p w:rsidR="003C3FB4" w:rsidRPr="003C3FB4" w:rsidP="003C3FB4">
      <w:pPr>
        <w:ind w:left="3540"/>
        <w:jc w:val="both"/>
      </w:pPr>
      <w:r w:rsidRPr="003C3FB4">
        <w:t xml:space="preserve">Výška regulácie odmeny za sprostredkovanie úveru na bývanie na 1,5 % sa javí ako nadbytočná, nakoľko  je vo výške, ktorá je blízka priemernej trhovej hodnote. Regulácia neprinesie pre klientov bánk zlacnenie úverov a prípadný rozdiel v odmene akurát zvýši zisk banky, ktorá úver poskytla. Regulácia odmeny sprostredkovateľa nemá vplyv ani na opakované refinancovanie úveru zo strany klienta, ktorý sa rozhoduje o refinancovaní úveru, najmä v prípade, že dostane od inej banky výhodnejšie podmienky. Najväčší vplyv na zníženie celkovej zadĺženosti obyvateľov majú najmä súčasné opatrenia Národnej banky Slovenska, resp. obozretný prístup bánk k rizikovému skoringu klienta a nie výška odmeny za sprostredkovanie. </w:t>
      </w:r>
    </w:p>
    <w:p w:rsidR="003C3FB4" w:rsidP="003C3FB4">
      <w:pPr>
        <w:jc w:val="both"/>
      </w:pPr>
    </w:p>
    <w:p w:rsidR="003C3FB4" w:rsidRPr="00A91487" w:rsidP="003C3FB4">
      <w:pPr>
        <w:pStyle w:val="NoSpacing"/>
        <w:numPr>
          <w:ilvl w:val="0"/>
          <w:numId w:val="27"/>
        </w:numPr>
        <w:jc w:val="both"/>
        <w:rPr>
          <w:rFonts w:ascii="Times New Roman" w:hAnsi="Times New Roman"/>
          <w:b/>
          <w:sz w:val="24"/>
          <w:szCs w:val="24"/>
        </w:rPr>
      </w:pPr>
      <w:r w:rsidRPr="00A91487">
        <w:rPr>
          <w:rFonts w:ascii="Times New Roman" w:hAnsi="Times New Roman"/>
          <w:b/>
          <w:sz w:val="24"/>
          <w:szCs w:val="24"/>
        </w:rPr>
        <w:t>K čl. V – doterajší bod 6</w:t>
      </w:r>
    </w:p>
    <w:p w:rsidR="003C3FB4" w:rsidRPr="008242E5" w:rsidP="003C3FB4">
      <w:pPr>
        <w:pStyle w:val="NoSpacing"/>
        <w:ind w:left="142"/>
        <w:jc w:val="both"/>
        <w:rPr>
          <w:rFonts w:ascii="Times New Roman" w:hAnsi="Times New Roman"/>
          <w:sz w:val="24"/>
          <w:szCs w:val="24"/>
        </w:rPr>
      </w:pPr>
      <w:r w:rsidRPr="008242E5">
        <w:rPr>
          <w:rFonts w:ascii="Times New Roman" w:hAnsi="Times New Roman"/>
          <w:sz w:val="24"/>
          <w:szCs w:val="24"/>
        </w:rPr>
        <w:t xml:space="preserve">    </w:t>
      </w:r>
      <w:r>
        <w:rPr>
          <w:rFonts w:ascii="Times New Roman" w:hAnsi="Times New Roman"/>
          <w:sz w:val="24"/>
          <w:szCs w:val="24"/>
        </w:rPr>
        <w:tab/>
      </w:r>
      <w:r w:rsidRPr="008242E5">
        <w:rPr>
          <w:rFonts w:ascii="Times New Roman" w:hAnsi="Times New Roman"/>
          <w:sz w:val="24"/>
          <w:szCs w:val="24"/>
        </w:rPr>
        <w:t xml:space="preserve">V čl. V doterajší bod 6 sa vypúšťa. </w:t>
      </w:r>
    </w:p>
    <w:p w:rsidR="003C3FB4" w:rsidRPr="008242E5" w:rsidP="003C3FB4">
      <w:pPr>
        <w:pStyle w:val="NoSpacing"/>
        <w:ind w:firstLine="142"/>
        <w:jc w:val="both"/>
        <w:rPr>
          <w:rFonts w:ascii="Times New Roman" w:hAnsi="Times New Roman"/>
          <w:sz w:val="24"/>
          <w:szCs w:val="24"/>
        </w:rPr>
      </w:pPr>
    </w:p>
    <w:p w:rsidR="003C3FB4" w:rsidP="003C3FB4">
      <w:pPr>
        <w:ind w:left="3540"/>
        <w:jc w:val="both"/>
      </w:pPr>
      <w:r w:rsidRPr="008242E5">
        <w:t>Vzor formulára s informáciami k sprostredkovaniu úveru na bývanie bude ustanovený vyhláškou vyd</w:t>
      </w:r>
      <w:r>
        <w:t>anou Ministerstvom financií SR.</w:t>
      </w:r>
    </w:p>
    <w:p w:rsidR="003C3FB4" w:rsidP="003C3FB4">
      <w:pPr>
        <w:jc w:val="both"/>
      </w:pPr>
    </w:p>
    <w:p w:rsidR="003C3FB4" w:rsidRPr="00A91487" w:rsidP="003C3FB4">
      <w:pPr>
        <w:numPr>
          <w:ilvl w:val="0"/>
          <w:numId w:val="27"/>
        </w:numPr>
        <w:jc w:val="both"/>
        <w:rPr>
          <w:b/>
        </w:rPr>
      </w:pPr>
      <w:r w:rsidRPr="00A91487">
        <w:rPr>
          <w:b/>
        </w:rPr>
        <w:t>Za doterajší čl. V sa vkladá nový čl. VI, ktorý znie:</w:t>
      </w:r>
    </w:p>
    <w:p w:rsidR="003C3FB4" w:rsidP="003C3FB4">
      <w:pPr>
        <w:jc w:val="center"/>
      </w:pPr>
    </w:p>
    <w:p w:rsidR="003C3FB4" w:rsidRPr="002C7E25" w:rsidP="003C3FB4">
      <w:pPr>
        <w:jc w:val="center"/>
      </w:pPr>
      <w:r>
        <w:t>„</w:t>
      </w:r>
      <w:r w:rsidRPr="002C7E25">
        <w:t xml:space="preserve">Čl. </w:t>
      </w:r>
      <w:r>
        <w:t>VI</w:t>
      </w:r>
    </w:p>
    <w:p w:rsidR="003C3FB4" w:rsidP="003C3FB4">
      <w:pPr>
        <w:ind w:left="705"/>
        <w:jc w:val="both"/>
      </w:pPr>
      <w:r w:rsidRPr="002C7E25">
        <w:t xml:space="preserve">Zákon č. </w:t>
      </w:r>
      <w:r>
        <w:t xml:space="preserve">423/2015 Z. z. o štatutárnom audite a o zmene a doplnení zákona č. 431/2002 Z. z. o účtovníctve v znení neskorších predpisov v znení zákona č. 91/2016 Z. z. a zákona č. xx/2018 Z. z. </w:t>
      </w:r>
      <w:r w:rsidRPr="002C7E25">
        <w:t xml:space="preserve">sa mení </w:t>
      </w:r>
      <w:r>
        <w:t xml:space="preserve">a dopĺňa </w:t>
      </w:r>
      <w:r w:rsidRPr="002C7E25">
        <w:t>takto:</w:t>
      </w:r>
    </w:p>
    <w:p w:rsidR="003C3FB4" w:rsidRPr="002C7E25" w:rsidP="003C3FB4">
      <w:pPr>
        <w:jc w:val="both"/>
      </w:pPr>
    </w:p>
    <w:p w:rsidR="003C3FB4" w:rsidRPr="002C7E25" w:rsidP="003C3FB4">
      <w:pPr>
        <w:pStyle w:val="ListParagraph"/>
        <w:numPr>
          <w:ilvl w:val="0"/>
          <w:numId w:val="29"/>
        </w:numPr>
        <w:spacing w:after="0" w:line="240" w:lineRule="auto"/>
        <w:ind w:left="360"/>
        <w:contextualSpacing w:val="0"/>
        <w:jc w:val="both"/>
        <w:rPr>
          <w:rFonts w:ascii="Times New Roman" w:hAnsi="Times New Roman"/>
          <w:sz w:val="24"/>
          <w:szCs w:val="24"/>
        </w:rPr>
      </w:pPr>
      <w:r w:rsidRPr="002C7E25">
        <w:rPr>
          <w:rFonts w:ascii="Times New Roman" w:hAnsi="Times New Roman"/>
          <w:sz w:val="24"/>
          <w:szCs w:val="24"/>
        </w:rPr>
        <w:t xml:space="preserve">V § 2 ods. </w:t>
      </w:r>
      <w:r>
        <w:rPr>
          <w:rFonts w:ascii="Times New Roman" w:hAnsi="Times New Roman"/>
          <w:sz w:val="24"/>
          <w:szCs w:val="24"/>
        </w:rPr>
        <w:t>16 písm. d) sa za slovo „poisťovňa“ vkladá čiarka a slová „pobočka poisťovne z iného členského štátu“.</w:t>
      </w:r>
    </w:p>
    <w:p w:rsidR="003C3FB4" w:rsidP="003C3FB4">
      <w:pPr>
        <w:pStyle w:val="ListParagraph"/>
        <w:numPr>
          <w:ilvl w:val="0"/>
          <w:numId w:val="29"/>
        </w:numPr>
        <w:spacing w:after="0" w:line="240" w:lineRule="auto"/>
        <w:ind w:left="360"/>
        <w:contextualSpacing w:val="0"/>
        <w:jc w:val="both"/>
        <w:rPr>
          <w:rFonts w:ascii="Times New Roman" w:hAnsi="Times New Roman"/>
          <w:sz w:val="24"/>
          <w:szCs w:val="24"/>
        </w:rPr>
      </w:pPr>
      <w:r w:rsidRPr="000A36EF">
        <w:rPr>
          <w:rFonts w:ascii="Times New Roman" w:hAnsi="Times New Roman"/>
          <w:sz w:val="24"/>
          <w:szCs w:val="24"/>
        </w:rPr>
        <w:t xml:space="preserve">V § 2 ods. 16 písm. e) sa za slovo „zaisťovňa“ vkladá čiarka a slová „pobočka zaisťovne z iného členského štátu“. </w:t>
      </w:r>
    </w:p>
    <w:p w:rsidR="003C3FB4" w:rsidP="003C3FB4">
      <w:pPr>
        <w:pStyle w:val="ListParagraph"/>
        <w:numPr>
          <w:ilvl w:val="0"/>
          <w:numId w:val="29"/>
        </w:numPr>
        <w:spacing w:after="0" w:line="240" w:lineRule="auto"/>
        <w:ind w:left="360"/>
        <w:contextualSpacing w:val="0"/>
        <w:jc w:val="both"/>
        <w:rPr>
          <w:rFonts w:ascii="Times New Roman" w:hAnsi="Times New Roman"/>
          <w:sz w:val="24"/>
          <w:szCs w:val="24"/>
        </w:rPr>
      </w:pPr>
      <w:r w:rsidRPr="007C51B6">
        <w:rPr>
          <w:rFonts w:ascii="Times New Roman" w:hAnsi="Times New Roman"/>
          <w:sz w:val="24"/>
          <w:szCs w:val="24"/>
        </w:rPr>
        <w:t>V § 68 ods. 3 písm. c) sa slová „pobočka zahraničnej poisťovne“ nahrádzajú slovami „pobočka poisťovne z iného členského štátu, pobočka zahraničnej poisťovne, pobočka zais</w:t>
      </w:r>
      <w:r>
        <w:rPr>
          <w:rFonts w:ascii="Times New Roman" w:hAnsi="Times New Roman"/>
          <w:sz w:val="24"/>
          <w:szCs w:val="24"/>
        </w:rPr>
        <w:t>ťovne z iného členského štátu“.“.</w:t>
      </w:r>
    </w:p>
    <w:p w:rsidR="003C3FB4" w:rsidP="003C3FB4">
      <w:pPr>
        <w:pStyle w:val="Odsekzoznamu1"/>
        <w:spacing w:after="0" w:line="240" w:lineRule="auto"/>
        <w:ind w:left="0"/>
        <w:jc w:val="both"/>
        <w:rPr>
          <w:rFonts w:ascii="Times New Roman" w:hAnsi="Times New Roman"/>
          <w:sz w:val="24"/>
          <w:szCs w:val="24"/>
        </w:rPr>
      </w:pPr>
    </w:p>
    <w:p w:rsidR="003C3FB4" w:rsidP="003C3FB4">
      <w:pPr>
        <w:pStyle w:val="Odsekzoznamu1"/>
        <w:spacing w:after="0" w:line="240" w:lineRule="auto"/>
        <w:ind w:left="0"/>
        <w:jc w:val="both"/>
        <w:rPr>
          <w:rFonts w:ascii="Times New Roman" w:hAnsi="Times New Roman"/>
          <w:sz w:val="24"/>
          <w:szCs w:val="24"/>
        </w:rPr>
      </w:pPr>
      <w:r w:rsidRPr="002C7E25">
        <w:rPr>
          <w:rFonts w:ascii="Times New Roman" w:hAnsi="Times New Roman"/>
          <w:sz w:val="24"/>
          <w:szCs w:val="24"/>
        </w:rPr>
        <w:t xml:space="preserve">Účinnosť tohto článku navrhujem </w:t>
      </w:r>
      <w:r>
        <w:rPr>
          <w:rFonts w:ascii="Times New Roman" w:hAnsi="Times New Roman"/>
          <w:sz w:val="24"/>
          <w:szCs w:val="24"/>
        </w:rPr>
        <w:t xml:space="preserve">1. novembra 2018. </w:t>
      </w:r>
    </w:p>
    <w:p w:rsidR="003C3FB4" w:rsidP="003C3FB4">
      <w:pPr>
        <w:rPr>
          <w:szCs w:val="22"/>
        </w:rPr>
      </w:pPr>
    </w:p>
    <w:p w:rsidR="003C3FB4" w:rsidRPr="006E761A" w:rsidP="003C3FB4">
      <w:pPr>
        <w:rPr>
          <w:szCs w:val="22"/>
        </w:rPr>
      </w:pPr>
      <w:r w:rsidRPr="006E761A">
        <w:rPr>
          <w:szCs w:val="22"/>
        </w:rPr>
        <w:t>Doterajší čl. VI sa označuje ako čl. VII.</w:t>
      </w:r>
    </w:p>
    <w:p w:rsidR="003C3FB4" w:rsidP="003C3FB4">
      <w:pPr>
        <w:ind w:left="3540" w:firstLine="708"/>
        <w:rPr>
          <w:szCs w:val="22"/>
          <w:u w:val="single"/>
        </w:rPr>
      </w:pPr>
    </w:p>
    <w:p w:rsidR="003C3FB4" w:rsidRPr="00D57C5E" w:rsidP="003C3FB4">
      <w:pPr>
        <w:ind w:left="3544"/>
        <w:jc w:val="both"/>
      </w:pPr>
      <w:r w:rsidRPr="00BE76F8">
        <w:rPr>
          <w:szCs w:val="22"/>
        </w:rPr>
        <w:t xml:space="preserve">Pozmeňujúcim návrhom sa </w:t>
      </w:r>
      <w:r>
        <w:rPr>
          <w:szCs w:val="22"/>
        </w:rPr>
        <w:t xml:space="preserve">precizuje rozsah subjektov verejného záujmu,  ktorých štatutárny audit účtovnej závierky sa vykonáva v súlade s nariadením Európskeho parlamentu a Rady (EÚ) č. 537/2014 zo 16. apríla 2014 o osobitných požiadavkách týkajúcich sa štatutárneho auditu subjektov verejného záujmu. Tak ako aj podľa predchádzajúcej právnej úpravy (zákon č. 540/2007 Z. z. o audítoroch, audite a dohľade nad výkonom auditu a o zmene a doplnení zákona č. 431/2002 Z. z. o účtovníctve v znení neskorších predpisov) sa za subjekt verejného záujmu považuje aj pobočka poisťovne z iného členského štátu, ktorá je umiestnená na území Slovenskej republiky a ktorá je v zmysle zákona č. 431/2002 Z. z. o účtovníctve v znení neskorších predpisov účtovnou jednotkou, ktorej účtovná závierka musí byť overená štatutárnym audítorom. Uvedené sa vzťahuje aj na pobočku zaisťovne z iného členského štátu. </w:t>
      </w:r>
    </w:p>
    <w:p w:rsidR="003C3FB4" w:rsidRPr="008242E5" w:rsidP="003C3FB4">
      <w:pPr>
        <w:pStyle w:val="NoSpacing"/>
        <w:jc w:val="both"/>
        <w:rPr>
          <w:rFonts w:ascii="Times New Roman" w:hAnsi="Times New Roman"/>
          <w:sz w:val="24"/>
          <w:szCs w:val="24"/>
        </w:rPr>
      </w:pPr>
    </w:p>
    <w:p w:rsidR="003C3FB4" w:rsidRPr="00A91487" w:rsidP="003C3FB4">
      <w:pPr>
        <w:pStyle w:val="NoSpacing"/>
        <w:numPr>
          <w:ilvl w:val="0"/>
          <w:numId w:val="27"/>
        </w:numPr>
        <w:jc w:val="both"/>
        <w:rPr>
          <w:rFonts w:ascii="Times New Roman" w:hAnsi="Times New Roman"/>
          <w:b/>
          <w:sz w:val="24"/>
          <w:szCs w:val="24"/>
        </w:rPr>
      </w:pPr>
      <w:r w:rsidRPr="00A91487">
        <w:rPr>
          <w:rFonts w:ascii="Times New Roman" w:hAnsi="Times New Roman"/>
          <w:b/>
          <w:sz w:val="24"/>
          <w:szCs w:val="24"/>
        </w:rPr>
        <w:t>K čl. VI</w:t>
      </w:r>
    </w:p>
    <w:p w:rsidR="003C3FB4" w:rsidRPr="007B125C" w:rsidP="003C3FB4">
      <w:pPr>
        <w:ind w:left="705"/>
        <w:jc w:val="both"/>
        <w:rPr>
          <w:color w:val="1F497D"/>
          <w:sz w:val="22"/>
          <w:szCs w:val="22"/>
        </w:rPr>
      </w:pPr>
      <w:r w:rsidRPr="007B125C">
        <w:t>V čl. VI sa slová „ čl. I a čl. III až V“ nahrádzajú slovami „ čl. I, čl. III bodu 21, čl. IV a</w:t>
      </w:r>
      <w:r>
        <w:t> </w:t>
      </w:r>
      <w:r w:rsidRPr="007B125C">
        <w:t>V</w:t>
      </w:r>
      <w:r>
        <w:t>“ a slová „1. júla 2019“ sa nahrádzajú slovami „1. januára 2020“.“.</w:t>
      </w:r>
    </w:p>
    <w:p w:rsidR="003C3FB4" w:rsidP="003C3FB4">
      <w:pPr>
        <w:pStyle w:val="NoSpacing"/>
        <w:jc w:val="both"/>
        <w:rPr>
          <w:rFonts w:ascii="Times New Roman" w:hAnsi="Times New Roman"/>
          <w:sz w:val="24"/>
          <w:szCs w:val="24"/>
        </w:rPr>
      </w:pPr>
      <w:r w:rsidRPr="0042797E">
        <w:rPr>
          <w:rFonts w:ascii="Times New Roman" w:hAnsi="Times New Roman"/>
          <w:sz w:val="24"/>
          <w:szCs w:val="24"/>
        </w:rPr>
        <w:tab/>
        <w:tab/>
        <w:tab/>
        <w:tab/>
        <w:tab/>
        <w:tab/>
      </w:r>
    </w:p>
    <w:p w:rsidR="003C3FB4" w:rsidP="003C3FB4">
      <w:pPr>
        <w:pStyle w:val="NoSpacing"/>
        <w:ind w:left="3540"/>
        <w:jc w:val="both"/>
        <w:rPr>
          <w:rFonts w:ascii="Times New Roman" w:hAnsi="Times New Roman"/>
          <w:sz w:val="24"/>
          <w:szCs w:val="24"/>
        </w:rPr>
      </w:pPr>
      <w:r>
        <w:rPr>
          <w:rFonts w:ascii="Times New Roman" w:hAnsi="Times New Roman"/>
          <w:sz w:val="24"/>
          <w:szCs w:val="24"/>
        </w:rPr>
        <w:t>Čl. III obsahuje legislatívno-technické úpravy súvisiace s transpozíciou smernice o distribúcií poistenia, ktorá bola transponovaná v zákone č. 282/2017 Z. z., ktorý nadobudol účinnosť 23. februára 2018. Z uvedeného dôvodu sa navrhuje skoršia účinnosť predmetných ustanovení zákona. Vzhľadom k tomu, že bod 21 čl. III priamo súvisí so zavedením informačných formulárov ponecháva sa jeho účinnosť od 1. januára 2020. Posunutie účinnosti na 1. januára 2020 sa navrhuje za účelom poskytnutia dlhšej lehoty na prispôsobenie sa novým požiadavkám.</w:t>
      </w: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Tahoma">
    <w:altName w:val="Tahoma"/>
    <w:panose1 w:val="00000000000000000000"/>
    <w:charset w:val="EE"/>
    <w:family w:val="swiss"/>
    <w:pitch w:val="variable"/>
    <w:sig w:usb0="E1002EFF" w:usb1="C000605B" w:usb2="00000029" w:usb3="00000000" w:csb0="000101FF" w:csb1="00000000"/>
  </w:font>
  <w:font w:name="Calibri">
    <w:altName w:val="Arial"/>
    <w:panose1 w:val="020F0502020204030204"/>
    <w:charset w:val="EE"/>
    <w:family w:val="swiss"/>
    <w:pitch w:val="variable"/>
    <w:sig w:usb0="E00002FF" w:usb1="4000ACFF" w:usb2="00000001" w:usb3="00000000" w:csb0="0000019F" w:csb1="00000000"/>
  </w:font>
  <w:font w:name="Arial Narrow">
    <w:panose1 w:val="00000000000000000000"/>
    <w:charset w:val="EE"/>
    <w:family w:val="swiss"/>
    <w:pitch w:val="variable"/>
    <w:sig w:usb0="00000287" w:usb1="00000800" w:usb2="00000000" w:usb3="00000000" w:csb0="0000009F" w:csb1="00000000"/>
  </w:font>
  <w:font w:name="Courier New">
    <w:altName w:val="Courier New"/>
    <w:panose1 w:val="00000000000000000000"/>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13CD">
      <w:rPr>
        <w:rStyle w:val="PageNumber"/>
        <w:noProof/>
      </w:rPr>
      <w:t>5</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F07"/>
    <w:multiLevelType w:val="hybridMultilevel"/>
    <w:tmpl w:val="F4A061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0C0328"/>
    <w:multiLevelType w:val="hybridMultilevel"/>
    <w:tmpl w:val="CD9ED6C0"/>
    <w:lvl w:ilvl="0">
      <w:start w:val="1"/>
      <w:numFmt w:val="decimal"/>
      <w:suff w:val="space"/>
      <w:lvlText w:val="%1."/>
      <w:lvlJc w:val="left"/>
      <w:rPr>
        <w:rFonts w:cs="Times New Roman" w:hint="default"/>
        <w:u w:val="no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116C156B"/>
    <w:multiLevelType w:val="hybridMultilevel"/>
    <w:tmpl w:val="93582848"/>
    <w:lvl w:ilvl="0">
      <w:start w:val="1"/>
      <w:numFmt w:val="decimal"/>
      <w:lvlText w:val="%1."/>
      <w:lvlJc w:val="left"/>
      <w:pPr>
        <w:ind w:left="720" w:hanging="360"/>
      </w:pPr>
      <w:rPr>
        <w:rFonts w:cs="Times New Roman"/>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36655F7"/>
    <w:multiLevelType w:val="hybridMultilevel"/>
    <w:tmpl w:val="F68ABE08"/>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70314F5"/>
    <w:multiLevelType w:val="hybridMultilevel"/>
    <w:tmpl w:val="0C1ABDC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84A1711"/>
    <w:multiLevelType w:val="hybridMultilevel"/>
    <w:tmpl w:val="24AE8C5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E16623A"/>
    <w:multiLevelType w:val="hybridMultilevel"/>
    <w:tmpl w:val="61F8DE64"/>
    <w:lvl w:ilvl="0">
      <w:start w:val="24"/>
      <w:numFmt w:val="bullet"/>
      <w:lvlText w:val="-"/>
      <w:lvlJc w:val="left"/>
      <w:pPr>
        <w:ind w:left="1572" w:hanging="360"/>
      </w:pPr>
      <w:rPr>
        <w:rFonts w:ascii="Times New Roman" w:eastAsia="Times New Roman" w:hAnsi="Times New Roman" w:hint="default"/>
      </w:rPr>
    </w:lvl>
    <w:lvl w:ilvl="1">
      <w:start w:val="1"/>
      <w:numFmt w:val="bullet"/>
      <w:lvlText w:val="o"/>
      <w:lvlJc w:val="left"/>
      <w:pPr>
        <w:ind w:left="2292" w:hanging="360"/>
      </w:pPr>
      <w:rPr>
        <w:rFonts w:ascii="Courier New" w:hAnsi="Courier New" w:hint="default"/>
      </w:rPr>
    </w:lvl>
    <w:lvl w:ilvl="2">
      <w:start w:val="1"/>
      <w:numFmt w:val="bullet"/>
      <w:lvlText w:val=""/>
      <w:lvlJc w:val="left"/>
      <w:pPr>
        <w:ind w:left="3012" w:hanging="360"/>
      </w:pPr>
      <w:rPr>
        <w:rFonts w:ascii="Wingdings" w:hAnsi="Wingdings" w:hint="default"/>
      </w:rPr>
    </w:lvl>
    <w:lvl w:ilvl="3">
      <w:start w:val="1"/>
      <w:numFmt w:val="bullet"/>
      <w:lvlText w:val=""/>
      <w:lvlJc w:val="left"/>
      <w:pPr>
        <w:ind w:left="3732" w:hanging="360"/>
      </w:pPr>
      <w:rPr>
        <w:rFonts w:ascii="Symbol" w:hAnsi="Symbol" w:hint="default"/>
      </w:rPr>
    </w:lvl>
    <w:lvl w:ilvl="4">
      <w:start w:val="1"/>
      <w:numFmt w:val="bullet"/>
      <w:lvlText w:val="o"/>
      <w:lvlJc w:val="left"/>
      <w:pPr>
        <w:ind w:left="4452" w:hanging="360"/>
      </w:pPr>
      <w:rPr>
        <w:rFonts w:ascii="Courier New" w:hAnsi="Courier New" w:hint="default"/>
      </w:rPr>
    </w:lvl>
    <w:lvl w:ilvl="5">
      <w:start w:val="1"/>
      <w:numFmt w:val="bullet"/>
      <w:lvlText w:val=""/>
      <w:lvlJc w:val="left"/>
      <w:pPr>
        <w:ind w:left="5172" w:hanging="360"/>
      </w:pPr>
      <w:rPr>
        <w:rFonts w:ascii="Wingdings" w:hAnsi="Wingdings" w:hint="default"/>
      </w:rPr>
    </w:lvl>
    <w:lvl w:ilvl="6">
      <w:start w:val="1"/>
      <w:numFmt w:val="bullet"/>
      <w:lvlText w:val=""/>
      <w:lvlJc w:val="left"/>
      <w:pPr>
        <w:ind w:left="5892" w:hanging="360"/>
      </w:pPr>
      <w:rPr>
        <w:rFonts w:ascii="Symbol" w:hAnsi="Symbol" w:hint="default"/>
      </w:rPr>
    </w:lvl>
    <w:lvl w:ilvl="7">
      <w:start w:val="1"/>
      <w:numFmt w:val="bullet"/>
      <w:lvlText w:val="o"/>
      <w:lvlJc w:val="left"/>
      <w:pPr>
        <w:ind w:left="6612" w:hanging="360"/>
      </w:pPr>
      <w:rPr>
        <w:rFonts w:ascii="Courier New" w:hAnsi="Courier New" w:hint="default"/>
      </w:rPr>
    </w:lvl>
    <w:lvl w:ilvl="8">
      <w:start w:val="1"/>
      <w:numFmt w:val="bullet"/>
      <w:lvlText w:val=""/>
      <w:lvlJc w:val="left"/>
      <w:pPr>
        <w:ind w:left="7332" w:hanging="360"/>
      </w:pPr>
      <w:rPr>
        <w:rFonts w:ascii="Wingdings" w:hAnsi="Wingdings" w:hint="default"/>
      </w:rPr>
    </w:lvl>
  </w:abstractNum>
  <w:abstractNum w:abstractNumId="7">
    <w:nsid w:val="220A1285"/>
    <w:multiLevelType w:val="hybridMultilevel"/>
    <w:tmpl w:val="17D45DC4"/>
    <w:lvl w:ilvl="0">
      <w:start w:val="1"/>
      <w:numFmt w:val="lowerLetter"/>
      <w:lvlText w:val="%1)"/>
      <w:lvlJc w:val="left"/>
      <w:pPr>
        <w:ind w:left="2137" w:hanging="360"/>
      </w:pPr>
      <w:rPr>
        <w:rFonts w:cs="Times New Roman" w:hint="default"/>
      </w:rPr>
    </w:lvl>
    <w:lvl w:ilvl="1">
      <w:start w:val="1"/>
      <w:numFmt w:val="lowerLetter"/>
      <w:lvlText w:val="%2."/>
      <w:lvlJc w:val="left"/>
      <w:pPr>
        <w:ind w:left="2857" w:hanging="360"/>
      </w:pPr>
      <w:rPr>
        <w:rFonts w:cs="Times New Roman"/>
      </w:rPr>
    </w:lvl>
    <w:lvl w:ilvl="2" w:tentative="1">
      <w:start w:val="1"/>
      <w:numFmt w:val="lowerRoman"/>
      <w:lvlText w:val="%3."/>
      <w:lvlJc w:val="right"/>
      <w:pPr>
        <w:ind w:left="3577" w:hanging="180"/>
      </w:pPr>
      <w:rPr>
        <w:rFonts w:cs="Times New Roman"/>
      </w:rPr>
    </w:lvl>
    <w:lvl w:ilvl="3" w:tentative="1">
      <w:start w:val="1"/>
      <w:numFmt w:val="decimal"/>
      <w:lvlText w:val="%4."/>
      <w:lvlJc w:val="left"/>
      <w:pPr>
        <w:ind w:left="4297" w:hanging="360"/>
      </w:pPr>
      <w:rPr>
        <w:rFonts w:cs="Times New Roman"/>
      </w:rPr>
    </w:lvl>
    <w:lvl w:ilvl="4" w:tentative="1">
      <w:start w:val="1"/>
      <w:numFmt w:val="lowerLetter"/>
      <w:lvlText w:val="%5."/>
      <w:lvlJc w:val="left"/>
      <w:pPr>
        <w:ind w:left="5017" w:hanging="360"/>
      </w:pPr>
      <w:rPr>
        <w:rFonts w:cs="Times New Roman"/>
      </w:rPr>
    </w:lvl>
    <w:lvl w:ilvl="5" w:tentative="1">
      <w:start w:val="1"/>
      <w:numFmt w:val="lowerRoman"/>
      <w:lvlText w:val="%6."/>
      <w:lvlJc w:val="right"/>
      <w:pPr>
        <w:ind w:left="5737" w:hanging="180"/>
      </w:pPr>
      <w:rPr>
        <w:rFonts w:cs="Times New Roman"/>
      </w:rPr>
    </w:lvl>
    <w:lvl w:ilvl="6" w:tentative="1">
      <w:start w:val="1"/>
      <w:numFmt w:val="decimal"/>
      <w:lvlText w:val="%7."/>
      <w:lvlJc w:val="left"/>
      <w:pPr>
        <w:ind w:left="6457" w:hanging="360"/>
      </w:pPr>
      <w:rPr>
        <w:rFonts w:cs="Times New Roman"/>
      </w:rPr>
    </w:lvl>
    <w:lvl w:ilvl="7" w:tentative="1">
      <w:start w:val="1"/>
      <w:numFmt w:val="lowerLetter"/>
      <w:lvlText w:val="%8."/>
      <w:lvlJc w:val="left"/>
      <w:pPr>
        <w:ind w:left="7177" w:hanging="360"/>
      </w:pPr>
      <w:rPr>
        <w:rFonts w:cs="Times New Roman"/>
      </w:rPr>
    </w:lvl>
    <w:lvl w:ilvl="8" w:tentative="1">
      <w:start w:val="1"/>
      <w:numFmt w:val="lowerRoman"/>
      <w:lvlText w:val="%9."/>
      <w:lvlJc w:val="right"/>
      <w:pPr>
        <w:ind w:left="7897" w:hanging="180"/>
      </w:pPr>
      <w:rPr>
        <w:rFonts w:cs="Times New Roman"/>
      </w:rPr>
    </w:lvl>
  </w:abstractNum>
  <w:abstractNum w:abstractNumId="8">
    <w:nsid w:val="25711CD7"/>
    <w:multiLevelType w:val="hybridMultilevel"/>
    <w:tmpl w:val="59FC7F60"/>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0">
    <w:nsid w:val="272C0F28"/>
    <w:multiLevelType w:val="hybridMultilevel"/>
    <w:tmpl w:val="562EA3CA"/>
    <w:lvl w:ilvl="0">
      <w:start w:val="1"/>
      <w:numFmt w:val="decimal"/>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9664AE"/>
    <w:multiLevelType w:val="hybridMultilevel"/>
    <w:tmpl w:val="8654D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14522E"/>
    <w:multiLevelType w:val="hybridMultilevel"/>
    <w:tmpl w:val="9B28C81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342367D1"/>
    <w:multiLevelType w:val="hybridMultilevel"/>
    <w:tmpl w:val="79400E5C"/>
    <w:lvl w:ilvl="0">
      <w:start w:val="1"/>
      <w:numFmt w:val="decimal"/>
      <w:lvlText w:val="%1."/>
      <w:lvlJc w:val="left"/>
      <w:pPr>
        <w:ind w:left="51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6B3BDA"/>
    <w:multiLevelType w:val="hybridMultilevel"/>
    <w:tmpl w:val="38B03A56"/>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A84DC2"/>
    <w:multiLevelType w:val="hybridMultilevel"/>
    <w:tmpl w:val="AA6C6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1D4F47"/>
    <w:multiLevelType w:val="hybridMultilevel"/>
    <w:tmpl w:val="46A6DCF8"/>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17">
    <w:nsid w:val="464D2BF4"/>
    <w:multiLevelType w:val="hybridMultilevel"/>
    <w:tmpl w:val="540CD3AA"/>
    <w:lvl w:ilvl="0">
      <w:start w:val="3"/>
      <w:numFmt w:val="decimal"/>
      <w:lvlText w:val="(%1)"/>
      <w:lvlJc w:val="left"/>
      <w:pPr>
        <w:ind w:left="717" w:hanging="36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18">
    <w:nsid w:val="4DF91707"/>
    <w:multiLevelType w:val="hybridMultilevel"/>
    <w:tmpl w:val="35347B30"/>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670515"/>
    <w:multiLevelType w:val="hybridMultilevel"/>
    <w:tmpl w:val="6F7A06A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0">
    <w:nsid w:val="57E24BA3"/>
    <w:multiLevelType w:val="hybridMultilevel"/>
    <w:tmpl w:val="D0C21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9312C0"/>
    <w:multiLevelType w:val="hybridMultilevel"/>
    <w:tmpl w:val="06B2542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2">
    <w:nsid w:val="627C0032"/>
    <w:multiLevelType w:val="hybridMultilevel"/>
    <w:tmpl w:val="C29ED576"/>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36607C"/>
    <w:multiLevelType w:val="hybridMultilevel"/>
    <w:tmpl w:val="6BECA5B6"/>
    <w:lvl w:ilvl="0">
      <w:start w:val="1"/>
      <w:numFmt w:val="decimal"/>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9F28A8"/>
    <w:multiLevelType w:val="hybridMultilevel"/>
    <w:tmpl w:val="50987172"/>
    <w:lvl w:ilvl="0">
      <w:start w:val="1"/>
      <w:numFmt w:val="decimal"/>
      <w:lvlText w:val="%1."/>
      <w:lvlJc w:val="left"/>
      <w:pPr>
        <w:ind w:left="7164" w:hanging="360"/>
      </w:pPr>
      <w:rPr>
        <w:rFonts w:hint="default"/>
      </w:rPr>
    </w:lvl>
    <w:lvl w:ilvl="1" w:tentative="1">
      <w:start w:val="1"/>
      <w:numFmt w:val="lowerLetter"/>
      <w:lvlText w:val="%2."/>
      <w:lvlJc w:val="left"/>
      <w:pPr>
        <w:ind w:left="7884" w:hanging="360"/>
      </w:pPr>
    </w:lvl>
    <w:lvl w:ilvl="2" w:tentative="1">
      <w:start w:val="1"/>
      <w:numFmt w:val="lowerRoman"/>
      <w:lvlText w:val="%3."/>
      <w:lvlJc w:val="right"/>
      <w:pPr>
        <w:ind w:left="8604" w:hanging="180"/>
      </w:pPr>
    </w:lvl>
    <w:lvl w:ilvl="3" w:tentative="1">
      <w:start w:val="1"/>
      <w:numFmt w:val="decimal"/>
      <w:lvlText w:val="%4."/>
      <w:lvlJc w:val="left"/>
      <w:pPr>
        <w:ind w:left="9324" w:hanging="360"/>
      </w:pPr>
    </w:lvl>
    <w:lvl w:ilvl="4" w:tentative="1">
      <w:start w:val="1"/>
      <w:numFmt w:val="lowerLetter"/>
      <w:lvlText w:val="%5."/>
      <w:lvlJc w:val="left"/>
      <w:pPr>
        <w:ind w:left="10044" w:hanging="360"/>
      </w:pPr>
    </w:lvl>
    <w:lvl w:ilvl="5" w:tentative="1">
      <w:start w:val="1"/>
      <w:numFmt w:val="lowerRoman"/>
      <w:lvlText w:val="%6."/>
      <w:lvlJc w:val="right"/>
      <w:pPr>
        <w:ind w:left="10764" w:hanging="180"/>
      </w:pPr>
    </w:lvl>
    <w:lvl w:ilvl="6" w:tentative="1">
      <w:start w:val="1"/>
      <w:numFmt w:val="decimal"/>
      <w:lvlText w:val="%7."/>
      <w:lvlJc w:val="left"/>
      <w:pPr>
        <w:ind w:left="11484" w:hanging="360"/>
      </w:pPr>
    </w:lvl>
    <w:lvl w:ilvl="7" w:tentative="1">
      <w:start w:val="1"/>
      <w:numFmt w:val="lowerLetter"/>
      <w:lvlText w:val="%8."/>
      <w:lvlJc w:val="left"/>
      <w:pPr>
        <w:ind w:left="12204" w:hanging="360"/>
      </w:pPr>
    </w:lvl>
    <w:lvl w:ilvl="8" w:tentative="1">
      <w:start w:val="1"/>
      <w:numFmt w:val="lowerRoman"/>
      <w:lvlText w:val="%9."/>
      <w:lvlJc w:val="right"/>
      <w:pPr>
        <w:ind w:left="12924" w:hanging="180"/>
      </w:pPr>
    </w:lvl>
  </w:abstractNum>
  <w:abstractNum w:abstractNumId="25">
    <w:nsid w:val="73BC4895"/>
    <w:multiLevelType w:val="hybridMultilevel"/>
    <w:tmpl w:val="A0AA2B32"/>
    <w:lvl w:ilvl="0">
      <w:start w:val="3"/>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6">
    <w:nsid w:val="765F59E6"/>
    <w:multiLevelType w:val="hybridMultilevel"/>
    <w:tmpl w:val="08EA74FE"/>
    <w:lvl w:ilvl="0">
      <w:start w:val="1"/>
      <w:numFmt w:val="decimal"/>
      <w:lvlText w:val="%1."/>
      <w:lvlJc w:val="left"/>
      <w:pPr>
        <w:ind w:left="4613" w:hanging="360"/>
      </w:pPr>
      <w:rPr>
        <w:rFonts w:hint="default"/>
        <w:b/>
      </w:rPr>
    </w:lvl>
    <w:lvl w:ilvl="1" w:tentative="1">
      <w:start w:val="1"/>
      <w:numFmt w:val="lowerLetter"/>
      <w:lvlText w:val="%2."/>
      <w:lvlJc w:val="left"/>
      <w:pPr>
        <w:ind w:left="5333" w:hanging="360"/>
      </w:pPr>
    </w:lvl>
    <w:lvl w:ilvl="2" w:tentative="1">
      <w:start w:val="1"/>
      <w:numFmt w:val="lowerRoman"/>
      <w:lvlText w:val="%3."/>
      <w:lvlJc w:val="right"/>
      <w:pPr>
        <w:ind w:left="6053" w:hanging="180"/>
      </w:pPr>
    </w:lvl>
    <w:lvl w:ilvl="3" w:tentative="1">
      <w:start w:val="1"/>
      <w:numFmt w:val="decimal"/>
      <w:lvlText w:val="%4."/>
      <w:lvlJc w:val="left"/>
      <w:pPr>
        <w:ind w:left="6773" w:hanging="360"/>
      </w:pPr>
    </w:lvl>
    <w:lvl w:ilvl="4" w:tentative="1">
      <w:start w:val="1"/>
      <w:numFmt w:val="lowerLetter"/>
      <w:lvlText w:val="%5."/>
      <w:lvlJc w:val="left"/>
      <w:pPr>
        <w:ind w:left="7493" w:hanging="360"/>
      </w:pPr>
    </w:lvl>
    <w:lvl w:ilvl="5" w:tentative="1">
      <w:start w:val="1"/>
      <w:numFmt w:val="lowerRoman"/>
      <w:lvlText w:val="%6."/>
      <w:lvlJc w:val="right"/>
      <w:pPr>
        <w:ind w:left="8213" w:hanging="180"/>
      </w:pPr>
    </w:lvl>
    <w:lvl w:ilvl="6" w:tentative="1">
      <w:start w:val="1"/>
      <w:numFmt w:val="decimal"/>
      <w:lvlText w:val="%7."/>
      <w:lvlJc w:val="left"/>
      <w:pPr>
        <w:ind w:left="8933" w:hanging="360"/>
      </w:pPr>
    </w:lvl>
    <w:lvl w:ilvl="7" w:tentative="1">
      <w:start w:val="1"/>
      <w:numFmt w:val="lowerLetter"/>
      <w:lvlText w:val="%8."/>
      <w:lvlJc w:val="left"/>
      <w:pPr>
        <w:ind w:left="9653" w:hanging="360"/>
      </w:pPr>
    </w:lvl>
    <w:lvl w:ilvl="8" w:tentative="1">
      <w:start w:val="1"/>
      <w:numFmt w:val="lowerRoman"/>
      <w:lvlText w:val="%9."/>
      <w:lvlJc w:val="right"/>
      <w:pPr>
        <w:ind w:left="10373" w:hanging="180"/>
      </w:pPr>
    </w:lvl>
  </w:abstractNum>
  <w:abstractNum w:abstractNumId="27">
    <w:nsid w:val="7FBB711C"/>
    <w:multiLevelType w:val="hybridMultilevel"/>
    <w:tmpl w:val="BAF60B2E"/>
    <w:lvl w:ilvl="0">
      <w:start w:val="1"/>
      <w:numFmt w:val="decimal"/>
      <w:lvlText w:val="(%1)"/>
      <w:lvlJc w:val="left"/>
      <w:pPr>
        <w:ind w:left="717" w:hanging="360"/>
      </w:pPr>
      <w:rPr>
        <w:rFonts w:hint="default"/>
      </w:rPr>
    </w:lvl>
    <w:lvl w:ilvl="1" w:tentative="1">
      <w:start w:val="1"/>
      <w:numFmt w:val="lowerLetter"/>
      <w:lvlText w:val="%2."/>
      <w:lvlJc w:val="left"/>
      <w:pPr>
        <w:ind w:left="1085" w:hanging="360"/>
      </w:pPr>
    </w:lvl>
    <w:lvl w:ilvl="2" w:tentative="1">
      <w:start w:val="1"/>
      <w:numFmt w:val="lowerRoman"/>
      <w:lvlText w:val="%3."/>
      <w:lvlJc w:val="right"/>
      <w:pPr>
        <w:ind w:left="1805" w:hanging="180"/>
      </w:pPr>
    </w:lvl>
    <w:lvl w:ilvl="3" w:tentative="1">
      <w:start w:val="1"/>
      <w:numFmt w:val="decimal"/>
      <w:lvlText w:val="%4."/>
      <w:lvlJc w:val="left"/>
      <w:pPr>
        <w:ind w:left="2525" w:hanging="360"/>
      </w:pPr>
    </w:lvl>
    <w:lvl w:ilvl="4" w:tentative="1">
      <w:start w:val="1"/>
      <w:numFmt w:val="lowerLetter"/>
      <w:lvlText w:val="%5."/>
      <w:lvlJc w:val="left"/>
      <w:pPr>
        <w:ind w:left="3245" w:hanging="360"/>
      </w:pPr>
    </w:lvl>
    <w:lvl w:ilvl="5" w:tentative="1">
      <w:start w:val="1"/>
      <w:numFmt w:val="lowerRoman"/>
      <w:lvlText w:val="%6."/>
      <w:lvlJc w:val="right"/>
      <w:pPr>
        <w:ind w:left="3965" w:hanging="180"/>
      </w:pPr>
    </w:lvl>
    <w:lvl w:ilvl="6" w:tentative="1">
      <w:start w:val="1"/>
      <w:numFmt w:val="decimal"/>
      <w:lvlText w:val="%7."/>
      <w:lvlJc w:val="left"/>
      <w:pPr>
        <w:ind w:left="4685" w:hanging="360"/>
      </w:pPr>
    </w:lvl>
    <w:lvl w:ilvl="7" w:tentative="1">
      <w:start w:val="1"/>
      <w:numFmt w:val="lowerLetter"/>
      <w:lvlText w:val="%8."/>
      <w:lvlJc w:val="left"/>
      <w:pPr>
        <w:ind w:left="5405" w:hanging="360"/>
      </w:pPr>
    </w:lvl>
    <w:lvl w:ilvl="8" w:tentative="1">
      <w:start w:val="1"/>
      <w:numFmt w:val="lowerRoman"/>
      <w:lvlText w:val="%9."/>
      <w:lvlJc w:val="right"/>
      <w:pPr>
        <w:ind w:left="6125"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7"/>
  </w:num>
  <w:num w:numId="4">
    <w:abstractNumId w:val="17"/>
  </w:num>
  <w:num w:numId="5">
    <w:abstractNumId w:val="19"/>
  </w:num>
  <w:num w:numId="6">
    <w:abstractNumId w:val="12"/>
  </w:num>
  <w:num w:numId="7">
    <w:abstractNumId w:val="9"/>
  </w:num>
  <w:num w:numId="8">
    <w:abstractNumId w:val="20"/>
  </w:num>
  <w:num w:numId="9">
    <w:abstractNumId w:val="11"/>
  </w:num>
  <w:num w:numId="10">
    <w:abstractNumId w:val="15"/>
  </w:num>
  <w:num w:numId="11">
    <w:abstractNumId w:val="5"/>
  </w:num>
  <w:num w:numId="12">
    <w:abstractNumId w:val="8"/>
  </w:num>
  <w:num w:numId="13">
    <w:abstractNumId w:val="14"/>
  </w:num>
  <w:num w:numId="14">
    <w:abstractNumId w:val="3"/>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5"/>
  </w:num>
  <w:num w:numId="20">
    <w:abstractNumId w:val="2"/>
  </w:num>
  <w:num w:numId="21">
    <w:abstractNumId w:val="10"/>
  </w:num>
  <w:num w:numId="22">
    <w:abstractNumId w:val="24"/>
  </w:num>
  <w:num w:numId="23">
    <w:abstractNumId w:val="23"/>
  </w:num>
  <w:num w:numId="24">
    <w:abstractNumId w:val="1"/>
  </w:num>
  <w:num w:numId="25">
    <w:abstractNumId w:val="21"/>
  </w:num>
  <w:num w:numId="26">
    <w:abstractNumId w:val="0"/>
  </w:num>
  <w:num w:numId="27">
    <w:abstractNumId w:val="18"/>
  </w:num>
  <w:num w:numId="28">
    <w:abstractNumId w:val="22"/>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15"/>
    <w:rsid w:val="00006DD7"/>
    <w:rsid w:val="000107AE"/>
    <w:rsid w:val="000139BA"/>
    <w:rsid w:val="00015125"/>
    <w:rsid w:val="000165A9"/>
    <w:rsid w:val="000237D9"/>
    <w:rsid w:val="00026345"/>
    <w:rsid w:val="0002666C"/>
    <w:rsid w:val="00034AEF"/>
    <w:rsid w:val="0004001B"/>
    <w:rsid w:val="00040044"/>
    <w:rsid w:val="00041192"/>
    <w:rsid w:val="000434DA"/>
    <w:rsid w:val="00045E54"/>
    <w:rsid w:val="0005173D"/>
    <w:rsid w:val="0005235B"/>
    <w:rsid w:val="00053FB9"/>
    <w:rsid w:val="00057956"/>
    <w:rsid w:val="00064F60"/>
    <w:rsid w:val="00065DBF"/>
    <w:rsid w:val="00066275"/>
    <w:rsid w:val="00067F0B"/>
    <w:rsid w:val="000741D0"/>
    <w:rsid w:val="0007451E"/>
    <w:rsid w:val="000746C2"/>
    <w:rsid w:val="00074F37"/>
    <w:rsid w:val="000826D8"/>
    <w:rsid w:val="0008289A"/>
    <w:rsid w:val="00084653"/>
    <w:rsid w:val="00085A9B"/>
    <w:rsid w:val="00092341"/>
    <w:rsid w:val="00092B30"/>
    <w:rsid w:val="00097C39"/>
    <w:rsid w:val="000A0E23"/>
    <w:rsid w:val="000A36EF"/>
    <w:rsid w:val="000A3DB2"/>
    <w:rsid w:val="000A44A0"/>
    <w:rsid w:val="000A7E84"/>
    <w:rsid w:val="000B19F4"/>
    <w:rsid w:val="000B4AAD"/>
    <w:rsid w:val="000D0046"/>
    <w:rsid w:val="000D14F9"/>
    <w:rsid w:val="000D4078"/>
    <w:rsid w:val="000E176D"/>
    <w:rsid w:val="000E2CAC"/>
    <w:rsid w:val="000E52F0"/>
    <w:rsid w:val="000E5323"/>
    <w:rsid w:val="000E5C35"/>
    <w:rsid w:val="000F1967"/>
    <w:rsid w:val="0010647C"/>
    <w:rsid w:val="0011101B"/>
    <w:rsid w:val="001117D7"/>
    <w:rsid w:val="00113715"/>
    <w:rsid w:val="001139A4"/>
    <w:rsid w:val="0011524C"/>
    <w:rsid w:val="00115708"/>
    <w:rsid w:val="00117627"/>
    <w:rsid w:val="001212D5"/>
    <w:rsid w:val="001337FF"/>
    <w:rsid w:val="00143F10"/>
    <w:rsid w:val="00152B22"/>
    <w:rsid w:val="00153E1E"/>
    <w:rsid w:val="001545C9"/>
    <w:rsid w:val="001559B7"/>
    <w:rsid w:val="001569C1"/>
    <w:rsid w:val="00160A16"/>
    <w:rsid w:val="001626EB"/>
    <w:rsid w:val="00163635"/>
    <w:rsid w:val="0016756E"/>
    <w:rsid w:val="001675CD"/>
    <w:rsid w:val="001734EE"/>
    <w:rsid w:val="00183676"/>
    <w:rsid w:val="00184104"/>
    <w:rsid w:val="001852E1"/>
    <w:rsid w:val="001926CE"/>
    <w:rsid w:val="00192864"/>
    <w:rsid w:val="001957AD"/>
    <w:rsid w:val="001A39FF"/>
    <w:rsid w:val="001A602E"/>
    <w:rsid w:val="001B1E93"/>
    <w:rsid w:val="001B41F7"/>
    <w:rsid w:val="001B5EC4"/>
    <w:rsid w:val="001C51E2"/>
    <w:rsid w:val="001C5BF3"/>
    <w:rsid w:val="001C6390"/>
    <w:rsid w:val="001D01F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2F32"/>
    <w:rsid w:val="002461A5"/>
    <w:rsid w:val="00254F23"/>
    <w:rsid w:val="00255E78"/>
    <w:rsid w:val="0025610E"/>
    <w:rsid w:val="002629D4"/>
    <w:rsid w:val="00272FA8"/>
    <w:rsid w:val="002743DB"/>
    <w:rsid w:val="00283931"/>
    <w:rsid w:val="00284126"/>
    <w:rsid w:val="0028499B"/>
    <w:rsid w:val="002916B8"/>
    <w:rsid w:val="00294FAE"/>
    <w:rsid w:val="00295B9C"/>
    <w:rsid w:val="002A59BC"/>
    <w:rsid w:val="002A6335"/>
    <w:rsid w:val="002A7220"/>
    <w:rsid w:val="002B6101"/>
    <w:rsid w:val="002C62FF"/>
    <w:rsid w:val="002C7E25"/>
    <w:rsid w:val="002D29EA"/>
    <w:rsid w:val="002E46AB"/>
    <w:rsid w:val="002E78E3"/>
    <w:rsid w:val="002E7F6B"/>
    <w:rsid w:val="002F2800"/>
    <w:rsid w:val="002F3ED4"/>
    <w:rsid w:val="00301227"/>
    <w:rsid w:val="00301A42"/>
    <w:rsid w:val="00302EB6"/>
    <w:rsid w:val="0030491B"/>
    <w:rsid w:val="00321A20"/>
    <w:rsid w:val="00325E49"/>
    <w:rsid w:val="0032711D"/>
    <w:rsid w:val="00334FEC"/>
    <w:rsid w:val="003371B9"/>
    <w:rsid w:val="0034179B"/>
    <w:rsid w:val="00342FD3"/>
    <w:rsid w:val="00345A3A"/>
    <w:rsid w:val="00347242"/>
    <w:rsid w:val="00352292"/>
    <w:rsid w:val="00356336"/>
    <w:rsid w:val="003676F8"/>
    <w:rsid w:val="00370DA7"/>
    <w:rsid w:val="00371F1B"/>
    <w:rsid w:val="0037360B"/>
    <w:rsid w:val="00373CBB"/>
    <w:rsid w:val="00373F0C"/>
    <w:rsid w:val="0038060C"/>
    <w:rsid w:val="00380A1C"/>
    <w:rsid w:val="00384B88"/>
    <w:rsid w:val="003916AC"/>
    <w:rsid w:val="00397CB2"/>
    <w:rsid w:val="003A4FC0"/>
    <w:rsid w:val="003B1B33"/>
    <w:rsid w:val="003C2355"/>
    <w:rsid w:val="003C3FB4"/>
    <w:rsid w:val="003D441A"/>
    <w:rsid w:val="003E4817"/>
    <w:rsid w:val="003E5C21"/>
    <w:rsid w:val="003E60B4"/>
    <w:rsid w:val="003E6EFD"/>
    <w:rsid w:val="003F1D1C"/>
    <w:rsid w:val="003F27B9"/>
    <w:rsid w:val="00401691"/>
    <w:rsid w:val="00415698"/>
    <w:rsid w:val="004231C1"/>
    <w:rsid w:val="004265B4"/>
    <w:rsid w:val="0042797E"/>
    <w:rsid w:val="0043269C"/>
    <w:rsid w:val="00450C55"/>
    <w:rsid w:val="0046108E"/>
    <w:rsid w:val="00467565"/>
    <w:rsid w:val="0047332F"/>
    <w:rsid w:val="004770E8"/>
    <w:rsid w:val="00485AD3"/>
    <w:rsid w:val="00491556"/>
    <w:rsid w:val="004925DB"/>
    <w:rsid w:val="00493DCA"/>
    <w:rsid w:val="004A12F3"/>
    <w:rsid w:val="004A1B48"/>
    <w:rsid w:val="004A3E40"/>
    <w:rsid w:val="004B7312"/>
    <w:rsid w:val="004B77A8"/>
    <w:rsid w:val="004D03C0"/>
    <w:rsid w:val="004D0847"/>
    <w:rsid w:val="004D397F"/>
    <w:rsid w:val="004D71D6"/>
    <w:rsid w:val="004E263D"/>
    <w:rsid w:val="004E2763"/>
    <w:rsid w:val="004E43BB"/>
    <w:rsid w:val="004E6C03"/>
    <w:rsid w:val="004E70D1"/>
    <w:rsid w:val="004F0838"/>
    <w:rsid w:val="004F255E"/>
    <w:rsid w:val="004F2B3E"/>
    <w:rsid w:val="004F45C8"/>
    <w:rsid w:val="00500C97"/>
    <w:rsid w:val="0050102D"/>
    <w:rsid w:val="00504177"/>
    <w:rsid w:val="00504F17"/>
    <w:rsid w:val="0052115B"/>
    <w:rsid w:val="00522678"/>
    <w:rsid w:val="00525612"/>
    <w:rsid w:val="00534101"/>
    <w:rsid w:val="005375F3"/>
    <w:rsid w:val="005458EF"/>
    <w:rsid w:val="00552BE1"/>
    <w:rsid w:val="0057223B"/>
    <w:rsid w:val="0057256F"/>
    <w:rsid w:val="005757C8"/>
    <w:rsid w:val="00576DE1"/>
    <w:rsid w:val="00577A8F"/>
    <w:rsid w:val="0058523A"/>
    <w:rsid w:val="005860D4"/>
    <w:rsid w:val="00587F18"/>
    <w:rsid w:val="00590FB8"/>
    <w:rsid w:val="005919F9"/>
    <w:rsid w:val="00594981"/>
    <w:rsid w:val="00595842"/>
    <w:rsid w:val="00595B3A"/>
    <w:rsid w:val="005A7352"/>
    <w:rsid w:val="005B36AB"/>
    <w:rsid w:val="005B76DD"/>
    <w:rsid w:val="005D03BE"/>
    <w:rsid w:val="005D04B9"/>
    <w:rsid w:val="005D0B03"/>
    <w:rsid w:val="005D1F0B"/>
    <w:rsid w:val="005D2E69"/>
    <w:rsid w:val="005D368F"/>
    <w:rsid w:val="005D4B74"/>
    <w:rsid w:val="005D62EB"/>
    <w:rsid w:val="005E0E12"/>
    <w:rsid w:val="005E26FF"/>
    <w:rsid w:val="005E27AA"/>
    <w:rsid w:val="005E3D70"/>
    <w:rsid w:val="005E3EC9"/>
    <w:rsid w:val="005E63ED"/>
    <w:rsid w:val="005F2A14"/>
    <w:rsid w:val="00602FF8"/>
    <w:rsid w:val="00604305"/>
    <w:rsid w:val="006107BB"/>
    <w:rsid w:val="00611469"/>
    <w:rsid w:val="00612751"/>
    <w:rsid w:val="00622525"/>
    <w:rsid w:val="00624DDC"/>
    <w:rsid w:val="00634830"/>
    <w:rsid w:val="0063617C"/>
    <w:rsid w:val="0063749C"/>
    <w:rsid w:val="00642D4E"/>
    <w:rsid w:val="006437A1"/>
    <w:rsid w:val="006443CB"/>
    <w:rsid w:val="0065532A"/>
    <w:rsid w:val="0065582E"/>
    <w:rsid w:val="00656806"/>
    <w:rsid w:val="00664FC7"/>
    <w:rsid w:val="00665A38"/>
    <w:rsid w:val="0066682E"/>
    <w:rsid w:val="00670BE9"/>
    <w:rsid w:val="006732DF"/>
    <w:rsid w:val="00682E41"/>
    <w:rsid w:val="006A3283"/>
    <w:rsid w:val="006A3C85"/>
    <w:rsid w:val="006A6D97"/>
    <w:rsid w:val="006A749F"/>
    <w:rsid w:val="006C19B0"/>
    <w:rsid w:val="006C72E6"/>
    <w:rsid w:val="006D23E3"/>
    <w:rsid w:val="006D6B84"/>
    <w:rsid w:val="006E1415"/>
    <w:rsid w:val="006E5A71"/>
    <w:rsid w:val="006E6823"/>
    <w:rsid w:val="006E761A"/>
    <w:rsid w:val="006F4192"/>
    <w:rsid w:val="007119E1"/>
    <w:rsid w:val="00714E4A"/>
    <w:rsid w:val="00716246"/>
    <w:rsid w:val="00716C63"/>
    <w:rsid w:val="00716D1C"/>
    <w:rsid w:val="00716FBB"/>
    <w:rsid w:val="00723D47"/>
    <w:rsid w:val="0072664E"/>
    <w:rsid w:val="00731798"/>
    <w:rsid w:val="007336DB"/>
    <w:rsid w:val="00740E97"/>
    <w:rsid w:val="0074401C"/>
    <w:rsid w:val="007451AB"/>
    <w:rsid w:val="007460EC"/>
    <w:rsid w:val="0074684C"/>
    <w:rsid w:val="0075013C"/>
    <w:rsid w:val="00753D13"/>
    <w:rsid w:val="00754367"/>
    <w:rsid w:val="00766B24"/>
    <w:rsid w:val="00766EB1"/>
    <w:rsid w:val="00771DBB"/>
    <w:rsid w:val="00776A60"/>
    <w:rsid w:val="00777CFA"/>
    <w:rsid w:val="00780DD8"/>
    <w:rsid w:val="00782059"/>
    <w:rsid w:val="007828D9"/>
    <w:rsid w:val="00782C11"/>
    <w:rsid w:val="007865EF"/>
    <w:rsid w:val="00787F13"/>
    <w:rsid w:val="00791016"/>
    <w:rsid w:val="007965EB"/>
    <w:rsid w:val="007A222C"/>
    <w:rsid w:val="007A7FC3"/>
    <w:rsid w:val="007B125C"/>
    <w:rsid w:val="007B40ED"/>
    <w:rsid w:val="007B71A2"/>
    <w:rsid w:val="007C3A2E"/>
    <w:rsid w:val="007C51B6"/>
    <w:rsid w:val="007C6EC6"/>
    <w:rsid w:val="007D3639"/>
    <w:rsid w:val="007E168E"/>
    <w:rsid w:val="007F189D"/>
    <w:rsid w:val="007F2709"/>
    <w:rsid w:val="008013CD"/>
    <w:rsid w:val="0081158D"/>
    <w:rsid w:val="008242E5"/>
    <w:rsid w:val="00830899"/>
    <w:rsid w:val="008349BA"/>
    <w:rsid w:val="00843997"/>
    <w:rsid w:val="008458BA"/>
    <w:rsid w:val="0085189B"/>
    <w:rsid w:val="00867FEE"/>
    <w:rsid w:val="008720CA"/>
    <w:rsid w:val="0087655D"/>
    <w:rsid w:val="008769DE"/>
    <w:rsid w:val="00880343"/>
    <w:rsid w:val="00881478"/>
    <w:rsid w:val="00883651"/>
    <w:rsid w:val="0089148D"/>
    <w:rsid w:val="008A2AEF"/>
    <w:rsid w:val="008A65D4"/>
    <w:rsid w:val="008A7014"/>
    <w:rsid w:val="008B2507"/>
    <w:rsid w:val="008C0201"/>
    <w:rsid w:val="008C2619"/>
    <w:rsid w:val="008C606C"/>
    <w:rsid w:val="008D037B"/>
    <w:rsid w:val="008D4A3E"/>
    <w:rsid w:val="008E0425"/>
    <w:rsid w:val="008E0724"/>
    <w:rsid w:val="008E46E2"/>
    <w:rsid w:val="008E4744"/>
    <w:rsid w:val="008E4B87"/>
    <w:rsid w:val="008E52C8"/>
    <w:rsid w:val="008F03F8"/>
    <w:rsid w:val="008F1D4B"/>
    <w:rsid w:val="008F35D7"/>
    <w:rsid w:val="008F51E4"/>
    <w:rsid w:val="009014AF"/>
    <w:rsid w:val="00901501"/>
    <w:rsid w:val="00902EC3"/>
    <w:rsid w:val="00914F38"/>
    <w:rsid w:val="00916E15"/>
    <w:rsid w:val="009171A7"/>
    <w:rsid w:val="0092372D"/>
    <w:rsid w:val="00930886"/>
    <w:rsid w:val="00932542"/>
    <w:rsid w:val="009434CE"/>
    <w:rsid w:val="00943A22"/>
    <w:rsid w:val="00944ECD"/>
    <w:rsid w:val="00945E30"/>
    <w:rsid w:val="009466A5"/>
    <w:rsid w:val="00947192"/>
    <w:rsid w:val="009534E4"/>
    <w:rsid w:val="0096543A"/>
    <w:rsid w:val="009673E9"/>
    <w:rsid w:val="00972CAE"/>
    <w:rsid w:val="009810F7"/>
    <w:rsid w:val="00985280"/>
    <w:rsid w:val="009861B2"/>
    <w:rsid w:val="00990B21"/>
    <w:rsid w:val="009940AF"/>
    <w:rsid w:val="00996EF0"/>
    <w:rsid w:val="009A5069"/>
    <w:rsid w:val="009B024D"/>
    <w:rsid w:val="009B1A9B"/>
    <w:rsid w:val="009B629D"/>
    <w:rsid w:val="009B6458"/>
    <w:rsid w:val="009C5634"/>
    <w:rsid w:val="009C6829"/>
    <w:rsid w:val="009D0655"/>
    <w:rsid w:val="009D25C5"/>
    <w:rsid w:val="009D3928"/>
    <w:rsid w:val="009D67FA"/>
    <w:rsid w:val="009E08C5"/>
    <w:rsid w:val="009E4434"/>
    <w:rsid w:val="009E58D6"/>
    <w:rsid w:val="009E6FD9"/>
    <w:rsid w:val="009F0117"/>
    <w:rsid w:val="009F3782"/>
    <w:rsid w:val="009F7C39"/>
    <w:rsid w:val="00A02DDE"/>
    <w:rsid w:val="00A112D9"/>
    <w:rsid w:val="00A13BFD"/>
    <w:rsid w:val="00A22570"/>
    <w:rsid w:val="00A26DE4"/>
    <w:rsid w:val="00A42717"/>
    <w:rsid w:val="00A44797"/>
    <w:rsid w:val="00A45E0F"/>
    <w:rsid w:val="00A46F21"/>
    <w:rsid w:val="00A61D71"/>
    <w:rsid w:val="00A64B15"/>
    <w:rsid w:val="00A64ED6"/>
    <w:rsid w:val="00A73ECD"/>
    <w:rsid w:val="00A75C51"/>
    <w:rsid w:val="00A76F2A"/>
    <w:rsid w:val="00A80718"/>
    <w:rsid w:val="00A8165F"/>
    <w:rsid w:val="00A83F16"/>
    <w:rsid w:val="00A8705A"/>
    <w:rsid w:val="00A91487"/>
    <w:rsid w:val="00AC22E2"/>
    <w:rsid w:val="00AC2960"/>
    <w:rsid w:val="00AC65F9"/>
    <w:rsid w:val="00AC7EC3"/>
    <w:rsid w:val="00AD0864"/>
    <w:rsid w:val="00AE3087"/>
    <w:rsid w:val="00AE69DF"/>
    <w:rsid w:val="00AF0917"/>
    <w:rsid w:val="00AF7145"/>
    <w:rsid w:val="00B04B3C"/>
    <w:rsid w:val="00B060C0"/>
    <w:rsid w:val="00B07F36"/>
    <w:rsid w:val="00B1559A"/>
    <w:rsid w:val="00B16CED"/>
    <w:rsid w:val="00B17563"/>
    <w:rsid w:val="00B25233"/>
    <w:rsid w:val="00B264CD"/>
    <w:rsid w:val="00B32FAB"/>
    <w:rsid w:val="00B349AD"/>
    <w:rsid w:val="00B40126"/>
    <w:rsid w:val="00B5058C"/>
    <w:rsid w:val="00B55896"/>
    <w:rsid w:val="00B55EBB"/>
    <w:rsid w:val="00B614DE"/>
    <w:rsid w:val="00B64787"/>
    <w:rsid w:val="00B7178E"/>
    <w:rsid w:val="00B71E6A"/>
    <w:rsid w:val="00B73982"/>
    <w:rsid w:val="00B75EB5"/>
    <w:rsid w:val="00B774DD"/>
    <w:rsid w:val="00B956AC"/>
    <w:rsid w:val="00B95CCC"/>
    <w:rsid w:val="00B97CFB"/>
    <w:rsid w:val="00BA1E88"/>
    <w:rsid w:val="00BA399F"/>
    <w:rsid w:val="00BB1415"/>
    <w:rsid w:val="00BB1607"/>
    <w:rsid w:val="00BB19BA"/>
    <w:rsid w:val="00BB2023"/>
    <w:rsid w:val="00BB42C8"/>
    <w:rsid w:val="00BB438D"/>
    <w:rsid w:val="00BB4DB1"/>
    <w:rsid w:val="00BB5C38"/>
    <w:rsid w:val="00BB7AEC"/>
    <w:rsid w:val="00BC2BF3"/>
    <w:rsid w:val="00BC3578"/>
    <w:rsid w:val="00BD1191"/>
    <w:rsid w:val="00BD172A"/>
    <w:rsid w:val="00BD1A81"/>
    <w:rsid w:val="00BD37D8"/>
    <w:rsid w:val="00BD7172"/>
    <w:rsid w:val="00BE5478"/>
    <w:rsid w:val="00BE56B8"/>
    <w:rsid w:val="00BE76F8"/>
    <w:rsid w:val="00BE788B"/>
    <w:rsid w:val="00C059CD"/>
    <w:rsid w:val="00C2409D"/>
    <w:rsid w:val="00C26CC3"/>
    <w:rsid w:val="00C26E52"/>
    <w:rsid w:val="00C34FB0"/>
    <w:rsid w:val="00C37D3C"/>
    <w:rsid w:val="00C40208"/>
    <w:rsid w:val="00C41E4A"/>
    <w:rsid w:val="00C46DBA"/>
    <w:rsid w:val="00C5055D"/>
    <w:rsid w:val="00C511AD"/>
    <w:rsid w:val="00C609C6"/>
    <w:rsid w:val="00C637C7"/>
    <w:rsid w:val="00C64E1A"/>
    <w:rsid w:val="00C72FBD"/>
    <w:rsid w:val="00C739C2"/>
    <w:rsid w:val="00C74C86"/>
    <w:rsid w:val="00C7601A"/>
    <w:rsid w:val="00C77F6E"/>
    <w:rsid w:val="00C81129"/>
    <w:rsid w:val="00C85101"/>
    <w:rsid w:val="00C91164"/>
    <w:rsid w:val="00C93F38"/>
    <w:rsid w:val="00C97207"/>
    <w:rsid w:val="00CA02CA"/>
    <w:rsid w:val="00CA0E04"/>
    <w:rsid w:val="00CA2C36"/>
    <w:rsid w:val="00CA4BC6"/>
    <w:rsid w:val="00CA7FA7"/>
    <w:rsid w:val="00CB08EF"/>
    <w:rsid w:val="00CB45BF"/>
    <w:rsid w:val="00CB5AF6"/>
    <w:rsid w:val="00CB60CD"/>
    <w:rsid w:val="00CD05F3"/>
    <w:rsid w:val="00CD3386"/>
    <w:rsid w:val="00CD45D1"/>
    <w:rsid w:val="00CD5189"/>
    <w:rsid w:val="00CD689C"/>
    <w:rsid w:val="00CE23DD"/>
    <w:rsid w:val="00CE39AF"/>
    <w:rsid w:val="00CE3CA7"/>
    <w:rsid w:val="00CE5FA3"/>
    <w:rsid w:val="00CF0260"/>
    <w:rsid w:val="00CF61A5"/>
    <w:rsid w:val="00CF7721"/>
    <w:rsid w:val="00D003D9"/>
    <w:rsid w:val="00D066CB"/>
    <w:rsid w:val="00D11C07"/>
    <w:rsid w:val="00D14BB3"/>
    <w:rsid w:val="00D1527C"/>
    <w:rsid w:val="00D24006"/>
    <w:rsid w:val="00D3491C"/>
    <w:rsid w:val="00D43E19"/>
    <w:rsid w:val="00D468CB"/>
    <w:rsid w:val="00D47606"/>
    <w:rsid w:val="00D5059A"/>
    <w:rsid w:val="00D51BBC"/>
    <w:rsid w:val="00D5389F"/>
    <w:rsid w:val="00D551ED"/>
    <w:rsid w:val="00D56CFD"/>
    <w:rsid w:val="00D57C5E"/>
    <w:rsid w:val="00D60D33"/>
    <w:rsid w:val="00D64717"/>
    <w:rsid w:val="00D72E6C"/>
    <w:rsid w:val="00D77944"/>
    <w:rsid w:val="00D9317C"/>
    <w:rsid w:val="00D93A8F"/>
    <w:rsid w:val="00DA4A4E"/>
    <w:rsid w:val="00DB0648"/>
    <w:rsid w:val="00DB14FA"/>
    <w:rsid w:val="00DB15FF"/>
    <w:rsid w:val="00DC342A"/>
    <w:rsid w:val="00DD72DC"/>
    <w:rsid w:val="00DE311B"/>
    <w:rsid w:val="00DF00E6"/>
    <w:rsid w:val="00DF378F"/>
    <w:rsid w:val="00DF4461"/>
    <w:rsid w:val="00E028CB"/>
    <w:rsid w:val="00E077EC"/>
    <w:rsid w:val="00E13467"/>
    <w:rsid w:val="00E165F4"/>
    <w:rsid w:val="00E20A99"/>
    <w:rsid w:val="00E24E2F"/>
    <w:rsid w:val="00E27648"/>
    <w:rsid w:val="00E3668B"/>
    <w:rsid w:val="00E4207A"/>
    <w:rsid w:val="00E54D4F"/>
    <w:rsid w:val="00E564B4"/>
    <w:rsid w:val="00E56CEF"/>
    <w:rsid w:val="00E70960"/>
    <w:rsid w:val="00E72EC0"/>
    <w:rsid w:val="00E8666A"/>
    <w:rsid w:val="00E906AB"/>
    <w:rsid w:val="00E92427"/>
    <w:rsid w:val="00E95866"/>
    <w:rsid w:val="00E97E3F"/>
    <w:rsid w:val="00EA2888"/>
    <w:rsid w:val="00EA6751"/>
    <w:rsid w:val="00EA7E4D"/>
    <w:rsid w:val="00EC5F3F"/>
    <w:rsid w:val="00ED2440"/>
    <w:rsid w:val="00ED3C5E"/>
    <w:rsid w:val="00EE616F"/>
    <w:rsid w:val="00EF1F27"/>
    <w:rsid w:val="00EF60D1"/>
    <w:rsid w:val="00F00247"/>
    <w:rsid w:val="00F009A6"/>
    <w:rsid w:val="00F02C65"/>
    <w:rsid w:val="00F03B10"/>
    <w:rsid w:val="00F04CE1"/>
    <w:rsid w:val="00F11C1D"/>
    <w:rsid w:val="00F15963"/>
    <w:rsid w:val="00F328DE"/>
    <w:rsid w:val="00F33022"/>
    <w:rsid w:val="00F362CE"/>
    <w:rsid w:val="00F37ECF"/>
    <w:rsid w:val="00F40C6E"/>
    <w:rsid w:val="00F5334F"/>
    <w:rsid w:val="00F557FC"/>
    <w:rsid w:val="00F6286E"/>
    <w:rsid w:val="00F7316C"/>
    <w:rsid w:val="00F7461A"/>
    <w:rsid w:val="00F80E71"/>
    <w:rsid w:val="00F844E8"/>
    <w:rsid w:val="00F87FF3"/>
    <w:rsid w:val="00F95255"/>
    <w:rsid w:val="00F962BB"/>
    <w:rsid w:val="00F966EF"/>
    <w:rsid w:val="00FA5B31"/>
    <w:rsid w:val="00FC15F7"/>
    <w:rsid w:val="00FC37F2"/>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uiPriority w:val="22"/>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paragraph" w:styleId="NoSpacing">
    <w:name w:val="No Spacing"/>
    <w:uiPriority w:val="1"/>
    <w:qFormat/>
    <w:rsid w:val="003C3FB4"/>
    <w:rPr>
      <w:rFonts w:ascii="Calibri" w:hAnsi="Calibri"/>
      <w:sz w:val="22"/>
      <w:szCs w:val="22"/>
      <w:lang w:val="sk-SK" w:eastAsia="en-US" w:bidi="ar-SA"/>
    </w:rPr>
  </w:style>
  <w:style w:type="paragraph" w:customStyle="1" w:styleId="Odsekzoznamu1">
    <w:name w:val="Odsek zoznamu1"/>
    <w:basedOn w:val="Normal"/>
    <w:rsid w:val="003C3FB4"/>
    <w:pPr>
      <w:spacing w:after="200" w:line="276" w:lineRule="auto"/>
      <w:ind w:left="720"/>
    </w:pPr>
    <w:rPr>
      <w:rFonts w:ascii="Arial Narrow" w:eastAsia="Calibri" w:hAnsi="Arial Narrow"/>
      <w:bCs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0371C-87FC-4972-9D3A-43FC3AD9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6</Pages>
  <Words>1923</Words>
  <Characters>10963</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Šulková, Petra</cp:lastModifiedBy>
  <cp:revision>384</cp:revision>
  <cp:lastPrinted>2018-03-12T10:30:00Z</cp:lastPrinted>
  <dcterms:created xsi:type="dcterms:W3CDTF">2003-06-05T10:59:00Z</dcterms:created>
  <dcterms:modified xsi:type="dcterms:W3CDTF">2018-06-08T09:06:00Z</dcterms:modified>
</cp:coreProperties>
</file>