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30795" w:rsidP="00630795">
      <w:pPr>
        <w:bidi w:val="0"/>
        <w:rPr>
          <w:rFonts w:ascii="Times New Roman" w:hAnsi="Times New Roman" w:cs="Times New Roman"/>
          <w:b/>
          <w:caps/>
        </w:rPr>
      </w:pPr>
      <w:r>
        <w:rPr>
          <w:rFonts w:ascii="Times New Roman" w:hAnsi="Times New Roman" w:cs="Times New Roman"/>
          <w:b/>
          <w:caps/>
        </w:rPr>
        <w:t>Výbor Národnej rady Slovenskej republiky</w:t>
      </w:r>
    </w:p>
    <w:p w:rsidR="00630795" w:rsidP="00630795">
      <w:pPr>
        <w:bidi w:val="0"/>
        <w:rPr>
          <w:b/>
          <w:caps/>
        </w:rPr>
      </w:pPr>
      <w:r>
        <w:rPr>
          <w:rFonts w:ascii="Times New Roman" w:hAnsi="Times New Roman" w:cs="Times New Roman"/>
          <w:b/>
          <w:caps/>
        </w:rPr>
        <w:t xml:space="preserve">                             pre sociálne veci</w:t>
      </w:r>
    </w:p>
    <w:p w:rsidR="00630795" w:rsidP="00630795">
      <w:pPr>
        <w:bidi w:val="0"/>
        <w:jc w:val="both"/>
        <w:rPr>
          <w:b/>
          <w:bCs/>
        </w:rPr>
      </w:pPr>
    </w:p>
    <w:p w:rsidR="00630795" w:rsidRPr="00E4639D" w:rsidP="00630795">
      <w:pPr>
        <w:bidi w:val="0"/>
        <w:jc w:val="both"/>
        <w:rPr>
          <w:rFonts w:ascii="Times New Roman" w:hAnsi="Times New Roman" w:cs="Times New Roman"/>
          <w:sz w:val="22"/>
          <w:szCs w:val="22"/>
        </w:rPr>
      </w:pPr>
      <w:r w:rsidRPr="00E4639D">
        <w:rPr>
          <w:rFonts w:ascii="Times New Roman" w:hAnsi="Times New Roman" w:cs="Times New Roman"/>
          <w:bCs/>
          <w:sz w:val="22"/>
          <w:szCs w:val="22"/>
        </w:rPr>
        <w:t>Číslo: CRD-</w:t>
      </w:r>
      <w:r w:rsidR="00936385">
        <w:rPr>
          <w:rFonts w:ascii="Times New Roman" w:hAnsi="Times New Roman" w:cs="Times New Roman"/>
          <w:bCs/>
          <w:sz w:val="22"/>
          <w:szCs w:val="22"/>
        </w:rPr>
        <w:t>70</w:t>
      </w:r>
      <w:r w:rsidRPr="00E4639D">
        <w:rPr>
          <w:rFonts w:ascii="Times New Roman" w:hAnsi="Times New Roman" w:cs="Times New Roman"/>
          <w:bCs/>
          <w:sz w:val="22"/>
          <w:szCs w:val="22"/>
        </w:rPr>
        <w:t>/201</w:t>
      </w:r>
      <w:r w:rsidR="00936385">
        <w:rPr>
          <w:rFonts w:ascii="Times New Roman" w:hAnsi="Times New Roman" w:cs="Times New Roman"/>
          <w:bCs/>
          <w:sz w:val="22"/>
          <w:szCs w:val="22"/>
        </w:rPr>
        <w:t>8</w:t>
      </w:r>
      <w:r w:rsidRPr="00E4639D">
        <w:rPr>
          <w:rFonts w:ascii="Times New Roman" w:hAnsi="Times New Roman" w:cs="Times New Roman"/>
          <w:bCs/>
          <w:sz w:val="22"/>
          <w:szCs w:val="22"/>
        </w:rPr>
        <w:tab/>
      </w:r>
      <w:r w:rsidRPr="00E4639D">
        <w:rPr>
          <w:rFonts w:ascii="Times New Roman" w:hAnsi="Times New Roman" w:cs="Times New Roman"/>
          <w:b/>
          <w:bCs/>
          <w:sz w:val="22"/>
          <w:szCs w:val="22"/>
        </w:rPr>
        <w:tab/>
        <w:tab/>
        <w:tab/>
        <w:tab/>
        <w:tab/>
      </w:r>
      <w:r>
        <w:rPr>
          <w:rFonts w:ascii="Times New Roman" w:hAnsi="Times New Roman" w:cs="Times New Roman"/>
          <w:b/>
          <w:bCs/>
          <w:sz w:val="22"/>
          <w:szCs w:val="22"/>
        </w:rPr>
        <w:tab/>
      </w:r>
      <w:r w:rsidR="000E24C7">
        <w:rPr>
          <w:rFonts w:ascii="Times New Roman" w:hAnsi="Times New Roman" w:cs="Times New Roman"/>
          <w:b/>
          <w:bCs/>
          <w:sz w:val="22"/>
          <w:szCs w:val="22"/>
        </w:rPr>
        <w:t>33</w:t>
      </w:r>
      <w:r>
        <w:rPr>
          <w:rFonts w:ascii="Times New Roman" w:hAnsi="Times New Roman" w:cs="Times New Roman"/>
          <w:b/>
          <w:bCs/>
          <w:sz w:val="22"/>
          <w:szCs w:val="22"/>
        </w:rPr>
        <w:t>.</w:t>
      </w:r>
      <w:r w:rsidRPr="00E4639D">
        <w:rPr>
          <w:rFonts w:ascii="Times New Roman" w:hAnsi="Times New Roman" w:cs="Times New Roman"/>
          <w:sz w:val="22"/>
          <w:szCs w:val="22"/>
        </w:rPr>
        <w:t xml:space="preserve"> schôdza výboru</w:t>
      </w:r>
    </w:p>
    <w:p w:rsidR="00630795" w:rsidRPr="00E4639D" w:rsidP="00630795">
      <w:pPr>
        <w:bidi w:val="0"/>
        <w:jc w:val="both"/>
        <w:rPr>
          <w:rFonts w:ascii="Times New Roman" w:hAnsi="Times New Roman" w:cs="Times New Roman"/>
          <w:b/>
          <w:bCs/>
        </w:rPr>
      </w:pPr>
    </w:p>
    <w:p w:rsidR="00630795" w:rsidRPr="0057697B" w:rsidP="00630795">
      <w:pPr>
        <w:bidi w:val="0"/>
        <w:jc w:val="center"/>
        <w:rPr>
          <w:rFonts w:ascii="Times New Roman" w:hAnsi="Times New Roman" w:cs="Times New Roman"/>
          <w:b/>
          <w:bCs/>
          <w:sz w:val="28"/>
          <w:szCs w:val="28"/>
        </w:rPr>
      </w:pPr>
      <w:r w:rsidRPr="0057697B" w:rsidR="006B3D58">
        <w:rPr>
          <w:rFonts w:ascii="Times New Roman" w:hAnsi="Times New Roman" w:cs="Times New Roman"/>
          <w:b/>
          <w:bCs/>
          <w:sz w:val="28"/>
          <w:szCs w:val="28"/>
        </w:rPr>
        <w:t>98</w:t>
      </w:r>
    </w:p>
    <w:p w:rsidR="006374F5" w:rsidRPr="00877FAE" w:rsidP="00630795">
      <w:pPr>
        <w:bidi w:val="0"/>
        <w:jc w:val="center"/>
        <w:rPr>
          <w:rFonts w:ascii="Times New Roman" w:hAnsi="Times New Roman" w:cs="Times New Roman"/>
          <w:b/>
          <w:bCs/>
        </w:rPr>
      </w:pPr>
    </w:p>
    <w:p w:rsidR="00630795" w:rsidRPr="00E4639D" w:rsidP="00630795">
      <w:pPr>
        <w:bidi w:val="0"/>
        <w:jc w:val="center"/>
        <w:rPr>
          <w:rFonts w:ascii="Times New Roman" w:hAnsi="Times New Roman" w:cs="Times New Roman"/>
          <w:b/>
          <w:bCs/>
          <w:spacing w:val="50"/>
          <w:sz w:val="28"/>
          <w:szCs w:val="28"/>
        </w:rPr>
      </w:pPr>
      <w:r w:rsidRPr="00E4639D">
        <w:rPr>
          <w:rFonts w:ascii="Times New Roman" w:hAnsi="Times New Roman" w:cs="Times New Roman"/>
          <w:b/>
          <w:bCs/>
          <w:spacing w:val="50"/>
          <w:sz w:val="28"/>
          <w:szCs w:val="28"/>
        </w:rPr>
        <w:t>Uznesenie</w:t>
      </w:r>
    </w:p>
    <w:p w:rsidR="00630795" w:rsidRPr="00E4639D" w:rsidP="00630795">
      <w:pPr>
        <w:bidi w:val="0"/>
        <w:jc w:val="center"/>
        <w:rPr>
          <w:rFonts w:ascii="Times New Roman" w:hAnsi="Times New Roman" w:cs="Times New Roman"/>
          <w:b/>
          <w:bCs/>
          <w:spacing w:val="50"/>
          <w:sz w:val="16"/>
          <w:szCs w:val="16"/>
        </w:rPr>
      </w:pPr>
    </w:p>
    <w:p w:rsidR="00630795" w:rsidRPr="00E4639D" w:rsidP="00630795">
      <w:pPr>
        <w:bidi w:val="0"/>
        <w:jc w:val="center"/>
        <w:rPr>
          <w:rFonts w:ascii="Times New Roman" w:hAnsi="Times New Roman" w:cs="Times New Roman"/>
          <w:b/>
        </w:rPr>
      </w:pPr>
      <w:r w:rsidRPr="00E4639D">
        <w:rPr>
          <w:rFonts w:ascii="Times New Roman" w:hAnsi="Times New Roman" w:cs="Times New Roman"/>
          <w:b/>
        </w:rPr>
        <w:t>Výboru Národnej rady Slovenskej republiky</w:t>
      </w:r>
    </w:p>
    <w:p w:rsidR="00630795" w:rsidRPr="00E4639D" w:rsidP="00630795">
      <w:pPr>
        <w:bidi w:val="0"/>
        <w:jc w:val="center"/>
        <w:rPr>
          <w:rFonts w:ascii="Times New Roman" w:hAnsi="Times New Roman" w:cs="Times New Roman"/>
          <w:b/>
        </w:rPr>
      </w:pPr>
      <w:r w:rsidRPr="00E4639D">
        <w:rPr>
          <w:rFonts w:ascii="Times New Roman" w:hAnsi="Times New Roman" w:cs="Times New Roman"/>
          <w:b/>
        </w:rPr>
        <w:t>pre sociálne veci</w:t>
      </w:r>
    </w:p>
    <w:p w:rsidR="00630795" w:rsidRPr="00E4639D" w:rsidP="00630795">
      <w:pPr>
        <w:bidi w:val="0"/>
        <w:jc w:val="center"/>
        <w:rPr>
          <w:rFonts w:ascii="Times New Roman" w:hAnsi="Times New Roman" w:cs="Times New Roman"/>
          <w:b/>
        </w:rPr>
      </w:pPr>
      <w:r w:rsidRPr="00E4639D">
        <w:rPr>
          <w:rFonts w:ascii="Times New Roman" w:hAnsi="Times New Roman" w:cs="Times New Roman"/>
          <w:b/>
        </w:rPr>
        <w:t>z</w:t>
      </w:r>
      <w:r w:rsidR="000E24C7">
        <w:rPr>
          <w:rFonts w:ascii="Times New Roman" w:hAnsi="Times New Roman" w:cs="Times New Roman"/>
          <w:b/>
        </w:rPr>
        <w:t xml:space="preserve"> 13</w:t>
      </w:r>
      <w:r w:rsidRPr="00E4639D">
        <w:rPr>
          <w:rFonts w:ascii="Times New Roman" w:hAnsi="Times New Roman" w:cs="Times New Roman"/>
          <w:b/>
        </w:rPr>
        <w:t>.</w:t>
      </w:r>
      <w:r>
        <w:rPr>
          <w:rFonts w:ascii="Times New Roman" w:hAnsi="Times New Roman" w:cs="Times New Roman"/>
          <w:b/>
        </w:rPr>
        <w:t xml:space="preserve"> </w:t>
      </w:r>
      <w:r w:rsidR="00936385">
        <w:rPr>
          <w:rFonts w:ascii="Times New Roman" w:hAnsi="Times New Roman" w:cs="Times New Roman"/>
          <w:b/>
        </w:rPr>
        <w:t>marca</w:t>
      </w:r>
      <w:r>
        <w:rPr>
          <w:rFonts w:ascii="Times New Roman" w:hAnsi="Times New Roman" w:cs="Times New Roman"/>
          <w:b/>
        </w:rPr>
        <w:t xml:space="preserve"> </w:t>
      </w:r>
      <w:r w:rsidRPr="00E4639D">
        <w:rPr>
          <w:rFonts w:ascii="Times New Roman" w:hAnsi="Times New Roman" w:cs="Times New Roman"/>
          <w:b/>
        </w:rPr>
        <w:t>201</w:t>
      </w:r>
      <w:r>
        <w:rPr>
          <w:rFonts w:ascii="Times New Roman" w:hAnsi="Times New Roman" w:cs="Times New Roman"/>
          <w:b/>
        </w:rPr>
        <w:t>8</w:t>
      </w:r>
    </w:p>
    <w:p w:rsidR="00630795" w:rsidP="00630795">
      <w:pPr>
        <w:tabs>
          <w:tab w:val="left" w:pos="-1985"/>
          <w:tab w:val="left" w:pos="709"/>
          <w:tab w:val="left" w:pos="1077"/>
        </w:tabs>
        <w:bidi w:val="0"/>
        <w:jc w:val="both"/>
        <w:rPr>
          <w:rFonts w:ascii="Times New Roman" w:hAnsi="Times New Roman" w:cs="Times New Roman"/>
          <w:lang w:val="cs-CZ"/>
        </w:rPr>
      </w:pPr>
    </w:p>
    <w:p w:rsidR="006374F5" w:rsidRPr="00665100" w:rsidP="00630795">
      <w:pPr>
        <w:tabs>
          <w:tab w:val="left" w:pos="-1985"/>
          <w:tab w:val="left" w:pos="709"/>
          <w:tab w:val="left" w:pos="1077"/>
        </w:tabs>
        <w:bidi w:val="0"/>
        <w:jc w:val="both"/>
        <w:rPr>
          <w:rFonts w:ascii="Times New Roman" w:hAnsi="Times New Roman" w:cs="Times New Roman"/>
          <w:lang w:val="cs-CZ"/>
        </w:rPr>
      </w:pPr>
    </w:p>
    <w:p w:rsidR="00630795" w:rsidRPr="00B37E68" w:rsidP="00630795">
      <w:pPr>
        <w:bidi w:val="0"/>
        <w:jc w:val="both"/>
        <w:rPr>
          <w:rFonts w:ascii="Times New Roman" w:hAnsi="Times New Roman" w:cs="Times New Roman"/>
          <w:bCs/>
        </w:rPr>
      </w:pPr>
      <w:r w:rsidRPr="00665100">
        <w:rPr>
          <w:rFonts w:ascii="Times New Roman" w:hAnsi="Times New Roman" w:cs="Times New Roman"/>
        </w:rPr>
        <w:t>k </w:t>
      </w:r>
      <w:r w:rsidRPr="00B37E68">
        <w:rPr>
          <w:rFonts w:ascii="Times New Roman" w:hAnsi="Times New Roman" w:cs="Times New Roman"/>
        </w:rPr>
        <w:t xml:space="preserve">vládnemu </w:t>
      </w:r>
      <w:r w:rsidRPr="00B37E68">
        <w:rPr>
          <w:rFonts w:ascii="Times New Roman" w:hAnsi="Times New Roman" w:cs="Times New Roman"/>
          <w:color w:val="000000"/>
        </w:rPr>
        <w:t>návrhu zákona</w:t>
      </w:r>
      <w:r w:rsidRPr="00B37E68">
        <w:rPr>
          <w:rFonts w:ascii="Times New Roman" w:hAnsi="Times New Roman" w:cs="Times New Roman"/>
          <w:noProof/>
        </w:rPr>
        <w:t xml:space="preserve">, </w:t>
      </w:r>
      <w:r w:rsidRPr="003B496E" w:rsidR="00936385">
        <w:rPr>
          <w:rFonts w:ascii="Times New Roman" w:hAnsi="Times New Roman"/>
          <w:noProof/>
        </w:rPr>
        <w:t xml:space="preserve">ktorým sa mení a dopĺňa zákon č. 650/2004 Z. z. o doplnkovom dôchodkovom sporení a o zmene a doplnení niektorých zákonov v znení neskorších predpisov a ktorým sa menia a dopĺňajú niektoré zákony </w:t>
      </w:r>
      <w:r w:rsidRPr="003B496E" w:rsidR="00936385">
        <w:rPr>
          <w:rFonts w:ascii="Times New Roman" w:hAnsi="Times New Roman"/>
          <w:b/>
        </w:rPr>
        <w:t>(tlač 818)</w:t>
      </w:r>
    </w:p>
    <w:p w:rsidR="00630795" w:rsidRPr="00665100" w:rsidP="00630795">
      <w:pPr>
        <w:bidi w:val="0"/>
        <w:ind w:left="708"/>
        <w:jc w:val="both"/>
        <w:rPr>
          <w:rFonts w:ascii="Times New Roman" w:hAnsi="Times New Roman" w:cs="Times New Roman"/>
        </w:rPr>
      </w:pPr>
    </w:p>
    <w:p w:rsidR="00630795" w:rsidRPr="00E4639D" w:rsidP="00630795">
      <w:pPr>
        <w:bidi w:val="0"/>
        <w:ind w:left="708"/>
        <w:jc w:val="both"/>
        <w:rPr>
          <w:rFonts w:ascii="Times New Roman" w:hAnsi="Times New Roman" w:cs="Times New Roman"/>
          <w:b/>
        </w:rPr>
      </w:pPr>
      <w:r w:rsidRPr="00E4639D">
        <w:rPr>
          <w:rFonts w:ascii="Times New Roman" w:hAnsi="Times New Roman" w:cs="Times New Roman"/>
          <w:b/>
        </w:rPr>
        <w:t xml:space="preserve">Výbor Národnej rady Slovenskej republiky pre sociálne veci </w:t>
      </w:r>
    </w:p>
    <w:p w:rsidR="00630795" w:rsidRPr="00E4639D" w:rsidP="00630795">
      <w:pPr>
        <w:bidi w:val="0"/>
        <w:ind w:left="708"/>
        <w:jc w:val="both"/>
        <w:rPr>
          <w:rFonts w:ascii="Times New Roman" w:hAnsi="Times New Roman" w:cs="Times New Roman"/>
          <w:b/>
        </w:rPr>
      </w:pPr>
      <w:r w:rsidRPr="00E4639D">
        <w:rPr>
          <w:rFonts w:ascii="Times New Roman" w:hAnsi="Times New Roman" w:cs="Times New Roman"/>
          <w:b/>
        </w:rPr>
        <w:t>po prerokovaní</w:t>
      </w:r>
    </w:p>
    <w:p w:rsidR="00630795" w:rsidRPr="00E4639D" w:rsidP="00630795">
      <w:pPr>
        <w:bidi w:val="0"/>
        <w:ind w:left="708"/>
        <w:jc w:val="both"/>
        <w:rPr>
          <w:rFonts w:ascii="Times New Roman" w:hAnsi="Times New Roman" w:cs="Times New Roman"/>
          <w:b/>
        </w:rPr>
      </w:pPr>
    </w:p>
    <w:p w:rsidR="00630795" w:rsidRPr="00E4639D" w:rsidP="00630795">
      <w:pPr>
        <w:numPr>
          <w:numId w:val="1"/>
        </w:numPr>
        <w:bidi w:val="0"/>
        <w:rPr>
          <w:rFonts w:ascii="Times New Roman" w:hAnsi="Times New Roman" w:cs="Times New Roman"/>
          <w:b/>
          <w:spacing w:val="38"/>
          <w:lang w:val="cs-CZ"/>
        </w:rPr>
      </w:pPr>
      <w:r w:rsidRPr="00E4639D">
        <w:rPr>
          <w:rFonts w:ascii="Times New Roman" w:hAnsi="Times New Roman" w:cs="Times New Roman"/>
          <w:b/>
          <w:spacing w:val="38"/>
        </w:rPr>
        <w:t>súhlasí</w:t>
      </w:r>
    </w:p>
    <w:p w:rsidR="00630795" w:rsidRPr="00E4639D" w:rsidP="00630795">
      <w:pPr>
        <w:tabs>
          <w:tab w:val="left" w:pos="-1985"/>
          <w:tab w:val="left" w:pos="709"/>
          <w:tab w:val="left" w:pos="1077"/>
        </w:tabs>
        <w:bidi w:val="0"/>
        <w:jc w:val="both"/>
        <w:rPr>
          <w:rFonts w:ascii="Times New Roman" w:hAnsi="Times New Roman" w:cs="Times New Roman"/>
        </w:rPr>
      </w:pPr>
    </w:p>
    <w:p w:rsidR="00630795" w:rsidRPr="00E4639D" w:rsidP="00630795">
      <w:pPr>
        <w:bidi w:val="0"/>
        <w:jc w:val="both"/>
        <w:rPr>
          <w:rFonts w:ascii="Times New Roman" w:hAnsi="Times New Roman" w:cs="Times New Roman"/>
        </w:rPr>
      </w:pPr>
      <w:r w:rsidRPr="00E4639D">
        <w:rPr>
          <w:rFonts w:ascii="Times New Roman" w:hAnsi="Times New Roman" w:cs="Times New Roman"/>
        </w:rPr>
        <w:tab/>
        <w:t xml:space="preserve">     s vládnym návrhom </w:t>
      </w:r>
      <w:r w:rsidRPr="00E4639D">
        <w:rPr>
          <w:rFonts w:ascii="Times New Roman" w:hAnsi="Times New Roman" w:cs="Times New Roman"/>
          <w:color w:val="000000"/>
        </w:rPr>
        <w:t>zákona</w:t>
      </w:r>
      <w:r w:rsidRPr="00E4639D">
        <w:rPr>
          <w:rFonts w:ascii="Times New Roman" w:hAnsi="Times New Roman" w:cs="Times New Roman"/>
          <w:noProof/>
          <w:sz w:val="22"/>
        </w:rPr>
        <w:t>,</w:t>
      </w:r>
      <w:r w:rsidRPr="00F80D87">
        <w:rPr>
          <w:rFonts w:ascii="Times New Roman" w:hAnsi="Times New Roman"/>
        </w:rPr>
        <w:t xml:space="preserve"> </w:t>
      </w:r>
      <w:r w:rsidRPr="003B496E" w:rsidR="00936385">
        <w:rPr>
          <w:rFonts w:ascii="Times New Roman" w:hAnsi="Times New Roman"/>
          <w:noProof/>
        </w:rPr>
        <w:t xml:space="preserve">ktorým sa mení a dopĺňa zákon č. 650/2004 Z. z. o doplnkovom dôchodkovom sporení a o zmene a doplnení niektorých zákonov v znení neskorších predpisov a ktorým sa menia a dopĺňajú niektoré zákony </w:t>
      </w:r>
      <w:r w:rsidRPr="003B496E" w:rsidR="00936385">
        <w:rPr>
          <w:rFonts w:ascii="Times New Roman" w:hAnsi="Times New Roman"/>
          <w:b/>
        </w:rPr>
        <w:t>(tlač 818)</w:t>
      </w:r>
      <w:r w:rsidRPr="00E4639D">
        <w:rPr>
          <w:rFonts w:ascii="Times New Roman" w:hAnsi="Times New Roman" w:cs="Times New Roman"/>
        </w:rPr>
        <w:t>;</w:t>
      </w:r>
    </w:p>
    <w:p w:rsidR="00630795" w:rsidRPr="00E4639D" w:rsidP="00630795">
      <w:pPr>
        <w:tabs>
          <w:tab w:val="left" w:pos="-1985"/>
          <w:tab w:val="left" w:pos="709"/>
          <w:tab w:val="left" w:pos="1077"/>
        </w:tabs>
        <w:bidi w:val="0"/>
        <w:jc w:val="both"/>
        <w:rPr>
          <w:rFonts w:ascii="Times New Roman" w:hAnsi="Times New Roman" w:cs="Times New Roman"/>
        </w:rPr>
      </w:pPr>
    </w:p>
    <w:p w:rsidR="00630795" w:rsidRPr="00E4639D" w:rsidP="00630795">
      <w:pPr>
        <w:numPr>
          <w:numId w:val="1"/>
        </w:numPr>
        <w:bidi w:val="0"/>
        <w:rPr>
          <w:rFonts w:ascii="Times New Roman" w:hAnsi="Times New Roman" w:cs="Times New Roman"/>
          <w:b/>
          <w:spacing w:val="38"/>
          <w:lang w:val="cs-CZ"/>
        </w:rPr>
      </w:pPr>
      <w:r w:rsidRPr="00E4639D">
        <w:rPr>
          <w:rFonts w:ascii="Times New Roman" w:hAnsi="Times New Roman" w:cs="Times New Roman"/>
          <w:b/>
          <w:spacing w:val="38"/>
        </w:rPr>
        <w:t>odporúča</w:t>
      </w:r>
    </w:p>
    <w:p w:rsidR="00630795" w:rsidRPr="00E4639D" w:rsidP="00630795">
      <w:pPr>
        <w:tabs>
          <w:tab w:val="left" w:pos="-1985"/>
          <w:tab w:val="left" w:pos="709"/>
          <w:tab w:val="left" w:pos="1077"/>
        </w:tabs>
        <w:bidi w:val="0"/>
        <w:jc w:val="both"/>
        <w:rPr>
          <w:rFonts w:ascii="Times New Roman" w:hAnsi="Times New Roman" w:cs="Times New Roman"/>
          <w:b/>
          <w:bCs/>
        </w:rPr>
      </w:pPr>
      <w:r w:rsidRPr="00E4639D">
        <w:rPr>
          <w:rFonts w:ascii="Times New Roman" w:hAnsi="Times New Roman" w:cs="Times New Roman"/>
          <w:b/>
          <w:bCs/>
        </w:rPr>
        <w:t xml:space="preserve">           </w:t>
      </w:r>
      <w:r>
        <w:rPr>
          <w:rFonts w:ascii="Times New Roman" w:hAnsi="Times New Roman" w:cs="Times New Roman"/>
          <w:b/>
          <w:bCs/>
        </w:rPr>
        <w:tab/>
      </w:r>
      <w:r w:rsidRPr="00E4639D">
        <w:rPr>
          <w:rFonts w:ascii="Times New Roman" w:hAnsi="Times New Roman" w:cs="Times New Roman"/>
          <w:b/>
          <w:bCs/>
        </w:rPr>
        <w:tab/>
        <w:t>Národnej rade Slovenskej republiky</w:t>
      </w:r>
    </w:p>
    <w:p w:rsidR="00630795" w:rsidRPr="00E4639D" w:rsidP="00630795">
      <w:pPr>
        <w:tabs>
          <w:tab w:val="left" w:pos="-1985"/>
          <w:tab w:val="left" w:pos="709"/>
          <w:tab w:val="left" w:pos="1077"/>
        </w:tabs>
        <w:bidi w:val="0"/>
        <w:jc w:val="both"/>
        <w:rPr>
          <w:rFonts w:ascii="Times New Roman" w:hAnsi="Times New Roman" w:cs="Times New Roman"/>
          <w:b/>
          <w:bCs/>
        </w:rPr>
      </w:pPr>
    </w:p>
    <w:p w:rsidR="00630795" w:rsidRPr="00E4639D" w:rsidP="00630795">
      <w:pPr>
        <w:bidi w:val="0"/>
        <w:jc w:val="both"/>
        <w:rPr>
          <w:rFonts w:ascii="Times New Roman" w:hAnsi="Times New Roman" w:cs="Times New Roman"/>
        </w:rPr>
      </w:pPr>
      <w:r w:rsidRPr="00E4639D">
        <w:rPr>
          <w:rFonts w:ascii="Times New Roman" w:hAnsi="Times New Roman" w:cs="Times New Roman"/>
        </w:rPr>
        <w:tab/>
        <w:t xml:space="preserve">      vládny návrh </w:t>
      </w:r>
      <w:r w:rsidRPr="00E4639D">
        <w:rPr>
          <w:rFonts w:ascii="Times New Roman" w:hAnsi="Times New Roman" w:cs="Times New Roman"/>
          <w:color w:val="000000"/>
        </w:rPr>
        <w:t>zákona</w:t>
      </w:r>
      <w:r w:rsidRPr="00E4639D">
        <w:rPr>
          <w:rFonts w:ascii="Times New Roman" w:hAnsi="Times New Roman" w:cs="Times New Roman"/>
          <w:noProof/>
          <w:sz w:val="22"/>
        </w:rPr>
        <w:t xml:space="preserve">, </w:t>
      </w:r>
      <w:r w:rsidRPr="003B496E" w:rsidR="00936385">
        <w:rPr>
          <w:rFonts w:ascii="Times New Roman" w:hAnsi="Times New Roman"/>
          <w:noProof/>
        </w:rPr>
        <w:t xml:space="preserve">ktorým sa mení a dopĺňa zákon č. 650/2004 Z. z. o doplnkovom dôchodkovom sporení a o zmene a doplnení niektorých zákonov v znení neskorších predpisov a ktorým sa menia a dopĺňajú niektoré zákony </w:t>
      </w:r>
      <w:r w:rsidRPr="003B496E" w:rsidR="00936385">
        <w:rPr>
          <w:rFonts w:ascii="Times New Roman" w:hAnsi="Times New Roman"/>
          <w:b/>
        </w:rPr>
        <w:t>(tlač 818)</w:t>
      </w:r>
      <w:r>
        <w:rPr>
          <w:rFonts w:ascii="Times New Roman" w:hAnsi="Times New Roman"/>
          <w:b/>
        </w:rPr>
        <w:t xml:space="preserve"> </w:t>
      </w:r>
      <w:r w:rsidRPr="00E4639D">
        <w:rPr>
          <w:rFonts w:ascii="Times New Roman" w:hAnsi="Times New Roman" w:cs="Times New Roman"/>
          <w:b/>
        </w:rPr>
        <w:t>schváliť</w:t>
      </w:r>
      <w:r>
        <w:rPr>
          <w:rFonts w:ascii="Times New Roman" w:hAnsi="Times New Roman" w:cs="Times New Roman"/>
          <w:bCs/>
        </w:rPr>
        <w:t xml:space="preserve"> </w:t>
      </w:r>
      <w:r w:rsidRPr="00E4639D">
        <w:rPr>
          <w:rFonts w:ascii="Times New Roman" w:hAnsi="Times New Roman" w:cs="Times New Roman"/>
        </w:rPr>
        <w:t>s</w:t>
      </w:r>
      <w:r w:rsidRPr="00E4639D">
        <w:rPr>
          <w:rFonts w:ascii="Times New Roman" w:hAnsi="Times New Roman" w:cs="Times New Roman"/>
          <w:bCs/>
        </w:rPr>
        <w:t> pozmeňujúcimi a doplňujúcimi návrhmi, ktoré tvoria prílohu tohto uznesenia</w:t>
      </w:r>
      <w:r w:rsidRPr="00E4639D">
        <w:rPr>
          <w:rFonts w:ascii="Times New Roman" w:hAnsi="Times New Roman" w:cs="Times New Roman"/>
        </w:rPr>
        <w:t>;</w:t>
      </w:r>
    </w:p>
    <w:p w:rsidR="00630795" w:rsidRPr="00E4639D" w:rsidP="00630795">
      <w:pPr>
        <w:bidi w:val="0"/>
        <w:jc w:val="both"/>
        <w:rPr>
          <w:rFonts w:ascii="Times New Roman" w:hAnsi="Times New Roman" w:cs="Times New Roman"/>
        </w:rPr>
      </w:pPr>
    </w:p>
    <w:p w:rsidR="00630795" w:rsidRPr="007A42D7" w:rsidP="0037098F">
      <w:pPr>
        <w:numPr>
          <w:numId w:val="1"/>
        </w:numPr>
        <w:bidi w:val="0"/>
        <w:ind w:left="1065"/>
        <w:jc w:val="both"/>
        <w:rPr>
          <w:rFonts w:ascii="Times New Roman" w:hAnsi="Times New Roman" w:cs="Times New Roman"/>
          <w:b/>
          <w:bCs/>
        </w:rPr>
      </w:pPr>
      <w:r w:rsidRPr="007A42D7">
        <w:rPr>
          <w:rFonts w:ascii="Times New Roman" w:hAnsi="Times New Roman" w:cs="Times New Roman"/>
          <w:b/>
          <w:spacing w:val="38"/>
        </w:rPr>
        <w:t>poveruje</w:t>
      </w:r>
    </w:p>
    <w:p w:rsidR="00630795" w:rsidRPr="00901FC9" w:rsidP="00630795">
      <w:pPr>
        <w:bidi w:val="0"/>
        <w:rPr>
          <w:rFonts w:ascii="Times New Roman" w:hAnsi="Times New Roman"/>
        </w:rPr>
      </w:pPr>
    </w:p>
    <w:p w:rsidR="00630795" w:rsidP="0037098F">
      <w:pPr>
        <w:tabs>
          <w:tab w:val="left" w:pos="1134"/>
        </w:tabs>
        <w:bidi w:val="0"/>
        <w:ind w:firstLine="851"/>
        <w:jc w:val="both"/>
        <w:rPr>
          <w:rFonts w:ascii="Times New Roman" w:hAnsi="Times New Roman"/>
          <w:bCs/>
        </w:rPr>
      </w:pPr>
      <w:r w:rsidR="0037098F">
        <w:rPr>
          <w:rFonts w:ascii="Times New Roman" w:hAnsi="Times New Roman"/>
          <w:bCs/>
        </w:rPr>
        <w:t xml:space="preserve">    </w:t>
      </w:r>
      <w:r w:rsidRPr="00005ABD">
        <w:rPr>
          <w:rFonts w:ascii="Times New Roman" w:hAnsi="Times New Roman"/>
          <w:bCs/>
        </w:rPr>
        <w:t>predsedníčku výboru, aby výsledky rokovania Výboru Národnej rady Slovenskej republiky pre sociálne veci v druhom čítaní spolu s výsledkami rokovania ostatných výborov spracovala do písomnej spoločnej správy výborov Národnej rady Slovenskej republiky podľa § 79 ods. 1 zákona Národnej rady Slovenskej republiky č. 350/1996 Z. z. o rokovacom poriadku Národnej rady Slovenskej republiky v znení neskorších predpisov a predložil</w:t>
      </w:r>
      <w:r>
        <w:rPr>
          <w:rFonts w:ascii="Times New Roman" w:hAnsi="Times New Roman"/>
          <w:bCs/>
        </w:rPr>
        <w:t>a</w:t>
      </w:r>
      <w:r w:rsidRPr="00005ABD">
        <w:rPr>
          <w:rFonts w:ascii="Times New Roman" w:hAnsi="Times New Roman"/>
          <w:bCs/>
        </w:rPr>
        <w:t xml:space="preserve"> ju na schválenie.</w:t>
      </w:r>
    </w:p>
    <w:p w:rsidR="00630795" w:rsidP="00630795">
      <w:pPr>
        <w:bidi w:val="0"/>
        <w:jc w:val="both"/>
        <w:rPr>
          <w:rFonts w:ascii="Times New Roman" w:hAnsi="Times New Roman"/>
          <w:bCs/>
        </w:rPr>
      </w:pPr>
    </w:p>
    <w:p w:rsidR="00630795" w:rsidRPr="00E4639D" w:rsidP="00630795">
      <w:pPr>
        <w:bidi w:val="0"/>
        <w:ind w:left="6372"/>
        <w:rPr>
          <w:rFonts w:ascii="Times New Roman" w:hAnsi="Times New Roman" w:cs="Times New Roman"/>
          <w:b/>
        </w:rPr>
      </w:pPr>
    </w:p>
    <w:p w:rsidR="00630795" w:rsidRPr="00E4639D" w:rsidP="00630795">
      <w:pPr>
        <w:bidi w:val="0"/>
        <w:ind w:left="5664" w:firstLine="708"/>
        <w:rPr>
          <w:rStyle w:val="Strong"/>
        </w:rPr>
      </w:pPr>
      <w:r w:rsidRPr="00E4639D">
        <w:rPr>
          <w:rStyle w:val="Strong"/>
        </w:rPr>
        <w:t>Alena  B a š i s t o v á</w:t>
      </w:r>
    </w:p>
    <w:p w:rsidR="00630795" w:rsidRPr="00E4639D" w:rsidP="00630795">
      <w:pPr>
        <w:bidi w:val="0"/>
        <w:ind w:left="4248" w:firstLine="708"/>
        <w:rPr>
          <w:rStyle w:val="Strong"/>
        </w:rPr>
      </w:pPr>
      <w:r w:rsidRPr="00E4639D">
        <w:rPr>
          <w:rStyle w:val="Strong"/>
        </w:rPr>
        <w:t xml:space="preserve">                        predsedníčka výboru</w:t>
      </w:r>
    </w:p>
    <w:p w:rsidR="00630795" w:rsidRPr="00E4639D" w:rsidP="00630795">
      <w:pPr>
        <w:tabs>
          <w:tab w:val="left" w:pos="5760"/>
        </w:tabs>
        <w:bidi w:val="0"/>
        <w:rPr>
          <w:rStyle w:val="Strong"/>
          <w:rFonts w:eastAsiaTheme="majorEastAsia" w:hint="default"/>
        </w:rPr>
      </w:pPr>
      <w:r w:rsidRPr="00E4639D">
        <w:rPr>
          <w:rStyle w:val="Strong"/>
          <w:rFonts w:eastAsiaTheme="majorEastAsia" w:hint="default"/>
        </w:rPr>
        <w:t>overovatelia vý</w:t>
      </w:r>
      <w:r w:rsidRPr="00E4639D">
        <w:rPr>
          <w:rStyle w:val="Strong"/>
          <w:rFonts w:eastAsiaTheme="majorEastAsia" w:hint="default"/>
        </w:rPr>
        <w:t>boru:</w:t>
      </w:r>
    </w:p>
    <w:p w:rsidR="00630795" w:rsidRPr="00E4639D" w:rsidP="00630795">
      <w:pPr>
        <w:bidi w:val="0"/>
        <w:rPr>
          <w:rFonts w:ascii="Times New Roman" w:hAnsi="Times New Roman" w:cs="Times New Roman"/>
          <w:iCs/>
        </w:rPr>
      </w:pPr>
      <w:r w:rsidRPr="00E4639D">
        <w:rPr>
          <w:rFonts w:ascii="Times New Roman" w:hAnsi="Times New Roman" w:cs="Times New Roman"/>
          <w:b/>
          <w:bCs/>
          <w:iCs/>
        </w:rPr>
        <w:t xml:space="preserve">Petra Krištúfková </w:t>
      </w:r>
    </w:p>
    <w:p w:rsidR="00630795" w:rsidP="00630795">
      <w:pPr>
        <w:bidi w:val="0"/>
        <w:rPr>
          <w:rFonts w:ascii="Times New Roman" w:hAnsi="Times New Roman" w:cs="Times New Roman"/>
          <w:b/>
          <w:bCs/>
          <w:iCs/>
        </w:rPr>
      </w:pPr>
      <w:r w:rsidRPr="00E4639D">
        <w:rPr>
          <w:rFonts w:ascii="Times New Roman" w:hAnsi="Times New Roman" w:cs="Times New Roman"/>
          <w:b/>
          <w:bCs/>
          <w:iCs/>
        </w:rPr>
        <w:t>Magdaléna Kuciaňová</w:t>
      </w:r>
    </w:p>
    <w:p w:rsidR="00630795" w:rsidP="00630795">
      <w:pPr>
        <w:bidi w:val="0"/>
        <w:rPr>
          <w:rFonts w:ascii="Times New Roman" w:hAnsi="Times New Roman" w:cs="Times New Roman"/>
          <w:b/>
          <w:caps/>
        </w:rPr>
      </w:pPr>
      <w:r>
        <w:rPr>
          <w:rFonts w:ascii="Times New Roman" w:hAnsi="Times New Roman" w:cs="Times New Roman"/>
          <w:b/>
          <w:caps/>
        </w:rPr>
        <w:t>Výbor Národnej rady Slovenskej republiky</w:t>
      </w:r>
    </w:p>
    <w:p w:rsidR="00630795" w:rsidP="00630795">
      <w:pPr>
        <w:bidi w:val="0"/>
        <w:rPr>
          <w:b/>
          <w:caps/>
        </w:rPr>
      </w:pPr>
      <w:r>
        <w:rPr>
          <w:rFonts w:ascii="Times New Roman" w:hAnsi="Times New Roman" w:cs="Times New Roman"/>
          <w:b/>
          <w:caps/>
        </w:rPr>
        <w:t xml:space="preserve">                             pre sociálne veci</w:t>
      </w:r>
    </w:p>
    <w:p w:rsidR="00630795" w:rsidRPr="00E4639D" w:rsidP="00630795">
      <w:pPr>
        <w:bidi w:val="0"/>
        <w:jc w:val="both"/>
        <w:rPr>
          <w:rFonts w:ascii="Times New Roman" w:hAnsi="Times New Roman" w:cs="Times New Roman"/>
          <w:b/>
          <w:bCs/>
        </w:rPr>
      </w:pPr>
    </w:p>
    <w:p w:rsidR="00630795" w:rsidRPr="00D13B0C" w:rsidP="00630795">
      <w:pPr>
        <w:bidi w:val="0"/>
        <w:ind w:firstLine="708"/>
        <w:jc w:val="both"/>
        <w:rPr>
          <w:rFonts w:ascii="Times New Roman" w:hAnsi="Times New Roman" w:cs="Times New Roman"/>
          <w:b/>
          <w:sz w:val="22"/>
          <w:szCs w:val="22"/>
        </w:rPr>
      </w:pPr>
      <w:r w:rsidRPr="00E4639D">
        <w:rPr>
          <w:rFonts w:ascii="Times New Roman" w:hAnsi="Times New Roman" w:cs="Times New Roman"/>
          <w:sz w:val="22"/>
          <w:szCs w:val="22"/>
        </w:rPr>
        <w:tab/>
        <w:tab/>
        <w:tab/>
        <w:tab/>
        <w:tab/>
        <w:tab/>
        <w:tab/>
        <w:tab/>
      </w:r>
      <w:r w:rsidRPr="00D13B0C">
        <w:rPr>
          <w:rFonts w:ascii="Times New Roman" w:hAnsi="Times New Roman" w:cs="Times New Roman"/>
          <w:b/>
          <w:sz w:val="22"/>
          <w:szCs w:val="22"/>
        </w:rPr>
        <w:t xml:space="preserve">Príloha k uzneseniu č. </w:t>
      </w:r>
      <w:r w:rsidR="006374F5">
        <w:rPr>
          <w:rFonts w:ascii="Times New Roman" w:hAnsi="Times New Roman" w:cs="Times New Roman"/>
          <w:b/>
          <w:sz w:val="22"/>
          <w:szCs w:val="22"/>
        </w:rPr>
        <w:t>98</w:t>
      </w:r>
    </w:p>
    <w:p w:rsidR="00630795" w:rsidRPr="00E4639D" w:rsidP="00630795">
      <w:pPr>
        <w:bidi w:val="0"/>
        <w:jc w:val="center"/>
        <w:rPr>
          <w:rFonts w:ascii="Times New Roman" w:hAnsi="Times New Roman" w:cs="Times New Roman"/>
        </w:rPr>
      </w:pPr>
    </w:p>
    <w:p w:rsidR="00630795" w:rsidRPr="00E4639D" w:rsidP="00630795">
      <w:pPr>
        <w:bidi w:val="0"/>
        <w:jc w:val="both"/>
        <w:rPr>
          <w:rFonts w:ascii="Times New Roman" w:hAnsi="Times New Roman" w:cs="Times New Roman"/>
          <w:lang w:val="cs-CZ"/>
        </w:rPr>
      </w:pPr>
    </w:p>
    <w:p w:rsidR="00630795" w:rsidRPr="00E4639D" w:rsidP="00630795">
      <w:pPr>
        <w:bidi w:val="0"/>
        <w:jc w:val="center"/>
        <w:rPr>
          <w:rFonts w:ascii="Times New Roman" w:hAnsi="Times New Roman" w:cs="Times New Roman"/>
          <w:b/>
        </w:rPr>
      </w:pPr>
      <w:r w:rsidRPr="00E4639D">
        <w:rPr>
          <w:rFonts w:ascii="Times New Roman" w:hAnsi="Times New Roman" w:cs="Times New Roman"/>
          <w:b/>
        </w:rPr>
        <w:t>Pozmeňujúce a doplňujúce návrhy</w:t>
      </w:r>
    </w:p>
    <w:p w:rsidR="00630795" w:rsidRPr="00E4639D" w:rsidP="00630795">
      <w:pPr>
        <w:bidi w:val="0"/>
        <w:jc w:val="center"/>
        <w:rPr>
          <w:rFonts w:ascii="Times New Roman" w:hAnsi="Times New Roman" w:cs="Times New Roman"/>
          <w:b/>
          <w:sz w:val="28"/>
          <w:szCs w:val="28"/>
          <w:lang w:val="cs-CZ"/>
        </w:rPr>
      </w:pPr>
    </w:p>
    <w:p w:rsidR="00630795" w:rsidRPr="00E4639D" w:rsidP="00630795">
      <w:pPr>
        <w:bidi w:val="0"/>
        <w:jc w:val="both"/>
        <w:rPr>
          <w:rFonts w:ascii="Times New Roman" w:hAnsi="Times New Roman" w:cs="Times New Roman"/>
          <w:lang w:val="cs-CZ"/>
        </w:rPr>
      </w:pPr>
    </w:p>
    <w:p w:rsidR="00936385" w:rsidP="00630795">
      <w:pPr>
        <w:bidi w:val="0"/>
        <w:jc w:val="both"/>
        <w:rPr>
          <w:rFonts w:ascii="Times New Roman" w:hAnsi="Times New Roman"/>
          <w:b/>
        </w:rPr>
      </w:pPr>
      <w:r w:rsidRPr="00E4639D" w:rsidR="00630795">
        <w:rPr>
          <w:rFonts w:ascii="Times New Roman" w:hAnsi="Times New Roman" w:cs="Times New Roman"/>
        </w:rPr>
        <w:t xml:space="preserve">k vládnemu návrhu </w:t>
      </w:r>
      <w:r w:rsidRPr="00E4639D" w:rsidR="00630795">
        <w:rPr>
          <w:rFonts w:ascii="Times New Roman" w:hAnsi="Times New Roman" w:cs="Times New Roman"/>
          <w:color w:val="000000"/>
        </w:rPr>
        <w:t>zákona</w:t>
      </w:r>
      <w:r w:rsidRPr="00E4639D" w:rsidR="00630795">
        <w:rPr>
          <w:rFonts w:ascii="Times New Roman" w:hAnsi="Times New Roman" w:cs="Times New Roman"/>
          <w:noProof/>
          <w:sz w:val="22"/>
        </w:rPr>
        <w:t>,</w:t>
      </w:r>
      <w:r w:rsidRPr="009C37F9" w:rsidR="009C37F9">
        <w:rPr>
          <w:rFonts w:ascii="Times New Roman" w:hAnsi="Times New Roman"/>
        </w:rPr>
        <w:t xml:space="preserve"> </w:t>
      </w:r>
      <w:r w:rsidRPr="003B496E">
        <w:rPr>
          <w:rFonts w:ascii="Times New Roman" w:hAnsi="Times New Roman"/>
          <w:noProof/>
        </w:rPr>
        <w:t xml:space="preserve">ktorým sa mení a dopĺňa zákon č. 650/2004 Z. z. o doplnkovom dôchodkovom sporení a o zmene a doplnení niektorých zákonov v znení neskorších predpisov a ktorým sa menia a dopĺňajú niektoré zákony </w:t>
      </w:r>
      <w:r w:rsidRPr="003B496E">
        <w:rPr>
          <w:rFonts w:ascii="Times New Roman" w:hAnsi="Times New Roman"/>
          <w:b/>
        </w:rPr>
        <w:t>(tlač 818)</w:t>
      </w:r>
    </w:p>
    <w:p w:rsidR="00630795" w:rsidP="00091668">
      <w:pPr>
        <w:bidi w:val="0"/>
        <w:jc w:val="both"/>
        <w:rPr>
          <w:rFonts w:ascii="Times New Roman" w:hAnsi="Times New Roman" w:cs="Times New Roman"/>
        </w:rPr>
      </w:pPr>
      <w:r w:rsidRPr="00E4639D">
        <w:rPr>
          <w:rFonts w:ascii="Times New Roman" w:hAnsi="Times New Roman" w:cs="Times New Roman"/>
          <w:color w:val="000000"/>
        </w:rPr>
        <w:t>___________________________________________________________________</w:t>
      </w:r>
      <w:r>
        <w:rPr>
          <w:rFonts w:ascii="Times New Roman" w:hAnsi="Times New Roman" w:cs="Times New Roman"/>
          <w:color w:val="000000"/>
        </w:rPr>
        <w:t>______</w:t>
      </w:r>
    </w:p>
    <w:p w:rsidR="006B3D58" w:rsidP="006B3D58">
      <w:pPr>
        <w:bidi w:val="0"/>
      </w:pPr>
    </w:p>
    <w:p w:rsidR="006B3D58" w:rsidP="006B3D58">
      <w:pPr>
        <w:numPr>
          <w:numId w:val="2"/>
        </w:numPr>
        <w:bidi w:val="0"/>
        <w:spacing w:line="360" w:lineRule="auto"/>
        <w:ind w:left="284" w:hanging="284"/>
        <w:jc w:val="both"/>
        <w:rPr>
          <w:rFonts w:ascii="Times New Roman" w:hAnsi="Times New Roman"/>
        </w:rPr>
      </w:pPr>
      <w:r>
        <w:rPr>
          <w:rFonts w:ascii="Times New Roman" w:hAnsi="Times New Roman"/>
        </w:rPr>
        <w:t>V čl. I bode 7 (§ 5a) sa za slová „vzťahu v“ vkladá slovo „inom“.</w:t>
      </w:r>
    </w:p>
    <w:p w:rsidR="006B3D58" w:rsidRPr="006B3D58" w:rsidP="006B3D58">
      <w:pPr>
        <w:bidi w:val="0"/>
        <w:ind w:left="2832"/>
        <w:jc w:val="both"/>
        <w:rPr>
          <w:rFonts w:ascii="Times New Roman" w:hAnsi="Times New Roman" w:cs="Times New Roman"/>
        </w:rPr>
      </w:pPr>
      <w:r w:rsidRPr="006B3D58">
        <w:rPr>
          <w:rFonts w:ascii="Times New Roman" w:hAnsi="Times New Roman" w:cs="Times New Roman"/>
        </w:rPr>
        <w:t>Navrhovanou úpravou sa spresňuje znenie definície odchádzajúceho zamestnanca, že tento bude vykonávať pracovnoprávny vzťah alebo obdobný právny vzťah v inom členskom štáte Európskej únie ako je Slovenská republika.</w:t>
      </w:r>
    </w:p>
    <w:p w:rsidR="006B3D58" w:rsidP="006B3D58">
      <w:pPr>
        <w:bidi w:val="0"/>
        <w:ind w:left="2832"/>
        <w:rPr>
          <w:rFonts w:ascii="Times New Roman" w:hAnsi="Times New Roman"/>
          <w:b/>
        </w:rPr>
      </w:pPr>
    </w:p>
    <w:p w:rsidR="006B3D58" w:rsidP="006B3D58">
      <w:pPr>
        <w:numPr>
          <w:numId w:val="2"/>
        </w:numPr>
        <w:bidi w:val="0"/>
        <w:spacing w:line="276" w:lineRule="auto"/>
        <w:ind w:left="284" w:hanging="284"/>
        <w:jc w:val="both"/>
        <w:rPr>
          <w:rFonts w:ascii="Times New Roman" w:hAnsi="Times New Roman"/>
        </w:rPr>
      </w:pPr>
      <w:r>
        <w:rPr>
          <w:rFonts w:ascii="Times New Roman" w:hAnsi="Times New Roman"/>
        </w:rPr>
        <w:t>V čl. I bode 8 (§ 6c) sa slová „sa na konci prvej vety“ nahrádzajú slovami „prvej vete sa na konci“.</w:t>
      </w:r>
    </w:p>
    <w:p w:rsidR="006B3D58" w:rsidP="006B3D58">
      <w:pPr>
        <w:pStyle w:val="BodyTextIndent"/>
        <w:bidi w:val="0"/>
        <w:ind w:left="2124"/>
        <w:rPr>
          <w:rFonts w:ascii="Times New Roman" w:hAnsi="Times New Roman"/>
        </w:rPr>
      </w:pPr>
      <w:r>
        <w:rPr>
          <w:rStyle w:val="Emphasis"/>
          <w:rFonts w:ascii="Times New Roman" w:hAnsi="Times New Roman"/>
          <w:i w:val="0"/>
        </w:rPr>
        <w:t>Ide o legislatívno-technickú úpravu novelizačného bodu</w:t>
      </w:r>
      <w:r>
        <w:rPr>
          <w:rFonts w:ascii="Times New Roman" w:hAnsi="Times New Roman"/>
        </w:rPr>
        <w:t>.</w:t>
      </w:r>
      <w:r w:rsidRPr="00341FC0">
        <w:rPr>
          <w:rFonts w:ascii="Times New Roman" w:hAnsi="Times New Roman"/>
        </w:rPr>
        <w:t xml:space="preserve"> </w:t>
      </w:r>
    </w:p>
    <w:p w:rsidR="00091668" w:rsidP="006B3D58">
      <w:pPr>
        <w:pStyle w:val="BodyTextIndent"/>
        <w:bidi w:val="0"/>
        <w:ind w:left="2124"/>
        <w:rPr>
          <w:rFonts w:ascii="Times New Roman" w:hAnsi="Times New Roman"/>
        </w:rPr>
      </w:pPr>
    </w:p>
    <w:p w:rsidR="006B3D58" w:rsidRPr="00091668" w:rsidP="00091668">
      <w:pPr>
        <w:pStyle w:val="ListParagraph"/>
        <w:numPr>
          <w:numId w:val="2"/>
        </w:numPr>
        <w:bidi w:val="0"/>
        <w:ind w:left="284" w:hanging="284"/>
        <w:rPr>
          <w:rFonts w:ascii="Times New Roman" w:hAnsi="Times New Roman"/>
          <w:sz w:val="24"/>
          <w:szCs w:val="24"/>
        </w:rPr>
      </w:pPr>
      <w:r w:rsidRPr="00091668">
        <w:rPr>
          <w:rFonts w:ascii="Times New Roman" w:hAnsi="Times New Roman"/>
          <w:sz w:val="24"/>
          <w:szCs w:val="24"/>
        </w:rPr>
        <w:t xml:space="preserve">V čl. I 22. bod znie: </w:t>
      </w:r>
    </w:p>
    <w:p w:rsidR="006B3D58" w:rsidRPr="002E0852" w:rsidP="006B3D58">
      <w:pPr>
        <w:pStyle w:val="ListParagraph"/>
        <w:widowControl w:val="0"/>
        <w:overflowPunct w:val="0"/>
        <w:bidi w:val="0"/>
        <w:adjustRightInd w:val="0"/>
        <w:spacing w:after="0" w:line="276" w:lineRule="auto"/>
        <w:ind w:left="354"/>
        <w:jc w:val="both"/>
        <w:rPr>
          <w:rFonts w:ascii="Times New Roman" w:hAnsi="Times New Roman"/>
          <w:sz w:val="24"/>
          <w:szCs w:val="24"/>
        </w:rPr>
      </w:pPr>
      <w:r w:rsidRPr="002E0852">
        <w:rPr>
          <w:rFonts w:ascii="Times New Roman" w:hAnsi="Times New Roman"/>
          <w:sz w:val="24"/>
          <w:szCs w:val="24"/>
        </w:rPr>
        <w:t>„22. V § 23 odsek 12 znie:</w:t>
      </w:r>
    </w:p>
    <w:p w:rsidR="006B3D58" w:rsidRPr="002E0852" w:rsidP="006B3D58">
      <w:pPr>
        <w:pStyle w:val="ListParagraph"/>
        <w:bidi w:val="0"/>
        <w:spacing w:after="0" w:line="276" w:lineRule="auto"/>
        <w:ind w:left="402"/>
        <w:jc w:val="both"/>
        <w:rPr>
          <w:rFonts w:ascii="Times New Roman" w:hAnsi="Times New Roman"/>
          <w:sz w:val="24"/>
          <w:szCs w:val="24"/>
        </w:rPr>
      </w:pPr>
      <w:r w:rsidRPr="002E0852">
        <w:rPr>
          <w:rFonts w:ascii="Times New Roman" w:hAnsi="Times New Roman"/>
          <w:sz w:val="24"/>
          <w:szCs w:val="24"/>
        </w:rPr>
        <w:t xml:space="preserve">„(12) Za bezúhonnú osobu sa na účely tohto zákona považuje osoba, ktorá nebola právoplatne odsúdená za úmyselný trestný čin alebo za trestný čin spáchaný v súvislosti s výkonom riadiacej funkcie. Bezúhonnosť sa preukazuje výpisom z registra trestov, a ak ide o cudzinca alebo právnickú osobu so sídlom mimo územia Slovenskej republiky, aj dokladom o bezúhonnosti vydaným príslušným orgánom štátu, v ktorom má trvalý pobyt alebo sa obvykle zdržiava alebo v ktorom má sídlo. Štátny príslušník iného členského štátu Európskej únie, Islandskej republiky, Lichtenštajnského kniežatstva alebo Nórskeho kráľovstva alebo právnická osoba so sídlom na území iného členského štátu Európskej únie, Islandskej republiky, Lichtenštajnského kniežatstva alebo Nórskeho kráľovstva môže bezúhonnosť preukázať  </w:t>
      </w:r>
    </w:p>
    <w:p w:rsidR="006B3D58" w:rsidRPr="002E0852" w:rsidP="006B3D58">
      <w:pPr>
        <w:widowControl w:val="0"/>
        <w:numPr>
          <w:numId w:val="3"/>
        </w:numPr>
        <w:overflowPunct w:val="0"/>
        <w:bidi w:val="0"/>
        <w:adjustRightInd w:val="0"/>
        <w:spacing w:line="276" w:lineRule="auto"/>
        <w:ind w:left="762"/>
        <w:contextualSpacing/>
        <w:jc w:val="both"/>
        <w:rPr>
          <w:rFonts w:ascii="Times New Roman" w:hAnsi="Times New Roman"/>
        </w:rPr>
      </w:pPr>
      <w:r w:rsidRPr="002E0852">
        <w:rPr>
          <w:rFonts w:ascii="Times New Roman" w:eastAsia="SimSun" w:hAnsi="Times New Roman" w:hint="default"/>
          <w:kern w:val="28"/>
        </w:rPr>
        <w:t>vý</w:t>
      </w:r>
      <w:r w:rsidRPr="002E0852">
        <w:rPr>
          <w:rFonts w:ascii="Times New Roman" w:eastAsia="SimSun" w:hAnsi="Times New Roman" w:hint="default"/>
          <w:kern w:val="28"/>
        </w:rPr>
        <w:t>pisom z </w:t>
      </w:r>
      <w:r w:rsidRPr="002E0852">
        <w:rPr>
          <w:rFonts w:ascii="Times New Roman" w:eastAsia="SimSun" w:hAnsi="Times New Roman" w:hint="default"/>
          <w:kern w:val="28"/>
        </w:rPr>
        <w:t>registra trestov vydaný</w:t>
      </w:r>
      <w:r w:rsidRPr="002E0852">
        <w:rPr>
          <w:rFonts w:ascii="Times New Roman" w:eastAsia="SimSun" w:hAnsi="Times New Roman" w:hint="default"/>
          <w:kern w:val="28"/>
        </w:rPr>
        <w:t>m v i</w:t>
      </w:r>
      <w:r w:rsidRPr="002E0852">
        <w:rPr>
          <w:rFonts w:ascii="Times New Roman" w:eastAsia="SimSun" w:hAnsi="Times New Roman" w:hint="default"/>
          <w:kern w:val="28"/>
        </w:rPr>
        <w:t>nom č</w:t>
      </w:r>
      <w:r w:rsidRPr="002E0852">
        <w:rPr>
          <w:rFonts w:ascii="Times New Roman" w:eastAsia="SimSun" w:hAnsi="Times New Roman" w:hint="default"/>
          <w:kern w:val="28"/>
        </w:rPr>
        <w:t>lenskom š</w:t>
      </w:r>
      <w:r w:rsidRPr="002E0852">
        <w:rPr>
          <w:rFonts w:ascii="Times New Roman" w:eastAsia="SimSun" w:hAnsi="Times New Roman" w:hint="default"/>
          <w:kern w:val="28"/>
        </w:rPr>
        <w:t>tá</w:t>
      </w:r>
      <w:r w:rsidRPr="002E0852">
        <w:rPr>
          <w:rFonts w:ascii="Times New Roman" w:eastAsia="SimSun" w:hAnsi="Times New Roman" w:hint="default"/>
          <w:kern w:val="28"/>
        </w:rPr>
        <w:t>te Euró</w:t>
      </w:r>
      <w:r w:rsidRPr="002E0852">
        <w:rPr>
          <w:rFonts w:ascii="Times New Roman" w:eastAsia="SimSun" w:hAnsi="Times New Roman" w:hint="default"/>
          <w:kern w:val="28"/>
        </w:rPr>
        <w:t>pskej ú</w:t>
      </w:r>
      <w:r w:rsidRPr="002E0852">
        <w:rPr>
          <w:rFonts w:ascii="Times New Roman" w:eastAsia="SimSun" w:hAnsi="Times New Roman" w:hint="default"/>
          <w:kern w:val="28"/>
        </w:rPr>
        <w:t>nie,</w:t>
      </w:r>
      <w:r w:rsidRPr="002E0852">
        <w:rPr>
          <w:rFonts w:ascii="Times New Roman" w:hAnsi="Times New Roman"/>
        </w:rPr>
        <w:t xml:space="preserve"> Islandskej republike, Lichtenštajnskom kniežatstve alebo Nórskom kráľovstve, ktorého je štátnym príslušníkom </w:t>
      </w:r>
      <w:r w:rsidRPr="002E0852">
        <w:rPr>
          <w:rFonts w:ascii="Times New Roman" w:eastAsia="SimSun" w:hAnsi="Times New Roman"/>
          <w:kern w:val="28"/>
        </w:rPr>
        <w:t>alebo v </w:t>
      </w:r>
      <w:r w:rsidRPr="002E0852">
        <w:rPr>
          <w:rFonts w:ascii="Times New Roman" w:eastAsia="SimSun" w:hAnsi="Times New Roman" w:hint="default"/>
          <w:kern w:val="28"/>
        </w:rPr>
        <w:t>ktorom má</w:t>
      </w:r>
      <w:r w:rsidRPr="002E0852">
        <w:rPr>
          <w:rFonts w:ascii="Times New Roman" w:eastAsia="SimSun" w:hAnsi="Times New Roman" w:hint="default"/>
          <w:kern w:val="28"/>
        </w:rPr>
        <w:t xml:space="preserve"> sí</w:t>
      </w:r>
      <w:r w:rsidRPr="002E0852">
        <w:rPr>
          <w:rFonts w:ascii="Times New Roman" w:eastAsia="SimSun" w:hAnsi="Times New Roman" w:hint="default"/>
          <w:kern w:val="28"/>
        </w:rPr>
        <w:t>dlo</w:t>
      </w:r>
      <w:r w:rsidRPr="002E0852">
        <w:rPr>
          <w:rFonts w:ascii="Times New Roman" w:hAnsi="Times New Roman"/>
        </w:rPr>
        <w:t>,</w:t>
      </w:r>
    </w:p>
    <w:p w:rsidR="006B3D58" w:rsidRPr="002E0852" w:rsidP="006B3D58">
      <w:pPr>
        <w:widowControl w:val="0"/>
        <w:numPr>
          <w:numId w:val="3"/>
        </w:numPr>
        <w:overflowPunct w:val="0"/>
        <w:bidi w:val="0"/>
        <w:adjustRightInd w:val="0"/>
        <w:spacing w:line="276" w:lineRule="auto"/>
        <w:ind w:left="762"/>
        <w:contextualSpacing/>
        <w:jc w:val="both"/>
        <w:rPr>
          <w:rFonts w:ascii="Times New Roman" w:eastAsia="SimSun" w:hAnsi="Times New Roman" w:hint="default"/>
          <w:kern w:val="28"/>
        </w:rPr>
      </w:pPr>
      <w:r w:rsidRPr="002E0852">
        <w:rPr>
          <w:rFonts w:ascii="Times New Roman" w:eastAsia="SimSun" w:hAnsi="Times New Roman" w:hint="default"/>
          <w:kern w:val="28"/>
        </w:rPr>
        <w:t>dokladom o bezú</w:t>
      </w:r>
      <w:r w:rsidRPr="002E0852">
        <w:rPr>
          <w:rFonts w:ascii="Times New Roman" w:eastAsia="SimSun" w:hAnsi="Times New Roman" w:hint="default"/>
          <w:kern w:val="28"/>
        </w:rPr>
        <w:t>honnosti vydaný</w:t>
      </w:r>
      <w:r w:rsidRPr="002E0852">
        <w:rPr>
          <w:rFonts w:ascii="Times New Roman" w:eastAsia="SimSun" w:hAnsi="Times New Roman" w:hint="default"/>
          <w:kern w:val="28"/>
        </w:rPr>
        <w:t>m prí</w:t>
      </w:r>
      <w:r w:rsidRPr="002E0852">
        <w:rPr>
          <w:rFonts w:ascii="Times New Roman" w:eastAsia="SimSun" w:hAnsi="Times New Roman" w:hint="default"/>
          <w:kern w:val="28"/>
        </w:rPr>
        <w:t>sluš</w:t>
      </w:r>
      <w:r w:rsidRPr="002E0852">
        <w:rPr>
          <w:rFonts w:ascii="Times New Roman" w:eastAsia="SimSun" w:hAnsi="Times New Roman" w:hint="default"/>
          <w:kern w:val="28"/>
        </w:rPr>
        <w:t>ný</w:t>
      </w:r>
      <w:r w:rsidRPr="002E0852">
        <w:rPr>
          <w:rFonts w:ascii="Times New Roman" w:eastAsia="SimSun" w:hAnsi="Times New Roman" w:hint="default"/>
          <w:kern w:val="28"/>
        </w:rPr>
        <w:t>m orgá</w:t>
      </w:r>
      <w:r w:rsidRPr="002E0852">
        <w:rPr>
          <w:rFonts w:ascii="Times New Roman" w:eastAsia="SimSun" w:hAnsi="Times New Roman" w:hint="default"/>
          <w:kern w:val="28"/>
        </w:rPr>
        <w:t>nom š</w:t>
      </w:r>
      <w:r w:rsidRPr="002E0852">
        <w:rPr>
          <w:rFonts w:ascii="Times New Roman" w:eastAsia="SimSun" w:hAnsi="Times New Roman" w:hint="default"/>
          <w:kern w:val="28"/>
        </w:rPr>
        <w:t>tá</w:t>
      </w:r>
      <w:r w:rsidRPr="002E0852">
        <w:rPr>
          <w:rFonts w:ascii="Times New Roman" w:eastAsia="SimSun" w:hAnsi="Times New Roman" w:hint="default"/>
          <w:kern w:val="28"/>
        </w:rPr>
        <w:t xml:space="preserve">tu, </w:t>
      </w:r>
      <w:r w:rsidRPr="002E0852">
        <w:rPr>
          <w:rFonts w:ascii="Times New Roman" w:hAnsi="Times New Roman"/>
        </w:rPr>
        <w:t xml:space="preserve">ktorého je štátnym príslušníkom </w:t>
      </w:r>
      <w:r w:rsidRPr="002E0852">
        <w:rPr>
          <w:rFonts w:ascii="Times New Roman" w:eastAsia="SimSun" w:hAnsi="Times New Roman"/>
          <w:kern w:val="28"/>
        </w:rPr>
        <w:t>alebo v </w:t>
      </w:r>
      <w:r w:rsidRPr="002E0852">
        <w:rPr>
          <w:rFonts w:ascii="Times New Roman" w:eastAsia="SimSun" w:hAnsi="Times New Roman" w:hint="default"/>
          <w:kern w:val="28"/>
        </w:rPr>
        <w:t>ktorom má</w:t>
      </w:r>
      <w:r w:rsidRPr="002E0852">
        <w:rPr>
          <w:rFonts w:ascii="Times New Roman" w:eastAsia="SimSun" w:hAnsi="Times New Roman" w:hint="default"/>
          <w:kern w:val="28"/>
        </w:rPr>
        <w:t xml:space="preserve"> sí</w:t>
      </w:r>
      <w:r w:rsidRPr="002E0852">
        <w:rPr>
          <w:rFonts w:ascii="Times New Roman" w:eastAsia="SimSun" w:hAnsi="Times New Roman" w:hint="default"/>
          <w:kern w:val="28"/>
        </w:rPr>
        <w:t>dlo, ak sa vý</w:t>
      </w:r>
      <w:r w:rsidRPr="002E0852">
        <w:rPr>
          <w:rFonts w:ascii="Times New Roman" w:eastAsia="SimSun" w:hAnsi="Times New Roman" w:hint="default"/>
          <w:kern w:val="28"/>
        </w:rPr>
        <w:t>pis z </w:t>
      </w:r>
      <w:r w:rsidRPr="002E0852">
        <w:rPr>
          <w:rFonts w:ascii="Times New Roman" w:eastAsia="SimSun" w:hAnsi="Times New Roman" w:hint="default"/>
          <w:kern w:val="28"/>
        </w:rPr>
        <w:t>registra trestov podľ</w:t>
      </w:r>
      <w:r w:rsidRPr="002E0852">
        <w:rPr>
          <w:rFonts w:ascii="Times New Roman" w:eastAsia="SimSun" w:hAnsi="Times New Roman" w:hint="default"/>
          <w:kern w:val="28"/>
        </w:rPr>
        <w:t>a pí</w:t>
      </w:r>
      <w:r w:rsidRPr="002E0852">
        <w:rPr>
          <w:rFonts w:ascii="Times New Roman" w:eastAsia="SimSun" w:hAnsi="Times New Roman" w:hint="default"/>
          <w:kern w:val="28"/>
        </w:rPr>
        <w:t>smena a) nevydá</w:t>
      </w:r>
      <w:r w:rsidRPr="002E0852">
        <w:rPr>
          <w:rFonts w:ascii="Times New Roman" w:eastAsia="SimSun" w:hAnsi="Times New Roman" w:hint="default"/>
          <w:kern w:val="28"/>
        </w:rPr>
        <w:t xml:space="preserve">va, </w:t>
      </w:r>
    </w:p>
    <w:p w:rsidR="006B3D58" w:rsidRPr="002E0852" w:rsidP="006B3D58">
      <w:pPr>
        <w:pStyle w:val="ListParagraph"/>
        <w:widowControl w:val="0"/>
        <w:numPr>
          <w:numId w:val="3"/>
        </w:numPr>
        <w:overflowPunct w:val="0"/>
        <w:bidi w:val="0"/>
        <w:adjustRightInd w:val="0"/>
        <w:spacing w:after="0" w:line="276" w:lineRule="auto"/>
        <w:ind w:left="762"/>
        <w:jc w:val="both"/>
        <w:rPr>
          <w:rFonts w:ascii="Times New Roman" w:hAnsi="Times New Roman"/>
          <w:sz w:val="24"/>
          <w:szCs w:val="24"/>
        </w:rPr>
      </w:pPr>
      <w:r w:rsidRPr="002E0852">
        <w:rPr>
          <w:rFonts w:ascii="Times New Roman" w:hAnsi="Times New Roman"/>
          <w:sz w:val="24"/>
          <w:szCs w:val="24"/>
        </w:rPr>
        <w:t>čestným vyhlásením o bezúhonnosti osvedčeným notárom v Slovenskej republike alebo príslušným súdnym orgánom, správnym orgánom alebo notárom v inom členskom štáte Európskej únie, Islandskej republike, Lichtenštajnskom kniežatstve alebo Nórskom kráľovstve, v ktorom má trvalý pobyt alebo sa obvykle zdržiava alebo v ktorom má sídlo, ak sa potvrdenie o bezúhonnosti podľa písmena b) nevydáva.“.</w:t>
      </w:r>
    </w:p>
    <w:p w:rsidR="006B3D58" w:rsidRPr="002E0852" w:rsidP="006B3D58">
      <w:pPr>
        <w:pStyle w:val="ListParagraph"/>
        <w:shd w:val="clear" w:color="auto" w:fill="FFFFFF"/>
        <w:autoSpaceDE w:val="0"/>
        <w:autoSpaceDN w:val="0"/>
        <w:bidi w:val="0"/>
        <w:spacing w:after="0" w:line="240" w:lineRule="auto"/>
        <w:ind w:left="2901"/>
        <w:jc w:val="both"/>
        <w:rPr>
          <w:rFonts w:ascii="Times New Roman" w:hAnsi="Times New Roman"/>
          <w:b/>
          <w:i/>
          <w:sz w:val="24"/>
          <w:szCs w:val="24"/>
        </w:rPr>
      </w:pPr>
    </w:p>
    <w:p w:rsidR="006B3D58" w:rsidRPr="002E0852" w:rsidP="006B3D58">
      <w:pPr>
        <w:pStyle w:val="ListParagraph"/>
        <w:bidi w:val="0"/>
        <w:spacing w:after="0" w:line="240" w:lineRule="auto"/>
        <w:ind w:left="402"/>
        <w:jc w:val="both"/>
        <w:rPr>
          <w:rFonts w:ascii="Times New Roman" w:hAnsi="Times New Roman"/>
          <w:sz w:val="24"/>
          <w:szCs w:val="24"/>
        </w:rPr>
      </w:pPr>
      <w:r w:rsidRPr="002E0852">
        <w:rPr>
          <w:rFonts w:ascii="Times New Roman" w:hAnsi="Times New Roman"/>
          <w:sz w:val="24"/>
          <w:szCs w:val="24"/>
        </w:rPr>
        <w:t>Poznámka pod čiarou k odkazu 19 sa vypúšťa.“.</w:t>
      </w:r>
    </w:p>
    <w:p w:rsidR="006B3D58" w:rsidRPr="002E0852" w:rsidP="006B3D58">
      <w:pPr>
        <w:pStyle w:val="ListParagraph"/>
        <w:shd w:val="clear" w:color="auto" w:fill="FFFFFF"/>
        <w:autoSpaceDE w:val="0"/>
        <w:autoSpaceDN w:val="0"/>
        <w:bidi w:val="0"/>
        <w:spacing w:after="0" w:line="240" w:lineRule="auto"/>
        <w:ind w:left="3261"/>
        <w:jc w:val="both"/>
        <w:rPr>
          <w:rFonts w:ascii="Times New Roman" w:hAnsi="Times New Roman"/>
          <w:b/>
          <w:i/>
          <w:sz w:val="24"/>
          <w:szCs w:val="24"/>
        </w:rPr>
      </w:pPr>
    </w:p>
    <w:p w:rsidR="006B3D58" w:rsidRPr="002E0852" w:rsidP="006B3D58">
      <w:pPr>
        <w:pStyle w:val="ListParagraph"/>
        <w:shd w:val="clear" w:color="auto" w:fill="FFFFFF"/>
        <w:autoSpaceDE w:val="0"/>
        <w:autoSpaceDN w:val="0"/>
        <w:bidi w:val="0"/>
        <w:spacing w:after="0" w:line="240" w:lineRule="auto"/>
        <w:ind w:left="2832"/>
        <w:jc w:val="both"/>
        <w:rPr>
          <w:rFonts w:ascii="Times New Roman" w:hAnsi="Times New Roman"/>
          <w:sz w:val="24"/>
          <w:szCs w:val="24"/>
        </w:rPr>
      </w:pPr>
      <w:r w:rsidRPr="002E0852">
        <w:rPr>
          <w:rFonts w:ascii="Times New Roman" w:hAnsi="Times New Roman"/>
          <w:sz w:val="24"/>
          <w:szCs w:val="24"/>
        </w:rPr>
        <w:t>Pôvodne predložená právna úprava pripúšťa odlišný výklad podmienok pre preukázanie bezúhonnosti cudzinca oproti ostatným fyzickým osobám preukazujúcim svoju bezúhonnosť, a to tak, že cudzinec má preukázať svoju bezúhonnosť výpisom z registra trestov a súčasne obdobným potvrdením o bezúhonnosti alebo čestným vyhlásením o bezúhonnosti. Cudzinec by podľa tohto výkladu musel predkladať až dva dokumenty. Z dôvodovej správy vyplýva, že predkladateľ návrhu zákona sledoval iný cieľ. Účelom navrhovaného ustanovenia má byť možnosť preukazovania bezúhonnosti cudzinca, ktorý je občanom Európskej únie alternatívnym relevantným dokumentom ako je výpis z registra trestov v Slovenskej republike, nie však viacerými dokumentmi.</w:t>
      </w:r>
    </w:p>
    <w:p w:rsidR="006B3D58" w:rsidRPr="002E0852" w:rsidP="006B3D58">
      <w:pPr>
        <w:pStyle w:val="ListParagraph"/>
        <w:shd w:val="clear" w:color="auto" w:fill="FFFFFF"/>
        <w:autoSpaceDE w:val="0"/>
        <w:autoSpaceDN w:val="0"/>
        <w:bidi w:val="0"/>
        <w:spacing w:after="0" w:line="240" w:lineRule="auto"/>
        <w:ind w:left="2832"/>
        <w:jc w:val="both"/>
        <w:rPr>
          <w:rFonts w:ascii="Times New Roman" w:hAnsi="Times New Roman"/>
          <w:sz w:val="24"/>
          <w:szCs w:val="24"/>
        </w:rPr>
      </w:pPr>
    </w:p>
    <w:p w:rsidR="006B3D58" w:rsidRPr="002E0852" w:rsidP="006B3D58">
      <w:pPr>
        <w:bidi w:val="0"/>
        <w:jc w:val="both"/>
        <w:rPr>
          <w:rFonts w:ascii="Times New Roman" w:hAnsi="Times New Roman"/>
        </w:rPr>
      </w:pPr>
    </w:p>
    <w:p w:rsidR="006B3D58" w:rsidRPr="002E0852" w:rsidP="006B3D58">
      <w:pPr>
        <w:pStyle w:val="ListParagraph"/>
        <w:numPr>
          <w:numId w:val="2"/>
        </w:numPr>
        <w:bidi w:val="0"/>
        <w:spacing w:after="200" w:line="276" w:lineRule="auto"/>
        <w:ind w:left="426"/>
        <w:jc w:val="both"/>
        <w:rPr>
          <w:rFonts w:ascii="Times New Roman" w:hAnsi="Times New Roman"/>
          <w:sz w:val="24"/>
          <w:szCs w:val="24"/>
        </w:rPr>
      </w:pPr>
      <w:r w:rsidRPr="002E0852">
        <w:rPr>
          <w:rFonts w:ascii="Times New Roman" w:hAnsi="Times New Roman"/>
          <w:sz w:val="24"/>
          <w:szCs w:val="24"/>
        </w:rPr>
        <w:t>V čl. I 30. bode v § 28 odsek 7 znie:</w:t>
      </w:r>
    </w:p>
    <w:p w:rsidR="006B3D58" w:rsidRPr="002E0852" w:rsidP="006B3D58">
      <w:pPr>
        <w:pStyle w:val="ListParagraph"/>
        <w:bidi w:val="0"/>
        <w:spacing w:after="0" w:line="276" w:lineRule="auto"/>
        <w:ind w:left="426"/>
        <w:jc w:val="both"/>
        <w:rPr>
          <w:rFonts w:ascii="Times New Roman" w:hAnsi="Times New Roman"/>
          <w:sz w:val="24"/>
          <w:szCs w:val="24"/>
        </w:rPr>
      </w:pPr>
      <w:r w:rsidRPr="002E0852">
        <w:rPr>
          <w:rFonts w:ascii="Times New Roman" w:hAnsi="Times New Roman"/>
          <w:sz w:val="24"/>
          <w:szCs w:val="24"/>
        </w:rPr>
        <w:t>„(7) Doplnková dôchodková spoločnosť môže pri investičných rozhodnutiach týkajúcich sa jej majetku zohľadniť environmentálny faktor, sociálny faktor a faktor organizácie a riadenia.“.</w:t>
      </w:r>
    </w:p>
    <w:p w:rsidR="006B3D58" w:rsidRPr="002E0852" w:rsidP="006B3D58">
      <w:pPr>
        <w:pStyle w:val="ListParagraph"/>
        <w:shd w:val="clear" w:color="auto" w:fill="FFFFFF"/>
        <w:autoSpaceDE w:val="0"/>
        <w:autoSpaceDN w:val="0"/>
        <w:bidi w:val="0"/>
        <w:spacing w:after="0" w:line="240" w:lineRule="auto"/>
        <w:ind w:left="2901"/>
        <w:jc w:val="both"/>
        <w:rPr>
          <w:rFonts w:ascii="Times New Roman" w:hAnsi="Times New Roman"/>
          <w:b/>
          <w:i/>
          <w:sz w:val="24"/>
          <w:szCs w:val="24"/>
        </w:rPr>
      </w:pPr>
    </w:p>
    <w:p w:rsidR="006B3D58" w:rsidRPr="002E0852" w:rsidP="006B3D58">
      <w:pPr>
        <w:pStyle w:val="ListParagraph"/>
        <w:shd w:val="clear" w:color="auto" w:fill="FFFFFF"/>
        <w:autoSpaceDE w:val="0"/>
        <w:autoSpaceDN w:val="0"/>
        <w:bidi w:val="0"/>
        <w:spacing w:after="0" w:line="240" w:lineRule="auto"/>
        <w:ind w:left="2832"/>
        <w:jc w:val="both"/>
        <w:rPr>
          <w:rFonts w:ascii="Times New Roman" w:hAnsi="Times New Roman"/>
          <w:sz w:val="24"/>
          <w:szCs w:val="24"/>
        </w:rPr>
      </w:pPr>
      <w:r w:rsidRPr="002E0852">
        <w:rPr>
          <w:rFonts w:ascii="Times New Roman" w:hAnsi="Times New Roman"/>
          <w:sz w:val="24"/>
          <w:szCs w:val="24"/>
        </w:rPr>
        <w:t>Ide o spresnenie formulácie, možnosti doplnkovej dôchodkovej spoločnosti zohľadňovať pri investovaní svojho majetku environmentálne faktory, sociálne faktory a faktory organizácie a riadenia.</w:t>
      </w:r>
    </w:p>
    <w:p w:rsidR="006B3D58" w:rsidRPr="002E0852" w:rsidP="006B3D58">
      <w:pPr>
        <w:pStyle w:val="ListParagraph"/>
        <w:shd w:val="clear" w:color="auto" w:fill="FFFFFF"/>
        <w:autoSpaceDE w:val="0"/>
        <w:autoSpaceDN w:val="0"/>
        <w:bidi w:val="0"/>
        <w:spacing w:after="0" w:line="240" w:lineRule="auto"/>
        <w:ind w:left="2832"/>
        <w:jc w:val="both"/>
        <w:rPr>
          <w:rFonts w:ascii="Times New Roman" w:hAnsi="Times New Roman"/>
          <w:b/>
          <w:sz w:val="24"/>
          <w:szCs w:val="24"/>
        </w:rPr>
      </w:pPr>
    </w:p>
    <w:p w:rsidR="006B3D58" w:rsidRPr="000C69A6" w:rsidP="006B3D58">
      <w:pPr>
        <w:pStyle w:val="ListParagraph"/>
        <w:numPr>
          <w:numId w:val="2"/>
        </w:numPr>
        <w:bidi w:val="0"/>
        <w:spacing w:after="200" w:line="276" w:lineRule="auto"/>
        <w:ind w:left="426"/>
        <w:jc w:val="both"/>
        <w:rPr>
          <w:rFonts w:ascii="Times New Roman" w:hAnsi="Times New Roman"/>
          <w:sz w:val="24"/>
          <w:szCs w:val="24"/>
        </w:rPr>
      </w:pPr>
      <w:r w:rsidRPr="000C69A6">
        <w:rPr>
          <w:rFonts w:ascii="Times New Roman" w:hAnsi="Times New Roman"/>
          <w:sz w:val="24"/>
          <w:szCs w:val="24"/>
        </w:rPr>
        <w:t>V čl. I bode 30 v § 28 ods. 8 druhá veta znie: „Doplnková dôchodková spoločnosť preskúma a upraví vnútorné predpisy v súvislosti s každou podstatnou zmenou, najmenej raz za tri roky.“.</w:t>
      </w:r>
    </w:p>
    <w:p w:rsidR="006B3D58" w:rsidRPr="006B3D58" w:rsidP="006B3D58">
      <w:pPr>
        <w:bidi w:val="0"/>
        <w:ind w:left="2832"/>
        <w:rPr>
          <w:rFonts w:ascii="Times New Roman" w:hAnsi="Times New Roman" w:cs="Times New Roman"/>
        </w:rPr>
      </w:pPr>
      <w:r w:rsidRPr="006B3D58">
        <w:rPr>
          <w:rFonts w:ascii="Times New Roman" w:hAnsi="Times New Roman" w:cs="Times New Roman"/>
        </w:rPr>
        <w:t>Ide o štylistickú úpravu uvedenej vety predmetného ustanovenia.</w:t>
      </w:r>
    </w:p>
    <w:p w:rsidR="006B3D58" w:rsidRPr="006B3D58" w:rsidP="006B3D58">
      <w:pPr>
        <w:bidi w:val="0"/>
        <w:ind w:left="2832"/>
        <w:rPr>
          <w:rFonts w:ascii="Times New Roman" w:hAnsi="Times New Roman" w:cs="Times New Roman"/>
        </w:rPr>
      </w:pPr>
    </w:p>
    <w:p w:rsidR="006B3D58" w:rsidRPr="00EE001C" w:rsidP="006B3D58">
      <w:pPr>
        <w:pStyle w:val="ListParagraph"/>
        <w:bidi w:val="0"/>
        <w:spacing w:after="0" w:line="240" w:lineRule="auto"/>
        <w:ind w:left="348"/>
        <w:jc w:val="both"/>
        <w:rPr>
          <w:rFonts w:ascii="Times New Roman" w:hAnsi="Times New Roman"/>
          <w:sz w:val="24"/>
          <w:szCs w:val="24"/>
        </w:rPr>
      </w:pPr>
    </w:p>
    <w:p w:rsidR="006B3D58" w:rsidRPr="00FB7063" w:rsidP="006B3D58">
      <w:pPr>
        <w:pStyle w:val="ListParagraph"/>
        <w:numPr>
          <w:numId w:val="2"/>
        </w:numPr>
        <w:bidi w:val="0"/>
        <w:spacing w:after="200" w:line="276" w:lineRule="auto"/>
        <w:ind w:left="414"/>
        <w:jc w:val="both"/>
        <w:rPr>
          <w:rFonts w:ascii="Times New Roman" w:hAnsi="Times New Roman"/>
          <w:sz w:val="24"/>
          <w:szCs w:val="24"/>
        </w:rPr>
      </w:pPr>
      <w:r w:rsidRPr="00FB7063">
        <w:rPr>
          <w:rFonts w:ascii="Times New Roman" w:hAnsi="Times New Roman"/>
          <w:sz w:val="24"/>
          <w:szCs w:val="24"/>
        </w:rPr>
        <w:t>V čl. I 33. bode v § 29a ods. 4 písm. g) sa slovo „vplyvu“ nahrádza slovom „faktora“ a slovo „vplyvy“ sa nahrádza slovom „faktory“.</w:t>
      </w:r>
    </w:p>
    <w:p w:rsidR="006B3D58" w:rsidRPr="00FB7063" w:rsidP="006B3D58">
      <w:pPr>
        <w:pStyle w:val="ListParagraph"/>
        <w:shd w:val="clear" w:color="auto" w:fill="FFFFFF"/>
        <w:autoSpaceDE w:val="0"/>
        <w:autoSpaceDN w:val="0"/>
        <w:bidi w:val="0"/>
        <w:spacing w:after="0" w:line="240" w:lineRule="auto"/>
        <w:ind w:left="2472" w:firstLine="696"/>
        <w:jc w:val="both"/>
        <w:rPr>
          <w:rFonts w:ascii="Times New Roman" w:hAnsi="Times New Roman"/>
          <w:b/>
          <w:i/>
          <w:sz w:val="24"/>
          <w:szCs w:val="24"/>
        </w:rPr>
      </w:pPr>
    </w:p>
    <w:p w:rsidR="006B3D58" w:rsidRPr="00FB7063" w:rsidP="006B3D58">
      <w:pPr>
        <w:pStyle w:val="ListParagraph"/>
        <w:shd w:val="clear" w:color="auto" w:fill="FFFFFF"/>
        <w:autoSpaceDE w:val="0"/>
        <w:autoSpaceDN w:val="0"/>
        <w:bidi w:val="0"/>
        <w:spacing w:after="0" w:line="240" w:lineRule="auto"/>
        <w:ind w:left="2889"/>
        <w:jc w:val="both"/>
        <w:rPr>
          <w:rFonts w:ascii="Times New Roman" w:hAnsi="Times New Roman"/>
          <w:sz w:val="24"/>
          <w:szCs w:val="24"/>
        </w:rPr>
      </w:pPr>
      <w:r w:rsidRPr="00FB7063">
        <w:rPr>
          <w:rFonts w:ascii="Times New Roman" w:hAnsi="Times New Roman"/>
          <w:sz w:val="24"/>
          <w:szCs w:val="24"/>
        </w:rPr>
        <w:t>Ide o zosúladenie pojmov používaných pri právnej úprave možnosti doplnkovej dôchodkovej spoločnosti zohľadňovať pri investovaní svojho majetku.</w:t>
      </w:r>
    </w:p>
    <w:p w:rsidR="006B3D58" w:rsidRPr="00FB7063" w:rsidP="006B3D58">
      <w:pPr>
        <w:pStyle w:val="ListParagraph"/>
        <w:bidi w:val="0"/>
        <w:spacing w:after="0" w:line="240" w:lineRule="auto"/>
        <w:ind w:left="348"/>
        <w:jc w:val="both"/>
        <w:rPr>
          <w:rFonts w:ascii="Times New Roman" w:hAnsi="Times New Roman"/>
          <w:sz w:val="24"/>
          <w:szCs w:val="24"/>
        </w:rPr>
      </w:pPr>
    </w:p>
    <w:p w:rsidR="006B3D58" w:rsidRPr="0053785C" w:rsidP="006B3D58">
      <w:pPr>
        <w:pStyle w:val="ListParagraph"/>
        <w:numPr>
          <w:numId w:val="2"/>
        </w:numPr>
        <w:bidi w:val="0"/>
        <w:spacing w:after="0" w:line="276" w:lineRule="auto"/>
        <w:ind w:left="360"/>
        <w:jc w:val="both"/>
        <w:rPr>
          <w:rFonts w:ascii="Times New Roman" w:hAnsi="Times New Roman"/>
          <w:sz w:val="24"/>
          <w:szCs w:val="24"/>
        </w:rPr>
      </w:pPr>
      <w:r w:rsidRPr="0053785C">
        <w:rPr>
          <w:rFonts w:ascii="Times New Roman" w:hAnsi="Times New Roman"/>
          <w:sz w:val="24"/>
          <w:szCs w:val="24"/>
        </w:rPr>
        <w:t xml:space="preserve">V čl. I 34. bode v § 29b odsek 4 znie: </w:t>
      </w:r>
    </w:p>
    <w:p w:rsidR="006B3D58" w:rsidRPr="0053785C" w:rsidP="006B3D58">
      <w:pPr>
        <w:bidi w:val="0"/>
        <w:spacing w:line="276" w:lineRule="auto"/>
        <w:ind w:left="360"/>
        <w:jc w:val="both"/>
        <w:rPr>
          <w:rFonts w:ascii="Times New Roman" w:hAnsi="Times New Roman"/>
        </w:rPr>
      </w:pPr>
      <w:r w:rsidRPr="0053785C">
        <w:rPr>
          <w:rFonts w:ascii="Times New Roman" w:hAnsi="Times New Roman"/>
        </w:rPr>
        <w:t>„(4) Osoba zodpovedná za výkon funkcie vnútorného auditu je povinná bez zbytočného odkladu oznámiť každé svoje zistenie a odporúčanie</w:t>
      </w:r>
    </w:p>
    <w:p w:rsidR="006B3D58" w:rsidRPr="0053785C" w:rsidP="006B3D58">
      <w:pPr>
        <w:pStyle w:val="ListParagraph"/>
        <w:numPr>
          <w:numId w:val="4"/>
        </w:numPr>
        <w:bidi w:val="0"/>
        <w:spacing w:after="0" w:line="276" w:lineRule="auto"/>
        <w:jc w:val="both"/>
        <w:rPr>
          <w:rFonts w:ascii="Times New Roman" w:hAnsi="Times New Roman"/>
          <w:sz w:val="24"/>
          <w:szCs w:val="24"/>
        </w:rPr>
      </w:pPr>
      <w:r w:rsidRPr="0053785C">
        <w:rPr>
          <w:rFonts w:ascii="Times New Roman" w:hAnsi="Times New Roman"/>
          <w:sz w:val="24"/>
          <w:szCs w:val="24"/>
        </w:rPr>
        <w:t xml:space="preserve">predstavenstvu a dozornej rade, ktoré určia, aké opatrenia budú prijaté vo vzťahu ku každému zo zistení a odporúčaní a zabezpečia vykonanie uvedených opatrení, </w:t>
      </w:r>
    </w:p>
    <w:p w:rsidR="006B3D58" w:rsidRPr="0053785C" w:rsidP="006B3D58">
      <w:pPr>
        <w:pStyle w:val="ListParagraph"/>
        <w:numPr>
          <w:numId w:val="4"/>
        </w:numPr>
        <w:bidi w:val="0"/>
        <w:spacing w:after="0" w:line="276" w:lineRule="auto"/>
        <w:jc w:val="both"/>
        <w:rPr>
          <w:rFonts w:ascii="Times New Roman" w:hAnsi="Times New Roman"/>
          <w:sz w:val="24"/>
          <w:szCs w:val="24"/>
        </w:rPr>
      </w:pPr>
      <w:r w:rsidRPr="0053785C">
        <w:rPr>
          <w:rFonts w:ascii="Times New Roman" w:hAnsi="Times New Roman"/>
          <w:sz w:val="24"/>
          <w:szCs w:val="24"/>
        </w:rPr>
        <w:t xml:space="preserve">depozitárovi, ak ide o zistenie a odporúčanie týkajúce sa jeho činnosti.“. </w:t>
      </w:r>
    </w:p>
    <w:p w:rsidR="006B3D58" w:rsidRPr="002E0852" w:rsidP="006B3D58">
      <w:pPr>
        <w:bidi w:val="0"/>
        <w:jc w:val="both"/>
        <w:rPr>
          <w:rFonts w:ascii="Times New Roman" w:hAnsi="Times New Roman"/>
        </w:rPr>
      </w:pPr>
    </w:p>
    <w:p w:rsidR="006B3D58" w:rsidRPr="002E0852" w:rsidP="006B3D58">
      <w:pPr>
        <w:pStyle w:val="ListParagraph"/>
        <w:shd w:val="clear" w:color="auto" w:fill="FFFFFF"/>
        <w:autoSpaceDE w:val="0"/>
        <w:autoSpaceDN w:val="0"/>
        <w:bidi w:val="0"/>
        <w:spacing w:after="0" w:line="240" w:lineRule="auto"/>
        <w:ind w:left="2832"/>
        <w:jc w:val="both"/>
        <w:rPr>
          <w:rFonts w:ascii="Times New Roman" w:hAnsi="Times New Roman"/>
          <w:sz w:val="24"/>
          <w:szCs w:val="24"/>
        </w:rPr>
      </w:pPr>
      <w:r w:rsidRPr="002E0852">
        <w:rPr>
          <w:rFonts w:ascii="Times New Roman" w:hAnsi="Times New Roman"/>
          <w:sz w:val="24"/>
          <w:szCs w:val="24"/>
        </w:rPr>
        <w:t xml:space="preserve">Ide o spresnenie transpozície čl. 24 ods. 4 smernice (EÚ) 2016/2341. Osoba zodpovedná za výkon funkcie vnútorného auditu povinne oznamuje svoje zistenia a odporúčania predstavenstvu a dozornej rade doplnkovej dôchodkovej spoločnosti, ktoré určia, aké opatrenia sa majú prijať. Depozitárovi osoba zodpovedná za výkon funkcie vnútorného auditu oznamuje svoje zistenia a odporúčania len vtedy, ak sa týkajú jeho činnosti.  </w:t>
      </w:r>
    </w:p>
    <w:p w:rsidR="006B3D58" w:rsidRPr="002E0852" w:rsidP="006B3D58">
      <w:pPr>
        <w:pStyle w:val="ListParagraph"/>
        <w:shd w:val="clear" w:color="auto" w:fill="FFFFFF"/>
        <w:autoSpaceDE w:val="0"/>
        <w:autoSpaceDN w:val="0"/>
        <w:bidi w:val="0"/>
        <w:spacing w:after="0" w:line="240" w:lineRule="auto"/>
        <w:ind w:left="291"/>
        <w:jc w:val="both"/>
        <w:rPr>
          <w:rFonts w:ascii="Times New Roman" w:hAnsi="Times New Roman"/>
          <w:sz w:val="24"/>
          <w:szCs w:val="24"/>
        </w:rPr>
      </w:pPr>
    </w:p>
    <w:p w:rsidR="006B3D58" w:rsidRPr="000C69A6" w:rsidP="006B3D58">
      <w:pPr>
        <w:pStyle w:val="ListParagraph"/>
        <w:numPr>
          <w:numId w:val="2"/>
        </w:numPr>
        <w:bidi w:val="0"/>
        <w:spacing w:after="200" w:line="240" w:lineRule="auto"/>
        <w:ind w:left="414"/>
        <w:jc w:val="both"/>
        <w:rPr>
          <w:rFonts w:ascii="Times New Roman" w:hAnsi="Times New Roman"/>
          <w:sz w:val="24"/>
          <w:szCs w:val="24"/>
        </w:rPr>
      </w:pPr>
      <w:r w:rsidRPr="000C69A6">
        <w:rPr>
          <w:rFonts w:ascii="Times New Roman" w:hAnsi="Times New Roman"/>
          <w:sz w:val="24"/>
          <w:szCs w:val="24"/>
        </w:rPr>
        <w:t>V čl. I 57. bode v § 48a písm. c) sa slovo „vplyvov“ nahrádza slovom „faktorov“.</w:t>
      </w:r>
    </w:p>
    <w:p w:rsidR="006B3D58" w:rsidRPr="00EE001C" w:rsidP="006B3D58">
      <w:pPr>
        <w:pStyle w:val="ListParagraph"/>
        <w:shd w:val="clear" w:color="auto" w:fill="FFFFFF"/>
        <w:autoSpaceDE w:val="0"/>
        <w:autoSpaceDN w:val="0"/>
        <w:bidi w:val="0"/>
        <w:spacing w:after="0" w:line="240" w:lineRule="auto"/>
        <w:ind w:left="348"/>
        <w:jc w:val="both"/>
        <w:rPr>
          <w:rFonts w:ascii="Times New Roman" w:hAnsi="Times New Roman"/>
          <w:sz w:val="24"/>
          <w:szCs w:val="24"/>
        </w:rPr>
      </w:pPr>
    </w:p>
    <w:p w:rsidR="006B3D58" w:rsidRPr="00FB7063" w:rsidP="006B3D58">
      <w:pPr>
        <w:pStyle w:val="ListParagraph"/>
        <w:shd w:val="clear" w:color="auto" w:fill="FFFFFF"/>
        <w:autoSpaceDE w:val="0"/>
        <w:autoSpaceDN w:val="0"/>
        <w:bidi w:val="0"/>
        <w:spacing w:after="0" w:line="240" w:lineRule="auto"/>
        <w:ind w:left="2832"/>
        <w:jc w:val="both"/>
        <w:rPr>
          <w:rFonts w:ascii="Times New Roman" w:hAnsi="Times New Roman"/>
          <w:sz w:val="24"/>
          <w:szCs w:val="24"/>
        </w:rPr>
      </w:pPr>
      <w:r w:rsidRPr="00FB7063">
        <w:rPr>
          <w:rFonts w:ascii="Times New Roman" w:hAnsi="Times New Roman"/>
          <w:sz w:val="24"/>
          <w:szCs w:val="24"/>
        </w:rPr>
        <w:t>Ide o zosúladenie pojmov používaných pri právnej úprave možnosti doplnkovej dôchodkovej spoločnosti zohľadňovať pri investovaní svojho majetku.</w:t>
      </w:r>
    </w:p>
    <w:p w:rsidR="006B3D58" w:rsidRPr="00091668" w:rsidP="00211C7B">
      <w:pPr>
        <w:pStyle w:val="ListParagraph"/>
        <w:numPr>
          <w:numId w:val="2"/>
        </w:numPr>
        <w:bidi w:val="0"/>
        <w:ind w:left="426" w:hanging="426"/>
        <w:rPr>
          <w:rFonts w:ascii="Times New Roman" w:hAnsi="Times New Roman"/>
        </w:rPr>
      </w:pPr>
      <w:r w:rsidRPr="00091668">
        <w:rPr>
          <w:rFonts w:ascii="Times New Roman" w:hAnsi="Times New Roman"/>
        </w:rPr>
        <w:t>V čl. I 59. bod znie:</w:t>
      </w:r>
    </w:p>
    <w:p w:rsidR="006B3D58" w:rsidRPr="002E0852" w:rsidP="006B3D58">
      <w:pPr>
        <w:pStyle w:val="ListParagraph"/>
        <w:bidi w:val="0"/>
        <w:spacing w:after="0" w:line="276" w:lineRule="auto"/>
        <w:ind w:left="414"/>
        <w:jc w:val="both"/>
        <w:rPr>
          <w:rFonts w:ascii="Times New Roman" w:hAnsi="Times New Roman"/>
          <w:sz w:val="24"/>
          <w:szCs w:val="24"/>
        </w:rPr>
      </w:pPr>
      <w:r w:rsidRPr="002E0852">
        <w:rPr>
          <w:rFonts w:ascii="Times New Roman" w:hAnsi="Times New Roman"/>
          <w:sz w:val="24"/>
          <w:szCs w:val="24"/>
        </w:rPr>
        <w:t>„59. V § 53 ods. 1 sa na konci pripája táto veta: „Doplnková dôchodková spoločnosť môže pri investičných rozhodnutiach týkajúcich sa majetku v doplnkovom dôchodkovom fonde zohľadniť environmentálny faktor, sociálny faktor a faktor organizácie a riadenia.“.</w:t>
      </w:r>
    </w:p>
    <w:p w:rsidR="006B3D58" w:rsidRPr="002E0852" w:rsidP="006B3D58">
      <w:pPr>
        <w:pStyle w:val="ListParagraph"/>
        <w:bidi w:val="0"/>
        <w:spacing w:after="0"/>
        <w:ind w:left="774"/>
        <w:jc w:val="both"/>
        <w:rPr>
          <w:rFonts w:ascii="Times New Roman" w:hAnsi="Times New Roman"/>
          <w:sz w:val="24"/>
          <w:szCs w:val="24"/>
        </w:rPr>
      </w:pPr>
    </w:p>
    <w:p w:rsidR="006B3D58" w:rsidP="006B3D58">
      <w:pPr>
        <w:pStyle w:val="ListParagraph"/>
        <w:shd w:val="clear" w:color="auto" w:fill="FFFFFF"/>
        <w:autoSpaceDE w:val="0"/>
        <w:autoSpaceDN w:val="0"/>
        <w:bidi w:val="0"/>
        <w:spacing w:after="0" w:line="240" w:lineRule="auto"/>
        <w:ind w:left="2889"/>
        <w:jc w:val="both"/>
        <w:rPr>
          <w:rFonts w:ascii="Times New Roman" w:hAnsi="Times New Roman"/>
          <w:sz w:val="24"/>
          <w:szCs w:val="24"/>
        </w:rPr>
      </w:pPr>
      <w:r w:rsidRPr="00FB7063">
        <w:rPr>
          <w:rFonts w:ascii="Times New Roman" w:hAnsi="Times New Roman"/>
          <w:sz w:val="24"/>
          <w:szCs w:val="24"/>
        </w:rPr>
        <w:t>Ide o spresnenie formulácie, možnosti doplnkovej dôchodkovej spoločnosti zohľadňovať pri investovaní majetku v doplnkovom dôchodkovom fonde environmentálne faktory, sociálne faktory a faktory organizácie a riadenia.</w:t>
      </w:r>
    </w:p>
    <w:p w:rsidR="00211C7B" w:rsidP="006B3D58">
      <w:pPr>
        <w:pStyle w:val="ListParagraph"/>
        <w:shd w:val="clear" w:color="auto" w:fill="FFFFFF"/>
        <w:autoSpaceDE w:val="0"/>
        <w:autoSpaceDN w:val="0"/>
        <w:bidi w:val="0"/>
        <w:spacing w:after="0" w:line="240" w:lineRule="auto"/>
        <w:ind w:left="2889"/>
        <w:jc w:val="both"/>
        <w:rPr>
          <w:rFonts w:ascii="Times New Roman" w:hAnsi="Times New Roman"/>
          <w:sz w:val="24"/>
          <w:szCs w:val="24"/>
        </w:rPr>
      </w:pPr>
    </w:p>
    <w:p w:rsidR="00211C7B" w:rsidRPr="00FB7063" w:rsidP="00211C7B">
      <w:pPr>
        <w:pStyle w:val="ListParagraph"/>
        <w:shd w:val="clear" w:color="auto" w:fill="FFFFFF"/>
        <w:autoSpaceDE w:val="0"/>
        <w:autoSpaceDN w:val="0"/>
        <w:bidi w:val="0"/>
        <w:spacing w:after="0" w:line="240" w:lineRule="auto"/>
        <w:ind w:left="0"/>
        <w:jc w:val="both"/>
        <w:rPr>
          <w:rFonts w:ascii="Times New Roman" w:hAnsi="Times New Roman"/>
          <w:sz w:val="24"/>
          <w:szCs w:val="24"/>
        </w:rPr>
      </w:pPr>
    </w:p>
    <w:p w:rsidR="006B3D58" w:rsidRPr="00211C7B" w:rsidP="00211C7B">
      <w:pPr>
        <w:pStyle w:val="ListParagraph"/>
        <w:numPr>
          <w:numId w:val="2"/>
        </w:numPr>
        <w:bidi w:val="0"/>
        <w:ind w:left="426" w:hanging="426"/>
        <w:rPr>
          <w:rFonts w:ascii="Times New Roman" w:hAnsi="Times New Roman"/>
          <w:sz w:val="24"/>
          <w:szCs w:val="24"/>
        </w:rPr>
      </w:pPr>
      <w:r w:rsidRPr="00211C7B">
        <w:rPr>
          <w:rFonts w:ascii="Times New Roman" w:hAnsi="Times New Roman"/>
          <w:sz w:val="24"/>
          <w:szCs w:val="24"/>
        </w:rPr>
        <w:t>V čl. I 68. bode v § 57 ods. 4 písm. c) sa slovo „vplyvov“ nahrádza slovom „faktorov“.</w:t>
      </w:r>
    </w:p>
    <w:p w:rsidR="006B3D58" w:rsidP="006B3D58">
      <w:pPr>
        <w:pStyle w:val="ListParagraph"/>
        <w:bidi w:val="0"/>
        <w:spacing w:after="0" w:line="240" w:lineRule="auto"/>
        <w:ind w:left="348"/>
        <w:jc w:val="both"/>
        <w:rPr>
          <w:rFonts w:ascii="Times New Roman" w:hAnsi="Times New Roman"/>
          <w:sz w:val="24"/>
          <w:szCs w:val="24"/>
        </w:rPr>
      </w:pPr>
    </w:p>
    <w:p w:rsidR="006B3D58" w:rsidRPr="00FB7063" w:rsidP="006B3D58">
      <w:pPr>
        <w:pStyle w:val="ListParagraph"/>
        <w:shd w:val="clear" w:color="auto" w:fill="FFFFFF"/>
        <w:autoSpaceDE w:val="0"/>
        <w:autoSpaceDN w:val="0"/>
        <w:bidi w:val="0"/>
        <w:spacing w:after="0" w:line="240" w:lineRule="auto"/>
        <w:ind w:left="2472" w:firstLine="417"/>
        <w:jc w:val="both"/>
        <w:rPr>
          <w:rFonts w:ascii="Times New Roman" w:hAnsi="Times New Roman"/>
          <w:b/>
          <w:sz w:val="24"/>
          <w:szCs w:val="24"/>
        </w:rPr>
      </w:pPr>
    </w:p>
    <w:p w:rsidR="006B3D58" w:rsidRPr="00FB7063" w:rsidP="006B3D58">
      <w:pPr>
        <w:pStyle w:val="ListParagraph"/>
        <w:bidi w:val="0"/>
        <w:spacing w:after="0" w:line="240" w:lineRule="auto"/>
        <w:ind w:left="2889"/>
        <w:jc w:val="both"/>
        <w:rPr>
          <w:rFonts w:ascii="Times New Roman" w:hAnsi="Times New Roman"/>
          <w:sz w:val="24"/>
          <w:szCs w:val="24"/>
        </w:rPr>
      </w:pPr>
      <w:r w:rsidRPr="00FB7063">
        <w:rPr>
          <w:rFonts w:ascii="Times New Roman" w:hAnsi="Times New Roman"/>
          <w:sz w:val="24"/>
          <w:szCs w:val="24"/>
        </w:rPr>
        <w:t>Ide o zosúladenie pojmov používaných pri právnej úprave možnosti doplnkovej dôchodkovej spoločnosti zohľadňovať pri investovaní svojho majetku.</w:t>
      </w:r>
    </w:p>
    <w:p w:rsidR="006B3D58" w:rsidP="006B3D58">
      <w:pPr>
        <w:pStyle w:val="ListParagraph"/>
        <w:shd w:val="clear" w:color="auto" w:fill="FFFFFF"/>
        <w:autoSpaceDE w:val="0"/>
        <w:autoSpaceDN w:val="0"/>
        <w:bidi w:val="0"/>
        <w:spacing w:after="0" w:line="240" w:lineRule="auto"/>
        <w:ind w:left="2832"/>
        <w:jc w:val="both"/>
        <w:rPr>
          <w:rFonts w:ascii="Times New Roman" w:hAnsi="Times New Roman"/>
          <w:b/>
          <w:sz w:val="24"/>
          <w:szCs w:val="24"/>
        </w:rPr>
      </w:pPr>
    </w:p>
    <w:p w:rsidR="006B3D58" w:rsidRPr="00211C7B" w:rsidP="00211C7B">
      <w:pPr>
        <w:pStyle w:val="ListParagraph"/>
        <w:numPr>
          <w:numId w:val="2"/>
        </w:numPr>
        <w:tabs>
          <w:tab w:val="left" w:pos="426"/>
        </w:tabs>
        <w:bidi w:val="0"/>
        <w:spacing w:after="200" w:line="276" w:lineRule="auto"/>
        <w:ind w:hanging="1495"/>
        <w:rPr>
          <w:rFonts w:ascii="Times New Roman" w:hAnsi="Times New Roman"/>
        </w:rPr>
      </w:pPr>
      <w:r w:rsidRPr="00211C7B">
        <w:rPr>
          <w:rFonts w:ascii="Times New Roman" w:hAnsi="Times New Roman"/>
        </w:rPr>
        <w:t>V čl. I bode 78 poznámka pod čiarou k odkazu 41j znie:</w:t>
      </w:r>
    </w:p>
    <w:p w:rsidR="006B3D58" w:rsidP="006B3D58">
      <w:pPr>
        <w:bidi w:val="0"/>
        <w:spacing w:line="360" w:lineRule="auto"/>
        <w:ind w:left="284"/>
        <w:jc w:val="both"/>
        <w:rPr>
          <w:rFonts w:ascii="Times New Roman" w:hAnsi="Times New Roman"/>
        </w:rPr>
      </w:pPr>
      <w:r>
        <w:rPr>
          <w:rFonts w:ascii="Times New Roman" w:hAnsi="Times New Roman"/>
        </w:rPr>
        <w:t>„</w:t>
      </w:r>
      <w:r>
        <w:rPr>
          <w:rFonts w:ascii="Times New Roman" w:hAnsi="Times New Roman"/>
          <w:vertAlign w:val="superscript"/>
        </w:rPr>
        <w:t>41j</w:t>
      </w:r>
      <w:r>
        <w:rPr>
          <w:rFonts w:ascii="Times New Roman" w:hAnsi="Times New Roman"/>
        </w:rPr>
        <w:t>) Čl. 8 nariadenia (EÚ) č. 1094/2010 v platnom znení.“.</w:t>
      </w:r>
    </w:p>
    <w:p w:rsidR="006B3D58" w:rsidRPr="006B3D58" w:rsidP="006B3D58">
      <w:pPr>
        <w:bidi w:val="0"/>
        <w:ind w:left="2832"/>
        <w:jc w:val="both"/>
        <w:rPr>
          <w:rFonts w:ascii="Times New Roman" w:hAnsi="Times New Roman" w:cs="Times New Roman"/>
        </w:rPr>
      </w:pPr>
      <w:r w:rsidRPr="006B3D58">
        <w:rPr>
          <w:rFonts w:ascii="Times New Roman" w:hAnsi="Times New Roman" w:cs="Times New Roman"/>
        </w:rPr>
        <w:t>Ide o legislatívno-technickú pripomienku; precizovanie znenia poznámky pod čiarou k odkazu 41j uvedením konkrétneho článku predmetného právne záväzného aktu Európskej únie.</w:t>
      </w:r>
    </w:p>
    <w:p w:rsidR="006B3D58" w:rsidP="006B3D58">
      <w:pPr>
        <w:bidi w:val="0"/>
        <w:ind w:left="2832"/>
        <w:rPr>
          <w:rFonts w:ascii="Times New Roman" w:hAnsi="Times New Roman"/>
          <w:b/>
        </w:rPr>
      </w:pPr>
    </w:p>
    <w:p w:rsidR="006B3D58" w:rsidRPr="006B3D58" w:rsidP="006B3D58">
      <w:pPr>
        <w:bidi w:val="0"/>
        <w:ind w:left="2832"/>
        <w:rPr>
          <w:rFonts w:ascii="Times New Roman" w:hAnsi="Times New Roman"/>
          <w:b/>
        </w:rPr>
      </w:pPr>
    </w:p>
    <w:p w:rsidR="006B3D58" w:rsidRPr="000C69A6" w:rsidP="006B3D58">
      <w:pPr>
        <w:pStyle w:val="ListParagraph"/>
        <w:numPr>
          <w:numId w:val="5"/>
        </w:numPr>
        <w:bidi w:val="0"/>
        <w:spacing w:after="200" w:line="240" w:lineRule="auto"/>
        <w:jc w:val="both"/>
        <w:rPr>
          <w:rFonts w:ascii="Times New Roman" w:hAnsi="Times New Roman"/>
          <w:sz w:val="24"/>
          <w:szCs w:val="24"/>
        </w:rPr>
      </w:pPr>
      <w:r w:rsidRPr="000C69A6">
        <w:rPr>
          <w:rFonts w:ascii="Times New Roman" w:hAnsi="Times New Roman"/>
          <w:sz w:val="24"/>
          <w:szCs w:val="24"/>
        </w:rPr>
        <w:t>V čl. I 79. bode v § 65 ods. 1 písm. n) sa na konci pripája slovo „dávok“.</w:t>
      </w:r>
    </w:p>
    <w:p w:rsidR="006B3D58" w:rsidRPr="00EE001C" w:rsidP="006B3D58">
      <w:pPr>
        <w:pStyle w:val="ListParagraph"/>
        <w:shd w:val="clear" w:color="auto" w:fill="FFFFFF"/>
        <w:autoSpaceDE w:val="0"/>
        <w:autoSpaceDN w:val="0"/>
        <w:bidi w:val="0"/>
        <w:spacing w:after="0" w:line="240" w:lineRule="auto"/>
        <w:ind w:left="360"/>
        <w:jc w:val="both"/>
        <w:rPr>
          <w:rFonts w:ascii="Times New Roman" w:hAnsi="Times New Roman"/>
          <w:b/>
          <w:i/>
          <w:sz w:val="24"/>
          <w:szCs w:val="24"/>
        </w:rPr>
      </w:pPr>
    </w:p>
    <w:p w:rsidR="006B3D58" w:rsidRPr="00FB7063" w:rsidP="006B3D58">
      <w:pPr>
        <w:pStyle w:val="ListParagraph"/>
        <w:shd w:val="clear" w:color="auto" w:fill="FFFFFF"/>
        <w:autoSpaceDE w:val="0"/>
        <w:autoSpaceDN w:val="0"/>
        <w:bidi w:val="0"/>
        <w:spacing w:after="0" w:line="240" w:lineRule="auto"/>
        <w:ind w:left="2832"/>
        <w:jc w:val="both"/>
        <w:rPr>
          <w:rFonts w:ascii="Times New Roman" w:hAnsi="Times New Roman"/>
          <w:sz w:val="24"/>
          <w:szCs w:val="24"/>
        </w:rPr>
      </w:pPr>
      <w:r w:rsidRPr="00FB7063">
        <w:rPr>
          <w:rFonts w:ascii="Times New Roman" w:hAnsi="Times New Roman"/>
          <w:sz w:val="24"/>
          <w:szCs w:val="24"/>
        </w:rPr>
        <w:t>Ide o terminologické spresnenie subjektu, ktorému doplnková dôchodková spoločnosť zasiela správu o investičnej politike.</w:t>
      </w:r>
    </w:p>
    <w:p w:rsidR="006B3D58" w:rsidP="006B3D58">
      <w:pPr>
        <w:pStyle w:val="ListParagraph"/>
        <w:shd w:val="clear" w:color="auto" w:fill="FFFFFF"/>
        <w:autoSpaceDE w:val="0"/>
        <w:autoSpaceDN w:val="0"/>
        <w:bidi w:val="0"/>
        <w:spacing w:after="0" w:line="240" w:lineRule="auto"/>
        <w:ind w:left="2832"/>
        <w:jc w:val="both"/>
        <w:rPr>
          <w:rFonts w:ascii="Times New Roman" w:hAnsi="Times New Roman"/>
          <w:b/>
          <w:sz w:val="24"/>
          <w:szCs w:val="24"/>
        </w:rPr>
      </w:pPr>
    </w:p>
    <w:p w:rsidR="006B3D58" w:rsidRPr="000C69A6" w:rsidP="006B3D58">
      <w:pPr>
        <w:pStyle w:val="ListParagraph"/>
        <w:numPr>
          <w:numId w:val="5"/>
        </w:numPr>
        <w:bidi w:val="0"/>
        <w:spacing w:after="200" w:line="276" w:lineRule="auto"/>
        <w:rPr>
          <w:rFonts w:ascii="Times New Roman" w:hAnsi="Times New Roman"/>
          <w:sz w:val="24"/>
          <w:szCs w:val="24"/>
        </w:rPr>
      </w:pPr>
      <w:r w:rsidRPr="000C69A6">
        <w:rPr>
          <w:rFonts w:ascii="Times New Roman" w:hAnsi="Times New Roman"/>
          <w:sz w:val="24"/>
          <w:szCs w:val="24"/>
        </w:rPr>
        <w:t>V čl. I bode 97 (§ 70a ods. 10) sa slová „odsek 9“ nahrádzajú slovami „odseku 9“ a slová „odsek 8“ sa nahrádzajú slovami „odseku 8“.</w:t>
      </w:r>
    </w:p>
    <w:p w:rsidR="006B3D58" w:rsidRPr="006B3D58" w:rsidP="006B3D58">
      <w:pPr>
        <w:bidi w:val="0"/>
        <w:ind w:left="2832"/>
        <w:rPr>
          <w:rFonts w:ascii="Times New Roman" w:hAnsi="Times New Roman" w:cs="Times New Roman"/>
        </w:rPr>
      </w:pPr>
      <w:r w:rsidRPr="006B3D58">
        <w:rPr>
          <w:rFonts w:ascii="Times New Roman" w:hAnsi="Times New Roman" w:cs="Times New Roman"/>
        </w:rPr>
        <w:t>Ide o legislatívno-technickú pripomienku v nadväznosti na gramatický tvar uvedených slov v ustanovení § 70a ods. 10.</w:t>
      </w:r>
    </w:p>
    <w:p w:rsidR="006B3D58" w:rsidP="006B3D58">
      <w:pPr>
        <w:bidi w:val="0"/>
        <w:ind w:left="2832"/>
        <w:rPr>
          <w:rFonts w:ascii="Times New Roman" w:hAnsi="Times New Roman"/>
          <w:b/>
        </w:rPr>
      </w:pPr>
    </w:p>
    <w:p w:rsidR="006B3D58" w:rsidRPr="000C69A6" w:rsidP="006B3D58">
      <w:pPr>
        <w:pStyle w:val="ListParagraph"/>
        <w:numPr>
          <w:numId w:val="5"/>
        </w:numPr>
        <w:bidi w:val="0"/>
        <w:spacing w:after="200" w:line="276" w:lineRule="auto"/>
        <w:jc w:val="both"/>
        <w:rPr>
          <w:rFonts w:ascii="Times New Roman" w:hAnsi="Times New Roman"/>
          <w:sz w:val="24"/>
          <w:szCs w:val="24"/>
        </w:rPr>
      </w:pPr>
      <w:r w:rsidRPr="000C69A6">
        <w:rPr>
          <w:rFonts w:ascii="Times New Roman" w:hAnsi="Times New Roman"/>
          <w:sz w:val="24"/>
          <w:szCs w:val="24"/>
        </w:rPr>
        <w:t>V čl. I bode 98 v § 70b ods. 2 druhej vete sa slovo „aj“ nahrádza slovami „a to aj vtedy,“.</w:t>
      </w:r>
    </w:p>
    <w:p w:rsidR="006B3D58" w:rsidP="006B3D58">
      <w:pPr>
        <w:pStyle w:val="BodyTextIndent"/>
        <w:bidi w:val="0"/>
        <w:spacing w:before="240"/>
        <w:ind w:left="2124"/>
        <w:rPr>
          <w:rFonts w:ascii="Times New Roman" w:hAnsi="Times New Roman"/>
        </w:rPr>
      </w:pPr>
      <w:r>
        <w:rPr>
          <w:rStyle w:val="Emphasis"/>
          <w:rFonts w:ascii="Times New Roman" w:hAnsi="Times New Roman"/>
          <w:i w:val="0"/>
        </w:rPr>
        <w:t>Ide o štylistickú úpravu</w:t>
      </w:r>
      <w:r>
        <w:rPr>
          <w:rFonts w:ascii="Times New Roman" w:hAnsi="Times New Roman"/>
        </w:rPr>
        <w:t xml:space="preserve"> uvedeného ustanovenia.</w:t>
      </w:r>
    </w:p>
    <w:p w:rsidR="006B3D58" w:rsidP="006B3D58">
      <w:pPr>
        <w:bidi w:val="0"/>
        <w:ind w:left="2265"/>
        <w:rPr>
          <w:rFonts w:ascii="Times New Roman" w:hAnsi="Times New Roman"/>
          <w:b/>
        </w:rPr>
      </w:pPr>
    </w:p>
    <w:p w:rsidR="006B3D58" w:rsidRPr="00E4639D" w:rsidP="00630795">
      <w:pPr>
        <w:bidi w:val="0"/>
        <w:rPr>
          <w:rFonts w:ascii="Times New Roman" w:hAnsi="Times New Roman" w:cs="Times New Roman"/>
        </w:rPr>
      </w:pPr>
    </w:p>
    <w:sectPr w:rsidSect="006B3D58">
      <w:footerReference w:type="default" r:id="rId4"/>
      <w:pgSz w:w="11906" w:h="16838"/>
      <w:pgMar w:top="1417" w:right="1417" w:bottom="1417" w:left="1701"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imSun">
    <w:altName w:val="??ˇ¦||ˇ¦|ˇ§ˇěˇ¦||ˇ¦ˇě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SimSun">
    <w:panose1 w:val="02010600030101010101"/>
    <w:charset w:val="86"/>
    <w:family w:val="auto"/>
    <w:pitch w:val="variable"/>
    <w:sig w:usb0="00000000" w:usb1="00000000" w:usb2="00000000" w:usb3="00000000" w:csb0="00040001"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831" w:rsidRPr="00E43831">
    <w:pPr>
      <w:pStyle w:val="Footer"/>
      <w:bidi w:val="0"/>
      <w:jc w:val="right"/>
      <w:rPr>
        <w:rFonts w:ascii="Times New Roman" w:hAnsi="Times New Roman" w:cs="Times New Roman"/>
      </w:rPr>
    </w:pPr>
    <w:r w:rsidRPr="00E43831">
      <w:rPr>
        <w:rFonts w:ascii="Times New Roman" w:hAnsi="Times New Roman" w:cs="Times New Roman"/>
      </w:rPr>
      <w:fldChar w:fldCharType="begin"/>
    </w:r>
    <w:r w:rsidRPr="00E43831">
      <w:rPr>
        <w:rFonts w:ascii="Times New Roman" w:hAnsi="Times New Roman" w:cs="Times New Roman"/>
      </w:rPr>
      <w:instrText>PAGE   \* MERGEFORMAT</w:instrText>
    </w:r>
    <w:r w:rsidRPr="00E43831">
      <w:rPr>
        <w:rFonts w:ascii="Times New Roman" w:hAnsi="Times New Roman" w:cs="Times New Roman"/>
      </w:rPr>
      <w:fldChar w:fldCharType="separate"/>
    </w:r>
    <w:r w:rsidR="0057697B">
      <w:rPr>
        <w:rFonts w:ascii="Times New Roman" w:hAnsi="Times New Roman" w:cs="Times New Roman"/>
        <w:noProof/>
      </w:rPr>
      <w:t>2</w:t>
    </w:r>
    <w:r w:rsidRPr="00E43831">
      <w:rPr>
        <w:rFonts w:ascii="Times New Roman" w:hAnsi="Times New Roman" w:cs="Times New Roman"/>
      </w:rPr>
      <w:fldChar w:fldCharType="end"/>
    </w:r>
  </w:p>
  <w:p w:rsidR="00E4383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76B0D"/>
    <w:multiLevelType w:val="hybridMultilevel"/>
    <w:tmpl w:val="8C5AC3B4"/>
    <w:lvl w:ilvl="0">
      <w:start w:val="12"/>
      <w:numFmt w:val="decimal"/>
      <w:lvlText w:val="%1."/>
      <w:lvlJc w:val="left"/>
      <w:pPr>
        <w:ind w:left="360" w:hanging="360"/>
      </w:pPr>
      <w:rPr>
        <w:rFonts w:ascii="Times New Roman" w:hAnsi="Times New Roman" w:cs="Times New Roman" w:hint="default"/>
        <w:b/>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16A32A33"/>
    <w:multiLevelType w:val="hybridMultilevel"/>
    <w:tmpl w:val="3422555E"/>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1114D30"/>
    <w:multiLevelType w:val="hybridMultilevel"/>
    <w:tmpl w:val="C1149440"/>
    <w:lvl w:ilvl="0">
      <w:start w:val="1"/>
      <w:numFmt w:val="lowerLetter"/>
      <w:lvlText w:val="%1)"/>
      <w:lvlJc w:val="left"/>
      <w:pPr>
        <w:ind w:left="768"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88" w:hanging="360"/>
      </w:pPr>
      <w:rPr>
        <w:rFonts w:cs="Times New Roman"/>
        <w:rtl w:val="0"/>
        <w:cs w:val="0"/>
      </w:rPr>
    </w:lvl>
    <w:lvl w:ilvl="2">
      <w:start w:val="1"/>
      <w:numFmt w:val="lowerRoman"/>
      <w:lvlText w:val="%3."/>
      <w:lvlJc w:val="right"/>
      <w:pPr>
        <w:ind w:left="2208" w:hanging="180"/>
      </w:pPr>
      <w:rPr>
        <w:rFonts w:cs="Times New Roman"/>
        <w:rtl w:val="0"/>
        <w:cs w:val="0"/>
      </w:rPr>
    </w:lvl>
    <w:lvl w:ilvl="3">
      <w:start w:val="1"/>
      <w:numFmt w:val="decimal"/>
      <w:lvlText w:val="%4."/>
      <w:lvlJc w:val="left"/>
      <w:pPr>
        <w:ind w:left="2928" w:hanging="360"/>
      </w:pPr>
      <w:rPr>
        <w:rFonts w:cs="Times New Roman"/>
        <w:rtl w:val="0"/>
        <w:cs w:val="0"/>
      </w:rPr>
    </w:lvl>
    <w:lvl w:ilvl="4">
      <w:start w:val="1"/>
      <w:numFmt w:val="lowerLetter"/>
      <w:lvlText w:val="%5."/>
      <w:lvlJc w:val="left"/>
      <w:pPr>
        <w:ind w:left="3648" w:hanging="360"/>
      </w:pPr>
      <w:rPr>
        <w:rFonts w:cs="Times New Roman"/>
        <w:rtl w:val="0"/>
        <w:cs w:val="0"/>
      </w:rPr>
    </w:lvl>
    <w:lvl w:ilvl="5">
      <w:start w:val="1"/>
      <w:numFmt w:val="lowerRoman"/>
      <w:lvlText w:val="%6."/>
      <w:lvlJc w:val="right"/>
      <w:pPr>
        <w:ind w:left="4368" w:hanging="180"/>
      </w:pPr>
      <w:rPr>
        <w:rFonts w:cs="Times New Roman"/>
        <w:rtl w:val="0"/>
        <w:cs w:val="0"/>
      </w:rPr>
    </w:lvl>
    <w:lvl w:ilvl="6">
      <w:start w:val="1"/>
      <w:numFmt w:val="decimal"/>
      <w:lvlText w:val="%7."/>
      <w:lvlJc w:val="left"/>
      <w:pPr>
        <w:ind w:left="5088" w:hanging="360"/>
      </w:pPr>
      <w:rPr>
        <w:rFonts w:cs="Times New Roman"/>
        <w:rtl w:val="0"/>
        <w:cs w:val="0"/>
      </w:rPr>
    </w:lvl>
    <w:lvl w:ilvl="7">
      <w:start w:val="1"/>
      <w:numFmt w:val="lowerLetter"/>
      <w:lvlText w:val="%8."/>
      <w:lvlJc w:val="left"/>
      <w:pPr>
        <w:ind w:left="5808" w:hanging="360"/>
      </w:pPr>
      <w:rPr>
        <w:rFonts w:cs="Times New Roman"/>
        <w:rtl w:val="0"/>
        <w:cs w:val="0"/>
      </w:rPr>
    </w:lvl>
    <w:lvl w:ilvl="8">
      <w:start w:val="1"/>
      <w:numFmt w:val="lowerRoman"/>
      <w:lvlText w:val="%9."/>
      <w:lvlJc w:val="right"/>
      <w:pPr>
        <w:ind w:left="6528" w:hanging="180"/>
      </w:pPr>
      <w:rPr>
        <w:rFonts w:cs="Times New Roman"/>
        <w:rtl w:val="0"/>
        <w:cs w:val="0"/>
      </w:rPr>
    </w:lvl>
  </w:abstractNum>
  <w:abstractNum w:abstractNumId="3">
    <w:nsid w:val="217C5B1D"/>
    <w:multiLevelType w:val="hybridMultilevel"/>
    <w:tmpl w:val="810C4720"/>
    <w:lvl w:ilvl="0">
      <w:start w:val="1"/>
      <w:numFmt w:val="decimal"/>
      <w:lvlText w:val="%1."/>
      <w:lvlJc w:val="left"/>
      <w:pPr>
        <w:ind w:left="3552" w:hanging="360"/>
      </w:pPr>
      <w:rPr>
        <w:rFonts w:cs="Times New Roman"/>
        <w:rtl w:val="0"/>
        <w:cs w:val="0"/>
      </w:rPr>
    </w:lvl>
    <w:lvl w:ilvl="1">
      <w:start w:val="1"/>
      <w:numFmt w:val="lowerLetter"/>
      <w:lvlText w:val="%2."/>
      <w:lvlJc w:val="left"/>
      <w:pPr>
        <w:ind w:left="4272" w:hanging="360"/>
      </w:pPr>
      <w:rPr>
        <w:rFonts w:cs="Times New Roman"/>
        <w:rtl w:val="0"/>
        <w:cs w:val="0"/>
      </w:rPr>
    </w:lvl>
    <w:lvl w:ilvl="2">
      <w:start w:val="1"/>
      <w:numFmt w:val="lowerRoman"/>
      <w:lvlText w:val="%3."/>
      <w:lvlJc w:val="right"/>
      <w:pPr>
        <w:ind w:left="4992" w:hanging="180"/>
      </w:pPr>
      <w:rPr>
        <w:rFonts w:cs="Times New Roman"/>
        <w:rtl w:val="0"/>
        <w:cs w:val="0"/>
      </w:rPr>
    </w:lvl>
    <w:lvl w:ilvl="3">
      <w:start w:val="1"/>
      <w:numFmt w:val="decimal"/>
      <w:lvlText w:val="%4."/>
      <w:lvlJc w:val="left"/>
      <w:pPr>
        <w:ind w:left="5712" w:hanging="360"/>
      </w:pPr>
      <w:rPr>
        <w:rFonts w:cs="Times New Roman"/>
        <w:rtl w:val="0"/>
        <w:cs w:val="0"/>
      </w:rPr>
    </w:lvl>
    <w:lvl w:ilvl="4">
      <w:start w:val="1"/>
      <w:numFmt w:val="lowerLetter"/>
      <w:lvlText w:val="%5."/>
      <w:lvlJc w:val="left"/>
      <w:pPr>
        <w:ind w:left="6432" w:hanging="360"/>
      </w:pPr>
      <w:rPr>
        <w:rFonts w:cs="Times New Roman"/>
        <w:rtl w:val="0"/>
        <w:cs w:val="0"/>
      </w:rPr>
    </w:lvl>
    <w:lvl w:ilvl="5">
      <w:start w:val="1"/>
      <w:numFmt w:val="lowerRoman"/>
      <w:lvlText w:val="%6."/>
      <w:lvlJc w:val="right"/>
      <w:pPr>
        <w:ind w:left="7152" w:hanging="180"/>
      </w:pPr>
      <w:rPr>
        <w:rFonts w:cs="Times New Roman"/>
        <w:rtl w:val="0"/>
        <w:cs w:val="0"/>
      </w:rPr>
    </w:lvl>
    <w:lvl w:ilvl="6">
      <w:start w:val="1"/>
      <w:numFmt w:val="decimal"/>
      <w:lvlText w:val="%7."/>
      <w:lvlJc w:val="left"/>
      <w:pPr>
        <w:ind w:left="7872" w:hanging="360"/>
      </w:pPr>
      <w:rPr>
        <w:rFonts w:cs="Times New Roman"/>
        <w:rtl w:val="0"/>
        <w:cs w:val="0"/>
      </w:rPr>
    </w:lvl>
    <w:lvl w:ilvl="7">
      <w:start w:val="1"/>
      <w:numFmt w:val="lowerLetter"/>
      <w:lvlText w:val="%8."/>
      <w:lvlJc w:val="left"/>
      <w:pPr>
        <w:ind w:left="8592" w:hanging="360"/>
      </w:pPr>
      <w:rPr>
        <w:rFonts w:cs="Times New Roman"/>
        <w:rtl w:val="0"/>
        <w:cs w:val="0"/>
      </w:rPr>
    </w:lvl>
    <w:lvl w:ilvl="8">
      <w:start w:val="1"/>
      <w:numFmt w:val="lowerRoman"/>
      <w:lvlText w:val="%9."/>
      <w:lvlJc w:val="right"/>
      <w:pPr>
        <w:ind w:left="9312" w:hanging="180"/>
      </w:pPr>
      <w:rPr>
        <w:rFonts w:cs="Times New Roman"/>
        <w:rtl w:val="0"/>
        <w:cs w:val="0"/>
      </w:rPr>
    </w:lvl>
  </w:abstractNum>
  <w:abstractNum w:abstractNumId="4">
    <w:nsid w:val="2AC156E4"/>
    <w:multiLevelType w:val="hybridMultilevel"/>
    <w:tmpl w:val="9D703B96"/>
    <w:lvl w:ilvl="0">
      <w:start w:val="1"/>
      <w:numFmt w:val="decimal"/>
      <w:lvlText w:val="%1."/>
      <w:lvlJc w:val="left"/>
      <w:pPr>
        <w:ind w:left="1495" w:hanging="360"/>
      </w:pPr>
      <w:rPr>
        <w:rFonts w:cs="Times New Roman" w:hint="default"/>
        <w:b/>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5">
    <w:nsid w:val="3C1F3D2D"/>
    <w:multiLevelType w:val="hybridMultilevel"/>
    <w:tmpl w:val="6A4C4078"/>
    <w:lvl w:ilvl="0">
      <w:start w:val="1"/>
      <w:numFmt w:val="decimal"/>
      <w:lvlText w:val="%1."/>
      <w:lvlJc w:val="left"/>
      <w:pPr>
        <w:ind w:left="3552" w:hanging="360"/>
      </w:pPr>
      <w:rPr>
        <w:rFonts w:cs="Times New Roman"/>
        <w:rtl w:val="0"/>
        <w:cs w:val="0"/>
      </w:rPr>
    </w:lvl>
    <w:lvl w:ilvl="1">
      <w:start w:val="1"/>
      <w:numFmt w:val="lowerLetter"/>
      <w:lvlText w:val="%2."/>
      <w:lvlJc w:val="left"/>
      <w:pPr>
        <w:ind w:left="4272" w:hanging="360"/>
      </w:pPr>
      <w:rPr>
        <w:rFonts w:cs="Times New Roman"/>
        <w:rtl w:val="0"/>
        <w:cs w:val="0"/>
      </w:rPr>
    </w:lvl>
    <w:lvl w:ilvl="2">
      <w:start w:val="1"/>
      <w:numFmt w:val="lowerRoman"/>
      <w:lvlText w:val="%3."/>
      <w:lvlJc w:val="right"/>
      <w:pPr>
        <w:ind w:left="4992" w:hanging="180"/>
      </w:pPr>
      <w:rPr>
        <w:rFonts w:cs="Times New Roman"/>
        <w:rtl w:val="0"/>
        <w:cs w:val="0"/>
      </w:rPr>
    </w:lvl>
    <w:lvl w:ilvl="3">
      <w:start w:val="1"/>
      <w:numFmt w:val="decimal"/>
      <w:lvlText w:val="%4."/>
      <w:lvlJc w:val="left"/>
      <w:pPr>
        <w:ind w:left="5712" w:hanging="360"/>
      </w:pPr>
      <w:rPr>
        <w:rFonts w:cs="Times New Roman"/>
        <w:rtl w:val="0"/>
        <w:cs w:val="0"/>
      </w:rPr>
    </w:lvl>
    <w:lvl w:ilvl="4">
      <w:start w:val="1"/>
      <w:numFmt w:val="lowerLetter"/>
      <w:lvlText w:val="%5."/>
      <w:lvlJc w:val="left"/>
      <w:pPr>
        <w:ind w:left="6432" w:hanging="360"/>
      </w:pPr>
      <w:rPr>
        <w:rFonts w:cs="Times New Roman"/>
        <w:rtl w:val="0"/>
        <w:cs w:val="0"/>
      </w:rPr>
    </w:lvl>
    <w:lvl w:ilvl="5">
      <w:start w:val="1"/>
      <w:numFmt w:val="lowerRoman"/>
      <w:lvlText w:val="%6."/>
      <w:lvlJc w:val="right"/>
      <w:pPr>
        <w:ind w:left="7152" w:hanging="180"/>
      </w:pPr>
      <w:rPr>
        <w:rFonts w:cs="Times New Roman"/>
        <w:rtl w:val="0"/>
        <w:cs w:val="0"/>
      </w:rPr>
    </w:lvl>
    <w:lvl w:ilvl="6">
      <w:start w:val="1"/>
      <w:numFmt w:val="decimal"/>
      <w:lvlText w:val="%7."/>
      <w:lvlJc w:val="left"/>
      <w:pPr>
        <w:ind w:left="7872" w:hanging="360"/>
      </w:pPr>
      <w:rPr>
        <w:rFonts w:cs="Times New Roman"/>
        <w:rtl w:val="0"/>
        <w:cs w:val="0"/>
      </w:rPr>
    </w:lvl>
    <w:lvl w:ilvl="7">
      <w:start w:val="1"/>
      <w:numFmt w:val="lowerLetter"/>
      <w:lvlText w:val="%8."/>
      <w:lvlJc w:val="left"/>
      <w:pPr>
        <w:ind w:left="8592" w:hanging="360"/>
      </w:pPr>
      <w:rPr>
        <w:rFonts w:cs="Times New Roman"/>
        <w:rtl w:val="0"/>
        <w:cs w:val="0"/>
      </w:rPr>
    </w:lvl>
    <w:lvl w:ilvl="8">
      <w:start w:val="1"/>
      <w:numFmt w:val="lowerRoman"/>
      <w:lvlText w:val="%9."/>
      <w:lvlJc w:val="right"/>
      <w:pPr>
        <w:ind w:left="9312" w:hanging="180"/>
      </w:pPr>
      <w:rPr>
        <w:rFonts w:cs="Times New Roman"/>
        <w:rtl w:val="0"/>
        <w:cs w:val="0"/>
      </w:rPr>
    </w:lvl>
  </w:abstractNum>
  <w:abstractNum w:abstractNumId="6">
    <w:nsid w:val="5FE100D3"/>
    <w:multiLevelType w:val="hybridMultilevel"/>
    <w:tmpl w:val="745C4DCA"/>
    <w:lvl w:ilvl="0">
      <w:start w:val="1"/>
      <w:numFmt w:val="decimal"/>
      <w:lvlText w:val="%1."/>
      <w:lvlJc w:val="left"/>
      <w:pPr>
        <w:ind w:left="3552" w:hanging="360"/>
      </w:pPr>
      <w:rPr>
        <w:rFonts w:cs="Times New Roman"/>
        <w:rtl w:val="0"/>
        <w:cs w:val="0"/>
      </w:rPr>
    </w:lvl>
    <w:lvl w:ilvl="1">
      <w:start w:val="1"/>
      <w:numFmt w:val="lowerLetter"/>
      <w:lvlText w:val="%2."/>
      <w:lvlJc w:val="left"/>
      <w:pPr>
        <w:ind w:left="4272" w:hanging="360"/>
      </w:pPr>
      <w:rPr>
        <w:rFonts w:cs="Times New Roman"/>
        <w:rtl w:val="0"/>
        <w:cs w:val="0"/>
      </w:rPr>
    </w:lvl>
    <w:lvl w:ilvl="2">
      <w:start w:val="1"/>
      <w:numFmt w:val="lowerRoman"/>
      <w:lvlText w:val="%3."/>
      <w:lvlJc w:val="right"/>
      <w:pPr>
        <w:ind w:left="4992" w:hanging="180"/>
      </w:pPr>
      <w:rPr>
        <w:rFonts w:cs="Times New Roman"/>
        <w:rtl w:val="0"/>
        <w:cs w:val="0"/>
      </w:rPr>
    </w:lvl>
    <w:lvl w:ilvl="3">
      <w:start w:val="1"/>
      <w:numFmt w:val="decimal"/>
      <w:lvlText w:val="%4."/>
      <w:lvlJc w:val="left"/>
      <w:pPr>
        <w:ind w:left="5712" w:hanging="360"/>
      </w:pPr>
      <w:rPr>
        <w:rFonts w:cs="Times New Roman"/>
        <w:rtl w:val="0"/>
        <w:cs w:val="0"/>
      </w:rPr>
    </w:lvl>
    <w:lvl w:ilvl="4">
      <w:start w:val="1"/>
      <w:numFmt w:val="lowerLetter"/>
      <w:lvlText w:val="%5."/>
      <w:lvlJc w:val="left"/>
      <w:pPr>
        <w:ind w:left="6432" w:hanging="360"/>
      </w:pPr>
      <w:rPr>
        <w:rFonts w:cs="Times New Roman"/>
        <w:rtl w:val="0"/>
        <w:cs w:val="0"/>
      </w:rPr>
    </w:lvl>
    <w:lvl w:ilvl="5">
      <w:start w:val="1"/>
      <w:numFmt w:val="lowerRoman"/>
      <w:lvlText w:val="%6."/>
      <w:lvlJc w:val="right"/>
      <w:pPr>
        <w:ind w:left="7152" w:hanging="180"/>
      </w:pPr>
      <w:rPr>
        <w:rFonts w:cs="Times New Roman"/>
        <w:rtl w:val="0"/>
        <w:cs w:val="0"/>
      </w:rPr>
    </w:lvl>
    <w:lvl w:ilvl="6">
      <w:start w:val="1"/>
      <w:numFmt w:val="decimal"/>
      <w:lvlText w:val="%7."/>
      <w:lvlJc w:val="left"/>
      <w:pPr>
        <w:ind w:left="7872" w:hanging="360"/>
      </w:pPr>
      <w:rPr>
        <w:rFonts w:cs="Times New Roman"/>
        <w:rtl w:val="0"/>
        <w:cs w:val="0"/>
      </w:rPr>
    </w:lvl>
    <w:lvl w:ilvl="7">
      <w:start w:val="1"/>
      <w:numFmt w:val="lowerLetter"/>
      <w:lvlText w:val="%8."/>
      <w:lvlJc w:val="left"/>
      <w:pPr>
        <w:ind w:left="8592" w:hanging="360"/>
      </w:pPr>
      <w:rPr>
        <w:rFonts w:cs="Times New Roman"/>
        <w:rtl w:val="0"/>
        <w:cs w:val="0"/>
      </w:rPr>
    </w:lvl>
    <w:lvl w:ilvl="8">
      <w:start w:val="1"/>
      <w:numFmt w:val="lowerRoman"/>
      <w:lvlText w:val="%9."/>
      <w:lvlJc w:val="right"/>
      <w:pPr>
        <w:ind w:left="9312" w:hanging="180"/>
      </w:pPr>
      <w:rPr>
        <w:rFonts w:cs="Times New Roman"/>
        <w:rtl w:val="0"/>
        <w:cs w:val="0"/>
      </w:rPr>
    </w:lvl>
  </w:abstractNum>
  <w:abstractNum w:abstractNumId="7">
    <w:nsid w:val="67EA381B"/>
    <w:multiLevelType w:val="hybridMultilevel"/>
    <w:tmpl w:val="613252B6"/>
    <w:lvl w:ilvl="0">
      <w:start w:val="1"/>
      <w:numFmt w:val="upperLetter"/>
      <w:lvlText w:val="%1."/>
      <w:lvlJc w:val="left"/>
      <w:pPr>
        <w:tabs>
          <w:tab w:val="num" w:pos="1068"/>
        </w:tabs>
        <w:ind w:left="1068" w:hanging="360"/>
      </w:pPr>
      <w:rPr>
        <w:rFonts w:cs="Times New Roman"/>
        <w:rtl w:val="0"/>
        <w:cs w:val="0"/>
      </w:rPr>
    </w:lvl>
    <w:lvl w:ilvl="1">
      <w:start w:val="1"/>
      <w:numFmt w:val="decimal"/>
      <w:lvlText w:val="%2."/>
      <w:lvlJc w:val="left"/>
      <w:pPr>
        <w:tabs>
          <w:tab w:val="num" w:pos="1788"/>
        </w:tabs>
        <w:ind w:left="1788" w:hanging="360"/>
      </w:pPr>
      <w:rPr>
        <w:rFonts w:cs="Times New Roman"/>
        <w:rtl w:val="0"/>
        <w:cs w:val="0"/>
      </w:rPr>
    </w:lvl>
    <w:lvl w:ilvl="2">
      <w:start w:val="1"/>
      <w:numFmt w:val="decimal"/>
      <w:lvlText w:val="%3."/>
      <w:lvlJc w:val="left"/>
      <w:pPr>
        <w:tabs>
          <w:tab w:val="num" w:pos="2148"/>
        </w:tabs>
        <w:ind w:left="2148" w:hanging="360"/>
      </w:pPr>
      <w:rPr>
        <w:rFonts w:cs="Times New Roman"/>
        <w:rtl w:val="0"/>
        <w:cs w:val="0"/>
      </w:rPr>
    </w:lvl>
    <w:lvl w:ilvl="3">
      <w:start w:val="1"/>
      <w:numFmt w:val="decimal"/>
      <w:lvlText w:val="%4."/>
      <w:lvlJc w:val="left"/>
      <w:pPr>
        <w:tabs>
          <w:tab w:val="num" w:pos="2868"/>
        </w:tabs>
        <w:ind w:left="2868" w:hanging="360"/>
      </w:pPr>
      <w:rPr>
        <w:rFonts w:cs="Times New Roman"/>
        <w:rtl w:val="0"/>
        <w:cs w:val="0"/>
      </w:rPr>
    </w:lvl>
    <w:lvl w:ilvl="4">
      <w:start w:val="1"/>
      <w:numFmt w:val="decimal"/>
      <w:lvlText w:val="%5."/>
      <w:lvlJc w:val="left"/>
      <w:pPr>
        <w:tabs>
          <w:tab w:val="num" w:pos="3588"/>
        </w:tabs>
        <w:ind w:left="3588" w:hanging="360"/>
      </w:pPr>
      <w:rPr>
        <w:rFonts w:cs="Times New Roman"/>
        <w:rtl w:val="0"/>
        <w:cs w:val="0"/>
      </w:rPr>
    </w:lvl>
    <w:lvl w:ilvl="5">
      <w:start w:val="1"/>
      <w:numFmt w:val="decimal"/>
      <w:lvlText w:val="%6."/>
      <w:lvlJc w:val="left"/>
      <w:pPr>
        <w:tabs>
          <w:tab w:val="num" w:pos="4308"/>
        </w:tabs>
        <w:ind w:left="4308" w:hanging="360"/>
      </w:pPr>
      <w:rPr>
        <w:rFonts w:cs="Times New Roman"/>
        <w:rtl w:val="0"/>
        <w:cs w:val="0"/>
      </w:rPr>
    </w:lvl>
    <w:lvl w:ilvl="6">
      <w:start w:val="1"/>
      <w:numFmt w:val="decimal"/>
      <w:lvlText w:val="%7."/>
      <w:lvlJc w:val="left"/>
      <w:pPr>
        <w:tabs>
          <w:tab w:val="num" w:pos="5028"/>
        </w:tabs>
        <w:ind w:left="5028" w:hanging="360"/>
      </w:pPr>
      <w:rPr>
        <w:rFonts w:cs="Times New Roman"/>
        <w:rtl w:val="0"/>
        <w:cs w:val="0"/>
      </w:rPr>
    </w:lvl>
    <w:lvl w:ilvl="7">
      <w:start w:val="1"/>
      <w:numFmt w:val="decimal"/>
      <w:lvlText w:val="%8."/>
      <w:lvlJc w:val="left"/>
      <w:pPr>
        <w:tabs>
          <w:tab w:val="num" w:pos="5748"/>
        </w:tabs>
        <w:ind w:left="5748" w:hanging="360"/>
      </w:pPr>
      <w:rPr>
        <w:rFonts w:cs="Times New Roman"/>
        <w:rtl w:val="0"/>
        <w:cs w:val="0"/>
      </w:rPr>
    </w:lvl>
    <w:lvl w:ilvl="8">
      <w:start w:val="1"/>
      <w:numFmt w:val="decimal"/>
      <w:lvlText w:val="%9."/>
      <w:lvlJc w:val="left"/>
      <w:pPr>
        <w:tabs>
          <w:tab w:val="num" w:pos="6468"/>
        </w:tabs>
        <w:ind w:left="6468" w:hanging="360"/>
      </w:pPr>
      <w:rPr>
        <w:rFonts w:cs="Times New Roman"/>
        <w:rtl w:val="0"/>
        <w:cs w:val="0"/>
      </w:rPr>
    </w:lvl>
  </w:abstractNum>
  <w:abstractNum w:abstractNumId="8">
    <w:nsid w:val="7C18765D"/>
    <w:multiLevelType w:val="hybridMultilevel"/>
    <w:tmpl w:val="653C2A96"/>
    <w:lvl w:ilvl="0">
      <w:start w:val="1"/>
      <w:numFmt w:val="decimal"/>
      <w:lvlText w:val="%1."/>
      <w:lvlJc w:val="left"/>
      <w:pPr>
        <w:ind w:left="3552" w:hanging="360"/>
      </w:pPr>
      <w:rPr>
        <w:rFonts w:cs="Times New Roman"/>
        <w:rtl w:val="0"/>
        <w:cs w:val="0"/>
      </w:rPr>
    </w:lvl>
    <w:lvl w:ilvl="1">
      <w:start w:val="1"/>
      <w:numFmt w:val="lowerLetter"/>
      <w:lvlText w:val="%2."/>
      <w:lvlJc w:val="left"/>
      <w:pPr>
        <w:ind w:left="4272" w:hanging="360"/>
      </w:pPr>
      <w:rPr>
        <w:rFonts w:cs="Times New Roman"/>
        <w:rtl w:val="0"/>
        <w:cs w:val="0"/>
      </w:rPr>
    </w:lvl>
    <w:lvl w:ilvl="2">
      <w:start w:val="1"/>
      <w:numFmt w:val="lowerRoman"/>
      <w:lvlText w:val="%3."/>
      <w:lvlJc w:val="right"/>
      <w:pPr>
        <w:ind w:left="4992" w:hanging="180"/>
      </w:pPr>
      <w:rPr>
        <w:rFonts w:cs="Times New Roman"/>
        <w:rtl w:val="0"/>
        <w:cs w:val="0"/>
      </w:rPr>
    </w:lvl>
    <w:lvl w:ilvl="3">
      <w:start w:val="1"/>
      <w:numFmt w:val="decimal"/>
      <w:lvlText w:val="%4."/>
      <w:lvlJc w:val="left"/>
      <w:pPr>
        <w:ind w:left="5712" w:hanging="360"/>
      </w:pPr>
      <w:rPr>
        <w:rFonts w:cs="Times New Roman"/>
        <w:rtl w:val="0"/>
        <w:cs w:val="0"/>
      </w:rPr>
    </w:lvl>
    <w:lvl w:ilvl="4">
      <w:start w:val="1"/>
      <w:numFmt w:val="lowerLetter"/>
      <w:lvlText w:val="%5."/>
      <w:lvlJc w:val="left"/>
      <w:pPr>
        <w:ind w:left="6432" w:hanging="360"/>
      </w:pPr>
      <w:rPr>
        <w:rFonts w:cs="Times New Roman"/>
        <w:rtl w:val="0"/>
        <w:cs w:val="0"/>
      </w:rPr>
    </w:lvl>
    <w:lvl w:ilvl="5">
      <w:start w:val="1"/>
      <w:numFmt w:val="lowerRoman"/>
      <w:lvlText w:val="%6."/>
      <w:lvlJc w:val="right"/>
      <w:pPr>
        <w:ind w:left="7152" w:hanging="180"/>
      </w:pPr>
      <w:rPr>
        <w:rFonts w:cs="Times New Roman"/>
        <w:rtl w:val="0"/>
        <w:cs w:val="0"/>
      </w:rPr>
    </w:lvl>
    <w:lvl w:ilvl="6">
      <w:start w:val="1"/>
      <w:numFmt w:val="decimal"/>
      <w:lvlText w:val="%7."/>
      <w:lvlJc w:val="left"/>
      <w:pPr>
        <w:ind w:left="7872" w:hanging="360"/>
      </w:pPr>
      <w:rPr>
        <w:rFonts w:cs="Times New Roman"/>
        <w:rtl w:val="0"/>
        <w:cs w:val="0"/>
      </w:rPr>
    </w:lvl>
    <w:lvl w:ilvl="7">
      <w:start w:val="1"/>
      <w:numFmt w:val="lowerLetter"/>
      <w:lvlText w:val="%8."/>
      <w:lvlJc w:val="left"/>
      <w:pPr>
        <w:ind w:left="8592" w:hanging="360"/>
      </w:pPr>
      <w:rPr>
        <w:rFonts w:cs="Times New Roman"/>
        <w:rtl w:val="0"/>
        <w:cs w:val="0"/>
      </w:rPr>
    </w:lvl>
    <w:lvl w:ilvl="8">
      <w:start w:val="1"/>
      <w:numFmt w:val="lowerRoman"/>
      <w:lvlText w:val="%9."/>
      <w:lvlJc w:val="right"/>
      <w:pPr>
        <w:ind w:left="9312" w:hanging="180"/>
      </w:pPr>
      <w:rPr>
        <w:rFonts w:cs="Times New Roman"/>
        <w:rtl w:val="0"/>
        <w:cs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0"/>
  </w:num>
  <w:num w:numId="6">
    <w:abstractNumId w:val="7"/>
  </w:num>
  <w:num w:numId="7">
    <w:abstractNumId w:val="5"/>
  </w:num>
  <w:num w:numId="8">
    <w:abstractNumId w:val="8"/>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30795"/>
    <w:rsid w:val="00005ABD"/>
    <w:rsid w:val="00091668"/>
    <w:rsid w:val="000A38BF"/>
    <w:rsid w:val="000C69A6"/>
    <w:rsid w:val="000E24C7"/>
    <w:rsid w:val="001756F9"/>
    <w:rsid w:val="001C77E9"/>
    <w:rsid w:val="00211C7B"/>
    <w:rsid w:val="00295789"/>
    <w:rsid w:val="002E0852"/>
    <w:rsid w:val="00341FC0"/>
    <w:rsid w:val="0037098F"/>
    <w:rsid w:val="003B496E"/>
    <w:rsid w:val="00472A71"/>
    <w:rsid w:val="004A512D"/>
    <w:rsid w:val="0053785C"/>
    <w:rsid w:val="0057697B"/>
    <w:rsid w:val="00630795"/>
    <w:rsid w:val="006374F5"/>
    <w:rsid w:val="00665100"/>
    <w:rsid w:val="006B3D58"/>
    <w:rsid w:val="007372EF"/>
    <w:rsid w:val="007A42D7"/>
    <w:rsid w:val="00877FAE"/>
    <w:rsid w:val="00901FC9"/>
    <w:rsid w:val="00936385"/>
    <w:rsid w:val="009C37F9"/>
    <w:rsid w:val="00A13939"/>
    <w:rsid w:val="00B37E68"/>
    <w:rsid w:val="00BF53D8"/>
    <w:rsid w:val="00C561A7"/>
    <w:rsid w:val="00C71C36"/>
    <w:rsid w:val="00D13B0C"/>
    <w:rsid w:val="00D8686A"/>
    <w:rsid w:val="00E37181"/>
    <w:rsid w:val="00E43831"/>
    <w:rsid w:val="00E4639D"/>
    <w:rsid w:val="00EE001C"/>
    <w:rsid w:val="00F80D87"/>
    <w:rsid w:val="00FB706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795"/>
    <w:pPr>
      <w:framePr w:wrap="auto"/>
      <w:widowControl/>
      <w:autoSpaceDE/>
      <w:autoSpaceDN/>
      <w:adjustRightInd/>
      <w:ind w:left="0" w:right="0"/>
      <w:jc w:val="left"/>
      <w:textAlignment w:val="auto"/>
    </w:pPr>
    <w:rPr>
      <w:rFonts w:ascii="Arial" w:hAnsi="Arial" w:cs="Arial"/>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Strong">
    <w:name w:val="Strong"/>
    <w:basedOn w:val="DefaultParagraphFont"/>
    <w:uiPriority w:val="22"/>
    <w:qFormat/>
    <w:rsid w:val="00630795"/>
    <w:rPr>
      <w:rFonts w:ascii="Times New Roman" w:hAnsi="Times New Roman" w:cs="Times New Roman"/>
      <w:b/>
      <w:rtl w:val="0"/>
      <w:cs w:val="0"/>
    </w:rPr>
  </w:style>
  <w:style w:type="paragraph" w:styleId="BodyTextIndent">
    <w:name w:val="Body Text Indent"/>
    <w:basedOn w:val="Normal"/>
    <w:link w:val="ZarkazkladnhotextuChar"/>
    <w:uiPriority w:val="99"/>
    <w:rsid w:val="001756F9"/>
    <w:pPr>
      <w:widowControl w:val="0"/>
      <w:autoSpaceDE w:val="0"/>
      <w:autoSpaceDN w:val="0"/>
      <w:adjustRightInd w:val="0"/>
      <w:spacing w:line="360" w:lineRule="auto"/>
      <w:ind w:firstLine="709"/>
      <w:jc w:val="both"/>
    </w:pPr>
    <w:rPr>
      <w:rFonts w:ascii="Times New Roman" w:hAnsi="Times New Roman" w:cs="Times New Roman"/>
      <w:szCs w:val="20"/>
    </w:rPr>
  </w:style>
  <w:style w:type="character" w:customStyle="1" w:styleId="ZarkazkladnhotextuChar">
    <w:name w:val="Zarážka základného textu Char"/>
    <w:basedOn w:val="DefaultParagraphFont"/>
    <w:link w:val="BodyTextIndent"/>
    <w:uiPriority w:val="99"/>
    <w:locked/>
    <w:rsid w:val="001756F9"/>
    <w:rPr>
      <w:rFonts w:ascii="Times New Roman" w:hAnsi="Times New Roman" w:cs="Times New Roman"/>
      <w:sz w:val="20"/>
      <w:szCs w:val="20"/>
      <w:rtl w:val="0"/>
      <w:cs w:val="0"/>
      <w:lang w:val="x-none" w:eastAsia="sk-SK"/>
    </w:rPr>
  </w:style>
  <w:style w:type="character" w:styleId="Emphasis">
    <w:name w:val="Emphasis"/>
    <w:basedOn w:val="DefaultParagraphFont"/>
    <w:uiPriority w:val="20"/>
    <w:qFormat/>
    <w:rsid w:val="001756F9"/>
    <w:rPr>
      <w:rFonts w:cs="Times New Roman"/>
      <w:i/>
      <w:rtl w:val="0"/>
      <w:cs w:val="0"/>
    </w:rPr>
  </w:style>
  <w:style w:type="paragraph" w:styleId="Header">
    <w:name w:val="header"/>
    <w:basedOn w:val="Normal"/>
    <w:link w:val="HlavikaChar"/>
    <w:uiPriority w:val="99"/>
    <w:unhideWhenUsed/>
    <w:rsid w:val="00E43831"/>
    <w:pPr>
      <w:tabs>
        <w:tab w:val="center" w:pos="4536"/>
        <w:tab w:val="right" w:pos="9072"/>
      </w:tabs>
      <w:jc w:val="left"/>
    </w:pPr>
  </w:style>
  <w:style w:type="character" w:customStyle="1" w:styleId="HlavikaChar">
    <w:name w:val="Hlavička Char"/>
    <w:basedOn w:val="DefaultParagraphFont"/>
    <w:link w:val="Header"/>
    <w:uiPriority w:val="99"/>
    <w:locked/>
    <w:rsid w:val="00E43831"/>
    <w:rPr>
      <w:rFonts w:ascii="Arial" w:hAnsi="Arial" w:cs="Arial"/>
      <w:sz w:val="24"/>
      <w:szCs w:val="24"/>
      <w:rtl w:val="0"/>
      <w:cs w:val="0"/>
      <w:lang w:val="x-none" w:eastAsia="sk-SK"/>
    </w:rPr>
  </w:style>
  <w:style w:type="paragraph" w:styleId="Footer">
    <w:name w:val="footer"/>
    <w:basedOn w:val="Normal"/>
    <w:link w:val="PtaChar"/>
    <w:uiPriority w:val="99"/>
    <w:unhideWhenUsed/>
    <w:rsid w:val="00E43831"/>
    <w:pPr>
      <w:tabs>
        <w:tab w:val="center" w:pos="4536"/>
        <w:tab w:val="right" w:pos="9072"/>
      </w:tabs>
      <w:jc w:val="left"/>
    </w:pPr>
  </w:style>
  <w:style w:type="character" w:customStyle="1" w:styleId="PtaChar">
    <w:name w:val="Päta Char"/>
    <w:basedOn w:val="DefaultParagraphFont"/>
    <w:link w:val="Footer"/>
    <w:uiPriority w:val="99"/>
    <w:locked/>
    <w:rsid w:val="00E43831"/>
    <w:rPr>
      <w:rFonts w:ascii="Arial" w:hAnsi="Arial" w:cs="Arial"/>
      <w:sz w:val="24"/>
      <w:szCs w:val="24"/>
      <w:rtl w:val="0"/>
      <w:cs w:val="0"/>
      <w:lang w:val="x-none" w:eastAsia="sk-SK"/>
    </w:rPr>
  </w:style>
  <w:style w:type="paragraph" w:styleId="ListParagraph">
    <w:name w:val="List Paragraph"/>
    <w:aliases w:val="Odsek,Odsek zoznamu1,Odsek zoznamu2,body"/>
    <w:basedOn w:val="Normal"/>
    <w:link w:val="OdsekzoznamuChar"/>
    <w:uiPriority w:val="34"/>
    <w:qFormat/>
    <w:rsid w:val="006B3D58"/>
    <w:pPr>
      <w:spacing w:after="160" w:line="259" w:lineRule="auto"/>
      <w:ind w:left="720"/>
      <w:contextualSpacing/>
      <w:jc w:val="left"/>
    </w:pPr>
    <w:rPr>
      <w:rFonts w:asciiTheme="minorHAnsi" w:hAnsiTheme="minorHAnsi" w:cs="Times New Roman"/>
      <w:sz w:val="22"/>
      <w:szCs w:val="22"/>
      <w:lang w:eastAsia="en-US"/>
    </w:rPr>
  </w:style>
  <w:style w:type="character" w:customStyle="1" w:styleId="OdsekzoznamuChar">
    <w:name w:val="Odsek zoznamu Char"/>
    <w:aliases w:val="Odsek Char,Odsek zoznamu1 Char,Odsek zoznamu2 Char,body Char"/>
    <w:link w:val="ListParagraph"/>
    <w:uiPriority w:val="34"/>
    <w:locked/>
    <w:rsid w:val="006B3D58"/>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31</TotalTime>
  <Pages>5</Pages>
  <Words>1293</Words>
  <Characters>7373</Characters>
  <Application>Microsoft Office Word</Application>
  <DocSecurity>0</DocSecurity>
  <Lines>0</Lines>
  <Paragraphs>0</Paragraphs>
  <ScaleCrop>false</ScaleCrop>
  <Company>Kancelaria NRSR</Company>
  <LinksUpToDate>false</LinksUpToDate>
  <CharactersWithSpaces>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14</cp:revision>
  <dcterms:created xsi:type="dcterms:W3CDTF">2017-11-13T15:09:00Z</dcterms:created>
  <dcterms:modified xsi:type="dcterms:W3CDTF">2018-03-13T11:28:00Z</dcterms:modified>
</cp:coreProperties>
</file>