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47A2" w:rsidP="007547A2">
      <w:pPr>
        <w:pStyle w:val="Heading3"/>
        <w:jc w:val="left"/>
        <w:rPr>
          <w:b w:val="0"/>
          <w:i/>
        </w:rPr>
      </w:pPr>
      <w:r>
        <w:rPr>
          <w:b w:val="0"/>
          <w:i/>
        </w:rPr>
        <w:t xml:space="preserve">                     Výbor  </w:t>
      </w:r>
    </w:p>
    <w:p w:rsidR="007D2EA7" w:rsidP="007D2EA7">
      <w:pPr>
        <w:spacing w:line="240" w:lineRule="atLeast"/>
        <w:jc w:val="both"/>
        <w:rPr>
          <w:rFonts w:ascii="AT*Toronto" w:hAnsi="AT*Toronto"/>
          <w:i/>
        </w:rPr>
      </w:pPr>
      <w:r w:rsidR="007547A2">
        <w:rPr>
          <w:rFonts w:ascii="AT*Toronto" w:hAnsi="AT*Toronto"/>
          <w:i/>
        </w:rPr>
        <w:t>Národnej rady Slovenskej republiky</w:t>
      </w:r>
    </w:p>
    <w:p w:rsidR="008B4483" w:rsidRPr="00220336" w:rsidP="007D2EA7">
      <w:pPr>
        <w:spacing w:line="240" w:lineRule="atLeast"/>
        <w:jc w:val="both"/>
        <w:rPr>
          <w:rFonts w:ascii="AT*Toronto" w:hAnsi="AT*Toronto"/>
          <w:i/>
          <w:u w:val="single"/>
        </w:rPr>
      </w:pPr>
      <w:r w:rsidR="007547A2">
        <w:rPr>
          <w:rFonts w:ascii="AT*Toronto" w:hAnsi="AT*Toronto"/>
          <w:i/>
        </w:rPr>
        <w:t xml:space="preserve">        pre nezlučiteľnosť funkcií    </w:t>
      </w:r>
      <w:r w:rsidR="00220336">
        <w:rPr>
          <w:rFonts w:ascii="AT*Toronto" w:hAnsi="AT*Toronto"/>
          <w:i/>
        </w:rPr>
        <w:t xml:space="preserve">                                                                   </w:t>
      </w:r>
    </w:p>
    <w:p w:rsidR="00827DC2" w:rsidP="0089068E">
      <w:pPr>
        <w:ind w:left="2832"/>
        <w:jc w:val="right"/>
        <w:rPr>
          <w:rFonts w:ascii="AT*Toronto" w:hAnsi="AT*Toronto"/>
        </w:rPr>
      </w:pPr>
      <w:r w:rsidR="007547A2">
        <w:rPr>
          <w:rFonts w:ascii="AT*Toronto" w:hAnsi="AT*Toronto"/>
        </w:rPr>
        <w:tab/>
      </w:r>
      <w:r w:rsidR="0089068E">
        <w:rPr>
          <w:rFonts w:ascii="AT*Toronto" w:hAnsi="AT*Toronto"/>
        </w:rPr>
        <w:tab/>
        <w:tab/>
      </w:r>
    </w:p>
    <w:p w:rsidR="0089068E" w:rsidP="0089068E">
      <w:pPr>
        <w:ind w:left="2832"/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 w:rsidR="007C2FF4">
        <w:rPr>
          <w:rFonts w:ascii="AT*Toronto" w:hAnsi="AT*Toronto"/>
        </w:rPr>
        <w:t>1</w:t>
      </w:r>
      <w:r w:rsidR="008B46BE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7D2EA7" w:rsidP="0089068E">
      <w:pPr>
        <w:jc w:val="center"/>
        <w:rPr>
          <w:rFonts w:ascii="AT*Toronto" w:hAnsi="AT*Toronto"/>
          <w:b/>
          <w:sz w:val="32"/>
          <w:szCs w:val="32"/>
        </w:rPr>
      </w:pPr>
    </w:p>
    <w:p w:rsidR="0089068E" w:rsidRPr="00391EDC" w:rsidP="0089068E">
      <w:pPr>
        <w:jc w:val="center"/>
        <w:rPr>
          <w:rFonts w:ascii="AT*Toronto" w:hAnsi="AT*Toronto"/>
          <w:b/>
          <w:sz w:val="32"/>
          <w:szCs w:val="32"/>
        </w:rPr>
      </w:pPr>
      <w:r w:rsidR="00C63BC7">
        <w:rPr>
          <w:rFonts w:ascii="AT*Toronto" w:hAnsi="AT*Toronto"/>
          <w:b/>
          <w:sz w:val="32"/>
          <w:szCs w:val="32"/>
        </w:rPr>
        <w:t>203</w:t>
      </w:r>
    </w:p>
    <w:p w:rsidR="0089068E" w:rsidP="0089068E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89068E" w:rsidP="0089068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</w:t>
      </w:r>
      <w:r>
        <w:rPr>
          <w:rFonts w:ascii="AT*Toronto" w:hAnsi="AT*Toronto"/>
          <w:b/>
        </w:rPr>
        <w:t>liky</w:t>
      </w:r>
    </w:p>
    <w:p w:rsidR="0089068E" w:rsidP="0089068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89068E" w:rsidP="0089068E">
      <w:pPr>
        <w:spacing w:line="240" w:lineRule="atLeast"/>
        <w:jc w:val="center"/>
        <w:rPr>
          <w:rFonts w:ascii="AT*Toronto" w:hAnsi="AT*Toronto"/>
        </w:rPr>
      </w:pPr>
      <w:r w:rsidR="00391EDC">
        <w:rPr>
          <w:rFonts w:ascii="AT*Toronto" w:hAnsi="AT*Toronto"/>
        </w:rPr>
        <w:t>z</w:t>
      </w:r>
      <w:r w:rsidR="007C2FF4">
        <w:rPr>
          <w:rFonts w:ascii="AT*Toronto" w:hAnsi="AT*Toronto"/>
        </w:rPr>
        <w:t xml:space="preserve">o 6. februára </w:t>
      </w:r>
      <w:r w:rsidR="00391EDC">
        <w:rPr>
          <w:rFonts w:ascii="AT*Toronto" w:hAnsi="AT*Toronto"/>
        </w:rPr>
        <w:t>201</w:t>
      </w:r>
      <w:r w:rsidR="007C2FF4">
        <w:rPr>
          <w:rFonts w:ascii="AT*Toronto" w:hAnsi="AT*Toronto"/>
        </w:rPr>
        <w:t>8</w:t>
      </w:r>
    </w:p>
    <w:p w:rsidR="0089068E" w:rsidP="0089068E">
      <w:pPr>
        <w:pStyle w:val="BodyText"/>
        <w:rPr>
          <w:sz w:val="22"/>
        </w:rPr>
      </w:pPr>
    </w:p>
    <w:p w:rsidR="00391EDC" w:rsidP="008B4483">
      <w:pPr>
        <w:pStyle w:val="BodyText"/>
        <w:ind w:firstLine="540"/>
      </w:pPr>
      <w:r w:rsidR="0089068E">
        <w:t>k</w:t>
      </w:r>
      <w:r w:rsidR="00827DC2">
        <w:t> </w:t>
      </w:r>
      <w:r w:rsidR="00564234">
        <w:t>návrhu</w:t>
      </w:r>
      <w:r w:rsidR="00827DC2">
        <w:t xml:space="preserve"> </w:t>
      </w:r>
      <w:r w:rsidR="004D487C">
        <w:t>Výboru pre nezlučiteľnosť funkcií Národnej rady Slovenskej republiky</w:t>
      </w:r>
      <w:r w:rsidR="00827DC2">
        <w:t xml:space="preserve"> na </w:t>
      </w:r>
      <w:r w:rsidR="000F4DC4">
        <w:t xml:space="preserve">začatie konania podľa čl. 9 ods. 2 písm. a) ústavného zákona č. 357/2004 Z. z. v znení ústavného zákona č. 545/2005 Z. z. </w:t>
      </w:r>
      <w:r w:rsidR="000F4DC4">
        <w:t>vo veci ochrany verejného záujmu a zamedzenia rozporu záujmov vo</w:t>
      </w:r>
      <w:r w:rsidR="00827DC2">
        <w:t xml:space="preserve">či </w:t>
      </w:r>
      <w:r w:rsidR="007C2FF4">
        <w:t xml:space="preserve">verejnému funkcionárovi Jánovi Butkovskému, </w:t>
      </w:r>
      <w:r w:rsidRPr="00641691" w:rsidR="007C2FF4">
        <w:t>člen</w:t>
      </w:r>
      <w:r w:rsidR="007C2FF4">
        <w:t>ovi</w:t>
      </w:r>
      <w:r w:rsidRPr="00641691" w:rsidR="007C2FF4">
        <w:t xml:space="preserve"> predstavenstva Stredoslovenský ústav srdcových a cievnych chorôb a.s.</w:t>
      </w:r>
      <w:r w:rsidR="007C2FF4">
        <w:t xml:space="preserve"> Banská Bystrica</w:t>
      </w:r>
      <w:r w:rsidR="00827DC2">
        <w:t>.</w:t>
      </w:r>
    </w:p>
    <w:p w:rsidR="0089068E" w:rsidP="008B4483">
      <w:pPr>
        <w:pStyle w:val="BodyText"/>
        <w:ind w:firstLine="540"/>
      </w:pPr>
    </w:p>
    <w:p w:rsidR="0089068E" w:rsidP="008B4483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89068E" w:rsidP="008B4483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pre n</w:t>
      </w:r>
      <w:r w:rsidR="008B4483">
        <w:rPr>
          <w:b/>
          <w:bCs/>
        </w:rPr>
        <w:t>e</w:t>
      </w:r>
      <w:r>
        <w:rPr>
          <w:b/>
          <w:bCs/>
        </w:rPr>
        <w:t>zlučiteľnosť funkcií</w:t>
      </w:r>
    </w:p>
    <w:p w:rsidR="008B4483" w:rsidP="008B4483">
      <w:pPr>
        <w:pStyle w:val="BodyTextIndent2"/>
        <w:spacing w:after="0" w:line="240" w:lineRule="auto"/>
      </w:pPr>
    </w:p>
    <w:p w:rsidR="0089068E" w:rsidRPr="008B4483" w:rsidP="008B4483">
      <w:pPr>
        <w:pStyle w:val="Heading2"/>
        <w:tabs>
          <w:tab w:val="left" w:pos="7920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8B4483">
        <w:rPr>
          <w:rFonts w:ascii="Times New Roman" w:hAnsi="Times New Roman"/>
          <w:i w:val="0"/>
          <w:sz w:val="24"/>
          <w:szCs w:val="24"/>
        </w:rPr>
        <w:t xml:space="preserve">A.   </w:t>
      </w:r>
      <w:r w:rsidR="00564234">
        <w:rPr>
          <w:rFonts w:ascii="Times New Roman" w:hAnsi="Times New Roman"/>
          <w:i w:val="0"/>
          <w:sz w:val="24"/>
          <w:szCs w:val="24"/>
        </w:rPr>
        <w:t>z a č í n a</w:t>
      </w:r>
      <w:r w:rsidR="00AB525E">
        <w:rPr>
          <w:rFonts w:ascii="Times New Roman" w:hAnsi="Times New Roman"/>
          <w:i w:val="0"/>
          <w:sz w:val="24"/>
          <w:szCs w:val="24"/>
        </w:rPr>
        <w:t>   k o n a n i e</w:t>
      </w:r>
    </w:p>
    <w:p w:rsidR="0089068E" w:rsidP="008B4483">
      <w:pPr>
        <w:tabs>
          <w:tab w:val="left" w:pos="7920"/>
        </w:tabs>
        <w:jc w:val="both"/>
      </w:pPr>
    </w:p>
    <w:p w:rsidR="000F4DC4" w:rsidP="007C2FF4">
      <w:pPr>
        <w:tabs>
          <w:tab w:val="left" w:pos="7920"/>
        </w:tabs>
        <w:ind w:firstLine="540"/>
        <w:jc w:val="both"/>
        <w:rPr>
          <w:lang w:val="en-US"/>
        </w:rPr>
      </w:pPr>
      <w:r w:rsidR="0089068E">
        <w:t xml:space="preserve">vo veci ochrany verejného záujmu a zamedzenia rozporu záujmov podľa čl. 9 ods. 2 písm. b) ústavného zákona č. 357/2004 Z. z. o ochrane verejného záujmu pri výkone funkcií verejných funkcionárov v znení ústavného zákona č. 545/2005 Z. z. za porušenie čl. </w:t>
      </w:r>
      <w:r>
        <w:t>5</w:t>
      </w:r>
      <w:r w:rsidR="0089068E">
        <w:t xml:space="preserve"> ods. 2 ústavného zákona č. 357/2004 Z. z. v znení ústavného zákona č. 545/2005 Z. z. voči </w:t>
      </w:r>
      <w:r w:rsidR="007C2FF4">
        <w:t xml:space="preserve">verejnému funkcionárovi Jánovi Butkovskému, </w:t>
      </w:r>
      <w:r w:rsidRPr="00641691" w:rsidR="007C2FF4">
        <w:t>člen</w:t>
      </w:r>
      <w:r w:rsidR="007C2FF4">
        <w:t>ovi</w:t>
      </w:r>
      <w:r w:rsidRPr="00641691" w:rsidR="007C2FF4">
        <w:t xml:space="preserve"> predstavenstva Stredoslovenský ústav srdcových a c</w:t>
      </w:r>
      <w:r w:rsidRPr="00641691" w:rsidR="007C2FF4">
        <w:t>ievnych chorôb a.s.</w:t>
      </w:r>
      <w:r w:rsidR="007C2FF4">
        <w:t xml:space="preserve"> Banská Bystrica</w:t>
      </w:r>
      <w:r>
        <w:t xml:space="preserve">, </w:t>
      </w:r>
      <w:r w:rsidR="007C2FF4">
        <w:t xml:space="preserve">ktorý </w:t>
      </w:r>
      <w:r>
        <w:t xml:space="preserve">popri výkone verejnej funkcie vykonáva funkciu </w:t>
      </w:r>
      <w:r w:rsidR="007C2FF4">
        <w:t>predsedu predstavenstva</w:t>
      </w:r>
      <w:r>
        <w:t xml:space="preserve"> </w:t>
      </w:r>
      <w:r w:rsidR="007C2FF4">
        <w:t xml:space="preserve">MFK Lokomotíva Zvolen, a.s. </w:t>
      </w:r>
      <w:r>
        <w:t>aj po uplynutí 30 dní odo dňa ustanovenia d</w:t>
      </w:r>
      <w:r w:rsidR="007D2EA7">
        <w:t>o</w:t>
      </w:r>
      <w:r w:rsidR="007C2FF4">
        <w:t xml:space="preserve"> verejnej funkcie, do ktorej bol menovaný 1.11.2017 (funkciu </w:t>
      </w:r>
      <w:r w:rsidR="007D2EA7">
        <w:t>nezlučiteľn</w:t>
      </w:r>
      <w:r w:rsidR="007C2FF4">
        <w:t xml:space="preserve">ú s verejnou funkciou </w:t>
      </w:r>
      <w:r w:rsidR="007D2EA7">
        <w:t xml:space="preserve">bol povinný podľa čl. 5 ods. 7 ústavného zákona </w:t>
      </w:r>
      <w:r w:rsidR="007C2FF4">
        <w:br/>
      </w:r>
      <w:r w:rsidR="007D2EA7">
        <w:t xml:space="preserve">č. 357/2004 Z. z. o ochrane verejného záujmu pri výkone funkcií verejných funkcionárov v znení ústavného zákona č. 545/2005 Z. z. ukončiť do </w:t>
      </w:r>
      <w:r w:rsidR="007C2FF4">
        <w:t>1.12.2017</w:t>
      </w:r>
      <w:r>
        <w:t>)</w:t>
      </w:r>
      <w:r>
        <w:rPr>
          <w:lang w:val="en-US"/>
        </w:rPr>
        <w:t>;</w:t>
      </w:r>
    </w:p>
    <w:p w:rsidR="00A81C1D" w:rsidP="007C2FF4">
      <w:pPr>
        <w:tabs>
          <w:tab w:val="left" w:pos="7920"/>
        </w:tabs>
        <w:ind w:firstLine="540"/>
        <w:jc w:val="both"/>
        <w:rPr>
          <w:lang w:val="en-US"/>
        </w:rPr>
      </w:pPr>
    </w:p>
    <w:p w:rsidR="0089068E" w:rsidRPr="008B4483" w:rsidP="008B4483">
      <w:pPr>
        <w:pStyle w:val="Heading2"/>
        <w:tabs>
          <w:tab w:val="left" w:pos="7920"/>
        </w:tabs>
        <w:spacing w:before="0" w:after="0"/>
        <w:ind w:right="1103"/>
        <w:rPr>
          <w:rFonts w:ascii="Times New Roman" w:hAnsi="Times New Roman"/>
          <w:i w:val="0"/>
          <w:sz w:val="24"/>
          <w:szCs w:val="24"/>
        </w:rPr>
      </w:pPr>
      <w:r w:rsidRPr="008B4483">
        <w:rPr>
          <w:rFonts w:ascii="Times New Roman" w:hAnsi="Times New Roman"/>
          <w:i w:val="0"/>
          <w:sz w:val="24"/>
          <w:szCs w:val="24"/>
        </w:rPr>
        <w:t xml:space="preserve">B.   ž i a d a   </w:t>
      </w:r>
    </w:p>
    <w:p w:rsidR="0089068E" w:rsidP="008B4483">
      <w:pPr>
        <w:tabs>
          <w:tab w:val="left" w:pos="7920"/>
        </w:tabs>
        <w:ind w:firstLine="540"/>
        <w:jc w:val="both"/>
      </w:pPr>
    </w:p>
    <w:p w:rsidR="0089068E" w:rsidP="008B4483">
      <w:pPr>
        <w:tabs>
          <w:tab w:val="left" w:pos="7920"/>
        </w:tabs>
        <w:jc w:val="both"/>
      </w:pPr>
      <w:r>
        <w:t xml:space="preserve">       predsedu výboru,</w:t>
      </w:r>
    </w:p>
    <w:p w:rsidR="0089068E" w:rsidP="008B4483">
      <w:pPr>
        <w:tabs>
          <w:tab w:val="left" w:pos="7920"/>
        </w:tabs>
        <w:jc w:val="both"/>
      </w:pPr>
      <w:r>
        <w:t xml:space="preserve">    </w:t>
      </w:r>
    </w:p>
    <w:p w:rsidR="0089068E" w:rsidP="008B4483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 doručenému podnetu v súlade s čl. 9 ods. 4 ústavného zákona č 357/2004 Z. z. o ochrane verejného záujmu pri výkone funkcií verejných funkcionárov v znení ústavného zákona č. 545/2005 Z. z. a iné nevyhnutné stanoviská pre rozhodnutie vo veci</w:t>
      </w:r>
      <w:r w:rsidR="00A81C1D">
        <w:t xml:space="preserve"> </w:t>
      </w:r>
      <w:r w:rsidR="00E87C19">
        <w:t>z</w:t>
      </w:r>
      <w:r w:rsidR="00A81C1D">
        <w:t xml:space="preserve"> dôvodu posúdenia zlučiteľnosti výkonu funkcie predsedu predstavenstva MFK Lokomotíva Zvolen, a.s. s verejnou funkciou </w:t>
      </w:r>
      <w:r w:rsidRPr="00641691" w:rsidR="00A81C1D">
        <w:t>člen</w:t>
      </w:r>
      <w:r w:rsidR="00A81C1D">
        <w:t>a</w:t>
      </w:r>
      <w:r w:rsidRPr="00641691" w:rsidR="00A81C1D">
        <w:t xml:space="preserve"> predstavenstva Stredoslovenský ústav srdcových a cievnych chorôb a.s.</w:t>
      </w:r>
      <w:r w:rsidR="00A81C1D">
        <w:t xml:space="preserve"> Banská Bystrica podľa čl. 5 ods. 4 ústavného zákona č. 357/2004 Z. z. v znení ústavného zákona č. 545/2005 </w:t>
      </w:r>
      <w:r w:rsidR="00E87C19">
        <w:t>Z</w:t>
      </w:r>
      <w:r w:rsidR="00A81C1D">
        <w:t>. z.</w:t>
      </w:r>
      <w:r>
        <w:rPr>
          <w:lang w:val="en-US"/>
        </w:rPr>
        <w:t xml:space="preserve">; </w:t>
      </w:r>
    </w:p>
    <w:p w:rsidR="007D2EA7" w:rsidP="0089068E">
      <w:pPr>
        <w:ind w:left="5220"/>
        <w:jc w:val="both"/>
      </w:pPr>
    </w:p>
    <w:p w:rsidR="0089068E" w:rsidP="0089068E">
      <w:pPr>
        <w:ind w:left="5220"/>
        <w:jc w:val="both"/>
      </w:pPr>
      <w:r>
        <w:t xml:space="preserve">                                                                                          </w:t>
      </w:r>
    </w:p>
    <w:p w:rsidR="0089068E" w:rsidRPr="008B4483" w:rsidP="008B4483"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8B4483">
        <w:rPr>
          <w:rFonts w:ascii="Times New Roman" w:hAnsi="Times New Roman" w:cs="Times New Roman"/>
          <w:i w:val="0"/>
          <w:sz w:val="24"/>
          <w:szCs w:val="24"/>
        </w:rPr>
        <w:t xml:space="preserve">C.  u r č u j e  </w:t>
      </w:r>
    </w:p>
    <w:p w:rsidR="0089068E" w:rsidRPr="008B4483" w:rsidP="008B4483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89068E" w:rsidP="008B4483">
      <w:pPr>
        <w:pStyle w:val="Heading2"/>
        <w:spacing w:before="0" w:after="0"/>
        <w:ind w:left="36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="00650043">
        <w:rPr>
          <w:rFonts w:ascii="Times New Roman" w:hAnsi="Times New Roman" w:cs="Times New Roman"/>
          <w:b w:val="0"/>
          <w:i w:val="0"/>
          <w:sz w:val="24"/>
          <w:szCs w:val="24"/>
        </w:rPr>
        <w:t>p</w:t>
      </w:r>
      <w:r w:rsidR="008B46BE">
        <w:rPr>
          <w:rFonts w:ascii="Times New Roman" w:hAnsi="Times New Roman" w:cs="Times New Roman"/>
          <w:b w:val="0"/>
          <w:i w:val="0"/>
          <w:sz w:val="24"/>
          <w:szCs w:val="24"/>
        </w:rPr>
        <w:t>oslan</w:t>
      </w:r>
      <w:r w:rsidR="00650043">
        <w:rPr>
          <w:rFonts w:ascii="Times New Roman" w:hAnsi="Times New Roman" w:cs="Times New Roman"/>
          <w:b w:val="0"/>
          <w:i w:val="0"/>
          <w:sz w:val="24"/>
          <w:szCs w:val="24"/>
        </w:rPr>
        <w:t>kyňu Magdalénu Kuciaňovú</w:t>
      </w:r>
    </w:p>
    <w:p w:rsidR="007D2EA7" w:rsidRPr="00A87C6C" w:rsidP="007D2EA7"/>
    <w:p w:rsidR="00391EDC" w:rsidP="00391EDC">
      <w:pPr>
        <w:ind w:firstLine="360"/>
        <w:jc w:val="both"/>
        <w:rPr>
          <w:rFonts w:ascii="AT*Toronto" w:hAnsi="AT*Toronto"/>
        </w:rPr>
      </w:pPr>
      <w:r>
        <w:t>za spravodaj</w:t>
      </w:r>
      <w:r w:rsidR="00650043">
        <w:t xml:space="preserve">kyňu </w:t>
      </w:r>
      <w:r>
        <w:t xml:space="preserve">výboru v konaní vo veci ochrany verejného záujmu a zamedzenia rozporu záujmov voči verejnému </w:t>
      </w:r>
      <w:r w:rsidR="007C2FF4">
        <w:t xml:space="preserve">funkcionárovi Jánovi Butkovskému, </w:t>
      </w:r>
      <w:r w:rsidRPr="00641691" w:rsidR="007C2FF4">
        <w:t>člen</w:t>
      </w:r>
      <w:r w:rsidR="007C2FF4">
        <w:t>ovi</w:t>
      </w:r>
      <w:r w:rsidRPr="00641691" w:rsidR="007C2FF4">
        <w:t xml:space="preserve"> predstavenstva Stredoslovenský ústav srdcových a cievnych chorôb a.s.</w:t>
      </w:r>
      <w:r w:rsidR="007C2FF4">
        <w:t xml:space="preserve"> Banská Bystrica</w:t>
      </w:r>
      <w:r w:rsidR="00827DC2">
        <w:t xml:space="preserve"> </w:t>
      </w:r>
      <w:r>
        <w:t xml:space="preserve">(č. konania </w:t>
      </w:r>
      <w:r w:rsidR="00DE74E9">
        <w:t>V</w:t>
      </w:r>
      <w:r>
        <w:t>P/</w:t>
      </w:r>
      <w:r w:rsidR="007C2FF4">
        <w:t>02</w:t>
      </w:r>
      <w:r>
        <w:t>/1</w:t>
      </w:r>
      <w:r w:rsidR="007C2FF4">
        <w:t>8</w:t>
      </w:r>
      <w:r>
        <w:t>/K).</w:t>
      </w:r>
      <w:r>
        <w:rPr>
          <w:rFonts w:ascii="AT*Toronto" w:hAnsi="AT*Toronto"/>
        </w:rPr>
        <w:t xml:space="preserve">             </w:t>
      </w:r>
    </w:p>
    <w:p w:rsidR="00391EDC" w:rsidP="00391EDC">
      <w:pPr>
        <w:ind w:firstLine="360"/>
      </w:pPr>
    </w:p>
    <w:p w:rsidR="00DE74E9" w:rsidP="00391EDC">
      <w:pPr>
        <w:ind w:firstLine="360"/>
      </w:pPr>
    </w:p>
    <w:p w:rsidR="00DE74E9" w:rsidP="00391EDC">
      <w:pPr>
        <w:ind w:firstLine="360"/>
      </w:pPr>
    </w:p>
    <w:p w:rsidR="00827DC2" w:rsidP="00391EDC">
      <w:pPr>
        <w:ind w:firstLine="360"/>
      </w:pPr>
    </w:p>
    <w:p w:rsidR="00391EDC" w:rsidRPr="006E2F5B" w:rsidP="00391EDC">
      <w:pPr>
        <w:rPr>
          <w:b/>
        </w:rPr>
      </w:pPr>
      <w:r>
        <w:t xml:space="preserve">       </w:t>
        <w:tab/>
        <w:tab/>
        <w:tab/>
        <w:tab/>
        <w:tab/>
        <w:tab/>
        <w:tab/>
        <w:tab/>
        <w:t xml:space="preserve">  </w:t>
      </w:r>
      <w:r w:rsidR="00436B61">
        <w:t>Vladimír</w:t>
      </w:r>
      <w:r>
        <w:t xml:space="preserve">  </w:t>
      </w:r>
      <w:r w:rsidR="00436B61">
        <w:rPr>
          <w:b/>
        </w:rPr>
        <w:t>S l o b o d a</w:t>
      </w:r>
      <w:r w:rsidRPr="006E2F5B">
        <w:rPr>
          <w:b/>
        </w:rPr>
        <w:t xml:space="preserve"> </w:t>
      </w:r>
    </w:p>
    <w:p w:rsidR="00391EDC" w:rsidP="00391EDC">
      <w:pPr>
        <w:ind w:left="5220"/>
        <w:jc w:val="both"/>
      </w:pPr>
      <w:r w:rsidR="00436B61">
        <w:t xml:space="preserve"> </w:t>
      </w:r>
      <w:r>
        <w:t xml:space="preserve">             predseda výboru </w:t>
      </w:r>
    </w:p>
    <w:p w:rsidR="00DE74E9" w:rsidP="00391EDC">
      <w:pPr>
        <w:spacing w:line="240" w:lineRule="atLeast"/>
        <w:jc w:val="both"/>
      </w:pPr>
    </w:p>
    <w:p w:rsidR="00DE74E9" w:rsidP="00391EDC">
      <w:pPr>
        <w:spacing w:line="240" w:lineRule="atLeast"/>
        <w:jc w:val="both"/>
      </w:pPr>
    </w:p>
    <w:p w:rsidR="00DE74E9" w:rsidP="00391EDC">
      <w:pPr>
        <w:spacing w:line="240" w:lineRule="atLeast"/>
        <w:jc w:val="both"/>
      </w:pPr>
    </w:p>
    <w:p w:rsidR="00391EDC" w:rsidP="00391EDC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391EDC" w:rsidP="00391EDC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645C28" w:rsidP="00827DC2">
      <w:pPr>
        <w:spacing w:line="240" w:lineRule="atLeast"/>
        <w:jc w:val="both"/>
        <w:rPr>
          <w:rFonts w:ascii="AT*Toronto" w:hAnsi="AT*Toronto"/>
        </w:rPr>
      </w:pPr>
      <w:r w:rsidR="00391EDC">
        <w:t>overovatelia výboru</w:t>
      </w:r>
      <w:r>
        <w:rPr>
          <w:b/>
          <w:i/>
        </w:rPr>
        <w:t xml:space="preserve">                   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A89"/>
    <w:rsid w:val="000E686E"/>
    <w:rsid w:val="000F4DC4"/>
    <w:rsid w:val="001C0C70"/>
    <w:rsid w:val="001D61DB"/>
    <w:rsid w:val="00220336"/>
    <w:rsid w:val="0027277B"/>
    <w:rsid w:val="002A18AA"/>
    <w:rsid w:val="002C0A86"/>
    <w:rsid w:val="002E345D"/>
    <w:rsid w:val="00320426"/>
    <w:rsid w:val="00322905"/>
    <w:rsid w:val="00334185"/>
    <w:rsid w:val="0034359D"/>
    <w:rsid w:val="00391EDC"/>
    <w:rsid w:val="003A5443"/>
    <w:rsid w:val="003F347E"/>
    <w:rsid w:val="00431862"/>
    <w:rsid w:val="00436B61"/>
    <w:rsid w:val="00491A89"/>
    <w:rsid w:val="004A5B6E"/>
    <w:rsid w:val="004D487C"/>
    <w:rsid w:val="00520A96"/>
    <w:rsid w:val="00564234"/>
    <w:rsid w:val="005D11F2"/>
    <w:rsid w:val="00632A5B"/>
    <w:rsid w:val="00641691"/>
    <w:rsid w:val="00645C28"/>
    <w:rsid w:val="00646458"/>
    <w:rsid w:val="00650043"/>
    <w:rsid w:val="006570DB"/>
    <w:rsid w:val="006E2F5B"/>
    <w:rsid w:val="00723229"/>
    <w:rsid w:val="007547A2"/>
    <w:rsid w:val="00765EB1"/>
    <w:rsid w:val="00776335"/>
    <w:rsid w:val="0078056A"/>
    <w:rsid w:val="007C2FF4"/>
    <w:rsid w:val="007D2EA7"/>
    <w:rsid w:val="007E35E2"/>
    <w:rsid w:val="00820336"/>
    <w:rsid w:val="00827DC2"/>
    <w:rsid w:val="00885D4A"/>
    <w:rsid w:val="0089068E"/>
    <w:rsid w:val="008A014C"/>
    <w:rsid w:val="008A4015"/>
    <w:rsid w:val="008B4483"/>
    <w:rsid w:val="008B46BE"/>
    <w:rsid w:val="00953954"/>
    <w:rsid w:val="00A35AEF"/>
    <w:rsid w:val="00A75106"/>
    <w:rsid w:val="00A81C1D"/>
    <w:rsid w:val="00A87C6C"/>
    <w:rsid w:val="00AB525E"/>
    <w:rsid w:val="00AC78C3"/>
    <w:rsid w:val="00AF38BD"/>
    <w:rsid w:val="00AF6670"/>
    <w:rsid w:val="00B4735C"/>
    <w:rsid w:val="00B619F3"/>
    <w:rsid w:val="00B7673F"/>
    <w:rsid w:val="00B8072B"/>
    <w:rsid w:val="00C036CF"/>
    <w:rsid w:val="00C22AA9"/>
    <w:rsid w:val="00C63BC7"/>
    <w:rsid w:val="00C77F02"/>
    <w:rsid w:val="00C951D0"/>
    <w:rsid w:val="00CA2C6C"/>
    <w:rsid w:val="00CA2E51"/>
    <w:rsid w:val="00D6706E"/>
    <w:rsid w:val="00DE74E9"/>
    <w:rsid w:val="00E40F96"/>
    <w:rsid w:val="00E87C19"/>
    <w:rsid w:val="00EF172E"/>
    <w:rsid w:val="00EF1F80"/>
    <w:rsid w:val="00F817D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91A8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491A89"/>
    <w:pPr>
      <w:jc w:val="both"/>
    </w:pPr>
  </w:style>
  <w:style w:type="paragraph" w:styleId="BalloonText">
    <w:name w:val="Balloon Text"/>
    <w:basedOn w:val="Normal"/>
    <w:semiHidden/>
    <w:rsid w:val="000E686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D6706E"/>
    <w:pPr>
      <w:spacing w:after="120" w:line="480" w:lineRule="auto"/>
      <w:ind w:left="283"/>
    </w:pPr>
  </w:style>
  <w:style w:type="paragraph" w:styleId="BodyText2">
    <w:name w:val="Body Text 2"/>
    <w:basedOn w:val="Normal"/>
    <w:rsid w:val="00D6706E"/>
    <w:pPr>
      <w:spacing w:after="120" w:line="480" w:lineRule="auto"/>
    </w:pPr>
  </w:style>
  <w:style w:type="paragraph" w:styleId="BodyTextIndent">
    <w:name w:val="Body Text Indent"/>
    <w:basedOn w:val="Normal"/>
    <w:rsid w:val="00431862"/>
    <w:pPr>
      <w:spacing w:after="120"/>
      <w:ind w:left="283"/>
    </w:pPr>
  </w:style>
  <w:style w:type="paragraph" w:customStyle="1" w:styleId="TxBrp1">
    <w:name w:val="TxBr_p1"/>
    <w:basedOn w:val="Normal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BodyTextIndent2"/>
    <w:rsid w:val="002E345D"/>
    <w:rPr>
      <w:sz w:val="24"/>
      <w:szCs w:val="24"/>
    </w:rPr>
  </w:style>
  <w:style w:type="character" w:customStyle="1" w:styleId="Nadpis2Char">
    <w:name w:val="Nadpis 2 Char"/>
    <w:link w:val="Heading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Heading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BodyText"/>
    <w:rsid w:val="007547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 </vt:lpstr>
    </vt:vector>
  </TitlesOfParts>
  <Company>Kancelaria NR SR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creator>OIT</dc:creator>
  <cp:lastModifiedBy>Tureničová, Zuzana, PhDr., Mgr.</cp:lastModifiedBy>
  <cp:revision>34</cp:revision>
  <cp:lastPrinted>2018-02-06T14:07:00Z</cp:lastPrinted>
  <dcterms:created xsi:type="dcterms:W3CDTF">2008-12-08T07:16:00Z</dcterms:created>
  <dcterms:modified xsi:type="dcterms:W3CDTF">2018-02-06T14:07:00Z</dcterms:modified>
</cp:coreProperties>
</file>