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E65A6" w:rsidP="005D681D">
      <w:pPr>
        <w:tabs>
          <w:tab w:val="left" w:pos="567"/>
        </w:tabs>
        <w:bidi w:val="0"/>
        <w:rPr>
          <w:rFonts w:ascii="Times New Roman" w:hAnsi="Times New Roman"/>
        </w:rPr>
      </w:pPr>
      <w:r>
        <w:rPr>
          <w:rFonts w:ascii="Times New Roman" w:hAnsi="Times New Roman"/>
        </w:rPr>
        <w:t xml:space="preserve">                </w:t>
      </w:r>
      <w:r w:rsidR="00620E67">
        <w:rPr>
          <w:rFonts w:ascii="Times New Roman" w:hAnsi="Times New Roman"/>
        </w:rPr>
        <w:tab/>
        <w:tab/>
        <w:tab/>
        <w:tab/>
        <w:tab/>
      </w:r>
      <w:r>
        <w:rPr>
          <w:rFonts w:ascii="Times New Roman" w:hAnsi="Times New Roman"/>
        </w:rPr>
        <w:tab/>
      </w:r>
      <w:r w:rsidR="00F613CB">
        <w:rPr>
          <w:rFonts w:ascii="Times New Roman" w:hAnsi="Times New Roman"/>
        </w:rPr>
        <w:tab/>
        <w:tab/>
      </w:r>
      <w:r w:rsidR="00FA2720">
        <w:rPr>
          <w:rFonts w:ascii="Times New Roman" w:hAnsi="Times New Roman"/>
        </w:rPr>
        <w:t>42</w:t>
      </w:r>
      <w:r>
        <w:rPr>
          <w:rFonts w:ascii="Times New Roman" w:hAnsi="Times New Roman"/>
        </w:rPr>
        <w:t xml:space="preserve">. schôdza výboru </w:t>
        <w:tab/>
      </w:r>
      <w:r w:rsidR="00620E67">
        <w:rPr>
          <w:rFonts w:ascii="Times New Roman" w:hAnsi="Times New Roman"/>
        </w:rPr>
        <w:tab/>
        <w:tab/>
        <w:tab/>
        <w:tab/>
        <w:tab/>
        <w:tab/>
        <w:tab/>
        <w:tab/>
      </w:r>
      <w:r>
        <w:rPr>
          <w:rFonts w:ascii="Times New Roman" w:hAnsi="Times New Roman"/>
        </w:rPr>
        <w:tab/>
        <w:tab/>
      </w:r>
      <w:r w:rsidR="005D5BD2">
        <w:rPr>
          <w:rFonts w:ascii="Times New Roman" w:hAnsi="Times New Roman"/>
        </w:rPr>
        <w:t>CRD-</w:t>
      </w:r>
      <w:r w:rsidR="00331092">
        <w:rPr>
          <w:rFonts w:ascii="Times New Roman" w:hAnsi="Times New Roman"/>
        </w:rPr>
        <w:t>250-4</w:t>
      </w:r>
      <w:r w:rsidR="005D5BD2">
        <w:rPr>
          <w:rFonts w:ascii="Times New Roman" w:hAnsi="Times New Roman"/>
        </w:rPr>
        <w:t>/201</w:t>
      </w:r>
      <w:r w:rsidR="00FA2720">
        <w:rPr>
          <w:rFonts w:ascii="Times New Roman" w:hAnsi="Times New Roman"/>
        </w:rPr>
        <w:t>8</w:t>
      </w:r>
      <w:r w:rsidR="005D5BD2">
        <w:rPr>
          <w:rFonts w:ascii="Times New Roman" w:hAnsi="Times New Roman"/>
        </w:rPr>
        <w:t>-VEZ</w:t>
      </w:r>
    </w:p>
    <w:p w:rsidR="00DE65A6" w:rsidRPr="004B5C8B" w:rsidP="005D681D">
      <w:pPr>
        <w:tabs>
          <w:tab w:val="left" w:pos="567"/>
        </w:tabs>
        <w:bidi w:val="0"/>
        <w:jc w:val="center"/>
        <w:rPr>
          <w:rFonts w:ascii="Times New Roman" w:hAnsi="Times New Roman"/>
          <w:b/>
          <w:sz w:val="28"/>
          <w:szCs w:val="28"/>
        </w:rPr>
      </w:pPr>
      <w:r w:rsidR="00880BE5">
        <w:rPr>
          <w:rFonts w:ascii="Times New Roman" w:hAnsi="Times New Roman"/>
          <w:b/>
          <w:sz w:val="28"/>
          <w:szCs w:val="28"/>
        </w:rPr>
        <w:t>119.</w:t>
      </w:r>
    </w:p>
    <w:p w:rsidR="00DE65A6" w:rsidP="005D681D">
      <w:pPr>
        <w:tabs>
          <w:tab w:val="left" w:pos="567"/>
        </w:tabs>
        <w:bidi w:val="0"/>
        <w:jc w:val="center"/>
        <w:rPr>
          <w:rFonts w:ascii="Times New Roman" w:hAnsi="Times New Roman"/>
          <w:b/>
        </w:rPr>
      </w:pPr>
    </w:p>
    <w:p w:rsidR="00DE65A6" w:rsidP="005D681D">
      <w:pPr>
        <w:tabs>
          <w:tab w:val="left" w:pos="567"/>
        </w:tabs>
        <w:bidi w:val="0"/>
        <w:jc w:val="center"/>
        <w:rPr>
          <w:rFonts w:ascii="Times New Roman" w:hAnsi="Times New Roman"/>
          <w:b/>
        </w:rPr>
      </w:pPr>
      <w:r>
        <w:rPr>
          <w:rFonts w:ascii="Times New Roman" w:hAnsi="Times New Roman"/>
          <w:b/>
        </w:rPr>
        <w:t>U z n e s e n i e</w:t>
      </w:r>
    </w:p>
    <w:p w:rsidR="00DE65A6" w:rsidP="005D681D">
      <w:pPr>
        <w:tabs>
          <w:tab w:val="left" w:pos="567"/>
        </w:tabs>
        <w:bidi w:val="0"/>
        <w:jc w:val="center"/>
        <w:rPr>
          <w:rFonts w:ascii="Times New Roman" w:hAnsi="Times New Roman"/>
          <w:b/>
        </w:rPr>
      </w:pPr>
      <w:r>
        <w:rPr>
          <w:rFonts w:ascii="Times New Roman" w:hAnsi="Times New Roman"/>
          <w:b/>
        </w:rPr>
        <w:t>Výboru Národnej rady Slovenskej republiky pre európske záležitosti</w:t>
      </w:r>
    </w:p>
    <w:p w:rsidR="001D44AB" w:rsidP="005D681D">
      <w:pPr>
        <w:tabs>
          <w:tab w:val="left" w:pos="567"/>
        </w:tabs>
        <w:bidi w:val="0"/>
        <w:jc w:val="center"/>
        <w:rPr>
          <w:rFonts w:ascii="Times New Roman" w:hAnsi="Times New Roman"/>
        </w:rPr>
      </w:pPr>
    </w:p>
    <w:p w:rsidR="00DE65A6" w:rsidP="005D681D">
      <w:pPr>
        <w:tabs>
          <w:tab w:val="left" w:pos="567"/>
        </w:tabs>
        <w:bidi w:val="0"/>
        <w:jc w:val="center"/>
        <w:rPr>
          <w:rFonts w:ascii="Times New Roman" w:hAnsi="Times New Roman"/>
        </w:rPr>
      </w:pPr>
      <w:r w:rsidRPr="005F26CF" w:rsidR="005F26CF">
        <w:rPr>
          <w:rFonts w:ascii="Times New Roman" w:hAnsi="Times New Roman"/>
        </w:rPr>
        <w:t>z</w:t>
      </w:r>
      <w:r w:rsidR="001D44AB">
        <w:rPr>
          <w:rFonts w:ascii="Times New Roman" w:hAnsi="Times New Roman"/>
        </w:rPr>
        <w:t xml:space="preserve"> </w:t>
      </w:r>
      <w:r w:rsidR="00FA2720">
        <w:rPr>
          <w:rFonts w:ascii="Times New Roman" w:hAnsi="Times New Roman"/>
        </w:rPr>
        <w:t>8</w:t>
      </w:r>
      <w:r w:rsidR="00C92A79">
        <w:rPr>
          <w:rFonts w:ascii="Times New Roman" w:hAnsi="Times New Roman"/>
        </w:rPr>
        <w:t xml:space="preserve">. </w:t>
      </w:r>
      <w:r w:rsidR="00FA2720">
        <w:rPr>
          <w:rFonts w:ascii="Times New Roman" w:hAnsi="Times New Roman"/>
        </w:rPr>
        <w:t xml:space="preserve">februára </w:t>
      </w:r>
      <w:r w:rsidR="00156A1B">
        <w:rPr>
          <w:rFonts w:ascii="Times New Roman" w:hAnsi="Times New Roman"/>
        </w:rPr>
        <w:t>201</w:t>
      </w:r>
      <w:r w:rsidR="00FA2720">
        <w:rPr>
          <w:rFonts w:ascii="Times New Roman" w:hAnsi="Times New Roman"/>
        </w:rPr>
        <w:t>8</w:t>
      </w:r>
    </w:p>
    <w:p w:rsidR="00446457" w:rsidP="005D681D">
      <w:pPr>
        <w:pStyle w:val="Heading2"/>
        <w:tabs>
          <w:tab w:val="left" w:pos="567"/>
        </w:tabs>
        <w:bidi w:val="0"/>
        <w:spacing w:before="0" w:after="0"/>
        <w:jc w:val="center"/>
        <w:rPr>
          <w:rFonts w:ascii="Times New Roman" w:hAnsi="Times New Roman" w:cs="Times New Roman"/>
          <w:b w:val="0"/>
          <w:i w:val="0"/>
          <w:sz w:val="24"/>
          <w:szCs w:val="24"/>
        </w:rPr>
      </w:pPr>
      <w:r>
        <w:rPr>
          <w:rFonts w:ascii="Times New Roman" w:hAnsi="Times New Roman" w:cs="Times New Roman"/>
          <w:b w:val="0"/>
          <w:i w:val="0"/>
          <w:sz w:val="24"/>
          <w:szCs w:val="24"/>
        </w:rPr>
        <w:t>k</w:t>
      </w:r>
    </w:p>
    <w:p w:rsidR="00FA2720" w:rsidP="00573307">
      <w:pPr>
        <w:tabs>
          <w:tab w:val="left" w:pos="567"/>
        </w:tabs>
        <w:bidi w:val="0"/>
        <w:jc w:val="both"/>
        <w:rPr>
          <w:rFonts w:ascii="Times New Roman" w:hAnsi="Times New Roman"/>
          <w:iCs/>
        </w:rPr>
      </w:pPr>
      <w:r w:rsidRPr="00FA2720">
        <w:rPr>
          <w:rFonts w:ascii="Times New Roman" w:hAnsi="Times New Roman"/>
          <w:iCs/>
        </w:rPr>
        <w:t>Oznámeniu Komisie Európskemu parlamentu, Rade, Európskemu hospodárskemu a sociálnemu výboru a Výboru regiónov – Pracovný program Komisie na rok 2018 – Program pre jednotnejšiu, silnejšiu a demokratickejšiu Európu,</w:t>
      </w:r>
      <w:r>
        <w:rPr>
          <w:rFonts w:ascii="Times New Roman" w:hAnsi="Times New Roman"/>
          <w:iCs/>
        </w:rPr>
        <w:t xml:space="preserve"> </w:t>
      </w:r>
      <w:r w:rsidRPr="00FA2720">
        <w:rPr>
          <w:rFonts w:ascii="Times New Roman" w:hAnsi="Times New Roman"/>
          <w:iCs/>
        </w:rPr>
        <w:t>KOM (2017) 650</w:t>
      </w:r>
    </w:p>
    <w:p w:rsidR="00573307" w:rsidP="00573307">
      <w:pPr>
        <w:tabs>
          <w:tab w:val="left" w:pos="567"/>
        </w:tabs>
        <w:bidi w:val="0"/>
        <w:jc w:val="both"/>
        <w:rPr>
          <w:rFonts w:ascii="Times New Roman" w:hAnsi="Times New Roman"/>
          <w:iCs/>
        </w:rPr>
      </w:pPr>
    </w:p>
    <w:p w:rsidR="00573307" w:rsidRPr="00573307" w:rsidP="00573307">
      <w:pPr>
        <w:tabs>
          <w:tab w:val="left" w:pos="567"/>
        </w:tabs>
        <w:bidi w:val="0"/>
        <w:jc w:val="both"/>
        <w:rPr>
          <w:rFonts w:ascii="Times New Roman" w:hAnsi="Times New Roman"/>
          <w:iCs/>
        </w:rPr>
      </w:pPr>
    </w:p>
    <w:p w:rsidR="00DE6434" w:rsidP="005D681D">
      <w:pPr>
        <w:pStyle w:val="BodyText"/>
        <w:bidi w:val="0"/>
        <w:spacing w:after="0"/>
        <w:rPr>
          <w:rFonts w:ascii="Times New Roman" w:hAnsi="Times New Roman"/>
          <w:b/>
        </w:rPr>
      </w:pPr>
    </w:p>
    <w:p w:rsidR="00725C9C" w:rsidP="005D681D">
      <w:pPr>
        <w:pStyle w:val="BodyText"/>
        <w:bidi w:val="0"/>
        <w:spacing w:after="0"/>
        <w:rPr>
          <w:rFonts w:ascii="Times New Roman" w:hAnsi="Times New Roman"/>
          <w:b/>
        </w:rPr>
      </w:pPr>
      <w:r>
        <w:rPr>
          <w:rFonts w:ascii="Times New Roman" w:hAnsi="Times New Roman"/>
          <w:b/>
        </w:rPr>
        <w:t>Výbor Národnej rady Slovenskej republiky pre európske záležitosti</w:t>
      </w:r>
    </w:p>
    <w:p w:rsidR="00725C9C" w:rsidP="005D681D">
      <w:pPr>
        <w:pStyle w:val="BodyText"/>
        <w:bidi w:val="0"/>
        <w:spacing w:after="0"/>
        <w:rPr>
          <w:rFonts w:ascii="Times New Roman" w:hAnsi="Times New Roman"/>
          <w:b/>
        </w:rPr>
      </w:pPr>
    </w:p>
    <w:p w:rsidR="00E9324F" w:rsidP="00E9324F">
      <w:pPr>
        <w:tabs>
          <w:tab w:val="left" w:pos="567"/>
        </w:tabs>
        <w:bidi w:val="0"/>
        <w:jc w:val="both"/>
        <w:rPr>
          <w:rFonts w:ascii="Times New Roman" w:hAnsi="Times New Roman"/>
        </w:rPr>
      </w:pPr>
    </w:p>
    <w:p w:rsidR="00E04E16" w:rsidP="007216D6">
      <w:pPr>
        <w:tabs>
          <w:tab w:val="left" w:pos="567"/>
        </w:tabs>
        <w:bidi w:val="0"/>
        <w:jc w:val="both"/>
        <w:rPr>
          <w:rFonts w:ascii="Times New Roman" w:hAnsi="Times New Roman"/>
          <w:b/>
        </w:rPr>
      </w:pPr>
      <w:r w:rsidR="00FA2720">
        <w:rPr>
          <w:rFonts w:ascii="Times New Roman" w:hAnsi="Times New Roman"/>
          <w:b/>
        </w:rPr>
        <w:t>A</w:t>
      </w:r>
      <w:r w:rsidR="007216D6">
        <w:rPr>
          <w:rFonts w:ascii="Times New Roman" w:hAnsi="Times New Roman"/>
          <w:b/>
        </w:rPr>
        <w:t>.</w:t>
        <w:tab/>
      </w:r>
      <w:r>
        <w:rPr>
          <w:rFonts w:ascii="Times New Roman" w:hAnsi="Times New Roman"/>
          <w:b/>
        </w:rPr>
        <w:t xml:space="preserve">schvaľuje </w:t>
      </w:r>
    </w:p>
    <w:p w:rsidR="00E04E16" w:rsidP="007216D6">
      <w:pPr>
        <w:tabs>
          <w:tab w:val="left" w:pos="567"/>
        </w:tabs>
        <w:bidi w:val="0"/>
        <w:jc w:val="both"/>
        <w:rPr>
          <w:rFonts w:ascii="Times New Roman" w:hAnsi="Times New Roman"/>
          <w:b/>
        </w:rPr>
      </w:pPr>
    </w:p>
    <w:p w:rsidR="00FA2720" w:rsidRPr="00641B1F" w:rsidP="00FA2720">
      <w:pPr>
        <w:tabs>
          <w:tab w:val="left" w:pos="567"/>
        </w:tabs>
        <w:bidi w:val="0"/>
        <w:jc w:val="both"/>
        <w:rPr>
          <w:rFonts w:ascii="Times New Roman" w:hAnsi="Times New Roman"/>
          <w:b/>
        </w:rPr>
      </w:pPr>
      <w:r w:rsidRPr="00E04E16" w:rsidR="00E04E16">
        <w:rPr>
          <w:rFonts w:ascii="Times New Roman" w:hAnsi="Times New Roman"/>
        </w:rPr>
        <w:t xml:space="preserve">priority vyplývajúce z Pracovného programu Európskej komisie </w:t>
      </w:r>
      <w:r w:rsidR="00E04E16">
        <w:rPr>
          <w:rFonts w:ascii="Times New Roman" w:hAnsi="Times New Roman"/>
        </w:rPr>
        <w:t>tak ako sú uvedené v</w:t>
      </w:r>
      <w:r>
        <w:rPr>
          <w:rFonts w:ascii="Times New Roman" w:hAnsi="Times New Roman"/>
        </w:rPr>
        <w:t> P</w:t>
      </w:r>
      <w:r w:rsidRPr="00FA2720">
        <w:rPr>
          <w:rFonts w:ascii="Times New Roman" w:hAnsi="Times New Roman"/>
        </w:rPr>
        <w:t>redbežnej správe o prioritách SR vyplývajúcich z Pracovného programu Európskej komisie na rok 2018</w:t>
      </w:r>
      <w:r>
        <w:rPr>
          <w:rFonts w:ascii="Times New Roman" w:hAnsi="Times New Roman"/>
        </w:rPr>
        <w:t>, ktorú výboru predložil minister zahraničných vecí a európskych záležitostí Slovenskej republiky</w:t>
      </w:r>
      <w:r w:rsidR="00FE7DE2">
        <w:rPr>
          <w:rFonts w:ascii="Times New Roman" w:hAnsi="Times New Roman"/>
        </w:rPr>
        <w:t xml:space="preserve"> a</w:t>
      </w:r>
      <w:r w:rsidR="002F01E3">
        <w:rPr>
          <w:rFonts w:ascii="Times New Roman" w:hAnsi="Times New Roman"/>
        </w:rPr>
        <w:t xml:space="preserve"> </w:t>
      </w:r>
      <w:r w:rsidRPr="00FE7DE2" w:rsidR="002F01E3">
        <w:rPr>
          <w:rFonts w:ascii="Times New Roman" w:hAnsi="Times New Roman"/>
        </w:rPr>
        <w:t>ktorá je prílohou tohto uznesenia</w:t>
      </w:r>
      <w:r w:rsidR="002F01E3">
        <w:rPr>
          <w:rFonts w:ascii="Times New Roman" w:hAnsi="Times New Roman"/>
        </w:rPr>
        <w:t>;</w:t>
      </w:r>
    </w:p>
    <w:p w:rsidR="00FA2720" w:rsidP="00FA2720">
      <w:pPr>
        <w:tabs>
          <w:tab w:val="left" w:pos="567"/>
        </w:tabs>
        <w:bidi w:val="0"/>
        <w:ind w:left="567"/>
        <w:jc w:val="both"/>
        <w:rPr>
          <w:rFonts w:ascii="Times New Roman" w:hAnsi="Times New Roman"/>
        </w:rPr>
      </w:pPr>
    </w:p>
    <w:p w:rsidR="00FA2720" w:rsidRPr="00FA2720" w:rsidP="00FA2720">
      <w:pPr>
        <w:tabs>
          <w:tab w:val="left" w:pos="567"/>
        </w:tabs>
        <w:bidi w:val="0"/>
        <w:ind w:left="567"/>
        <w:jc w:val="both"/>
        <w:rPr>
          <w:rFonts w:ascii="Times New Roman" w:hAnsi="Times New Roman"/>
        </w:rPr>
      </w:pPr>
    </w:p>
    <w:p w:rsidR="00FA2720" w:rsidP="00FA2720">
      <w:pPr>
        <w:tabs>
          <w:tab w:val="left" w:pos="567"/>
        </w:tabs>
        <w:bidi w:val="0"/>
        <w:jc w:val="both"/>
        <w:rPr>
          <w:rFonts w:ascii="Times New Roman" w:hAnsi="Times New Roman"/>
          <w:b/>
        </w:rPr>
      </w:pPr>
      <w:r>
        <w:rPr>
          <w:rFonts w:ascii="Times New Roman" w:hAnsi="Times New Roman"/>
          <w:b/>
        </w:rPr>
        <w:t>B.</w:t>
        <w:tab/>
        <w:t>ukladá</w:t>
      </w:r>
    </w:p>
    <w:p w:rsidR="00FA2720" w:rsidP="00FA2720">
      <w:pPr>
        <w:tabs>
          <w:tab w:val="left" w:pos="567"/>
        </w:tabs>
        <w:bidi w:val="0"/>
        <w:ind w:left="708"/>
        <w:jc w:val="both"/>
        <w:rPr>
          <w:rFonts w:ascii="Times New Roman" w:hAnsi="Times New Roman"/>
        </w:rPr>
      </w:pPr>
    </w:p>
    <w:p w:rsidR="00FA2720" w:rsidP="00FA2720">
      <w:pPr>
        <w:tabs>
          <w:tab w:val="left" w:pos="567"/>
        </w:tabs>
        <w:bidi w:val="0"/>
        <w:jc w:val="both"/>
        <w:rPr>
          <w:rFonts w:ascii="Times New Roman" w:hAnsi="Times New Roman"/>
        </w:rPr>
      </w:pPr>
      <w:r>
        <w:rPr>
          <w:rFonts w:ascii="Times New Roman" w:hAnsi="Times New Roman"/>
        </w:rPr>
        <w:tab/>
        <w:t xml:space="preserve">predsedovi výboru </w:t>
      </w:r>
    </w:p>
    <w:p w:rsidR="00FA2720" w:rsidP="00FA2720">
      <w:pPr>
        <w:tabs>
          <w:tab w:val="left" w:pos="567"/>
        </w:tabs>
        <w:bidi w:val="0"/>
        <w:jc w:val="both"/>
        <w:rPr>
          <w:rFonts w:ascii="Times New Roman" w:hAnsi="Times New Roman"/>
        </w:rPr>
      </w:pPr>
    </w:p>
    <w:p w:rsidR="00FA2720" w:rsidP="00FA2720">
      <w:pPr>
        <w:tabs>
          <w:tab w:val="left" w:pos="0"/>
          <w:tab w:val="left" w:pos="567"/>
        </w:tabs>
        <w:bidi w:val="0"/>
        <w:jc w:val="both"/>
        <w:rPr>
          <w:rFonts w:ascii="Times New Roman" w:hAnsi="Times New Roman"/>
        </w:rPr>
      </w:pPr>
      <w:r>
        <w:rPr>
          <w:rFonts w:ascii="Times New Roman" w:hAnsi="Times New Roman"/>
        </w:rPr>
        <w:tab/>
        <w:t>informovať predsedu Národnej rady Slovenskej republiky a ministra zahraničných vecí a európskych záležitostí Slovenskej republiky o výsledku rokovania výboru.</w:t>
      </w:r>
    </w:p>
    <w:p w:rsidR="00FA2720" w:rsidP="007216D6">
      <w:pPr>
        <w:tabs>
          <w:tab w:val="left" w:pos="567"/>
        </w:tabs>
        <w:bidi w:val="0"/>
        <w:jc w:val="both"/>
        <w:rPr>
          <w:rFonts w:ascii="Times New Roman" w:hAnsi="Times New Roman"/>
          <w:b/>
        </w:rPr>
      </w:pPr>
    </w:p>
    <w:p w:rsidR="00FA2720" w:rsidP="007216D6">
      <w:pPr>
        <w:tabs>
          <w:tab w:val="left" w:pos="567"/>
        </w:tabs>
        <w:bidi w:val="0"/>
        <w:jc w:val="both"/>
        <w:rPr>
          <w:rFonts w:ascii="Times New Roman" w:hAnsi="Times New Roman"/>
          <w:b/>
        </w:rPr>
      </w:pPr>
    </w:p>
    <w:p w:rsidR="00E9324F" w:rsidP="005D681D">
      <w:pPr>
        <w:bidi w:val="0"/>
        <w:rPr>
          <w:rFonts w:ascii="Times New Roman" w:hAnsi="Times New Roman"/>
        </w:rPr>
      </w:pPr>
    </w:p>
    <w:p w:rsidR="005736D0" w:rsidP="005736D0">
      <w:pPr>
        <w:bidi w:val="0"/>
        <w:rPr>
          <w:rFonts w:ascii="Times New Roman" w:hAnsi="Times New Roman"/>
        </w:rPr>
      </w:pPr>
    </w:p>
    <w:p w:rsidR="005736D0" w:rsidRPr="00457287" w:rsidP="005736D0">
      <w:pPr>
        <w:bidi w:val="0"/>
        <w:spacing w:before="120"/>
        <w:ind w:left="1080"/>
        <w:rPr>
          <w:rFonts w:ascii="Times New Roman" w:hAnsi="Times New Roman"/>
        </w:rPr>
      </w:pPr>
    </w:p>
    <w:p w:rsidR="005736D0" w:rsidP="005736D0">
      <w:pPr>
        <w:tabs>
          <w:tab w:val="left" w:pos="360"/>
        </w:tabs>
        <w:bidi w:val="0"/>
        <w:jc w:val="both"/>
        <w:rPr>
          <w:rFonts w:ascii="Times New Roman" w:hAnsi="Times New Roman"/>
        </w:rPr>
      </w:pPr>
      <w:r w:rsidRPr="00457287">
        <w:rPr>
          <w:rFonts w:ascii="Times New Roman" w:hAnsi="Times New Roman"/>
        </w:rPr>
        <w:tab/>
        <w:tab/>
      </w:r>
    </w:p>
    <w:p w:rsidR="00FA2720" w:rsidRPr="008C6E1E" w:rsidP="00FA2720">
      <w:pPr>
        <w:tabs>
          <w:tab w:val="left" w:pos="567"/>
        </w:tabs>
        <w:bidi w:val="0"/>
        <w:jc w:val="both"/>
        <w:rPr>
          <w:rFonts w:ascii="Times New Roman" w:hAnsi="Times New Roman"/>
          <w:b/>
        </w:rPr>
      </w:pPr>
      <w:r>
        <w:rPr>
          <w:rFonts w:ascii="Times New Roman" w:hAnsi="Times New Roman"/>
        </w:rPr>
        <w:t xml:space="preserve">   </w:t>
      </w:r>
      <w:r w:rsidRPr="008C6E1E">
        <w:rPr>
          <w:rFonts w:ascii="Times New Roman" w:hAnsi="Times New Roman"/>
        </w:rPr>
        <w:t xml:space="preserve">        </w:t>
      </w:r>
      <w:r>
        <w:rPr>
          <w:rFonts w:ascii="Times New Roman" w:hAnsi="Times New Roman"/>
          <w:b/>
        </w:rPr>
        <w:t>Edita Pfundtner</w:t>
      </w:r>
      <w:r w:rsidRPr="008C6E1E">
        <w:rPr>
          <w:rFonts w:ascii="Times New Roman" w:hAnsi="Times New Roman"/>
          <w:b/>
        </w:rPr>
        <w:t xml:space="preserve"> </w:t>
        <w:tab/>
        <w:tab/>
        <w:tab/>
        <w:tab/>
        <w:tab/>
        <w:t xml:space="preserve">     </w:t>
        <w:tab/>
        <w:tab/>
        <w:t>Ľuboš Blaha</w:t>
      </w:r>
    </w:p>
    <w:p w:rsidR="00FA2720" w:rsidRPr="008C6E1E" w:rsidP="00FA2720">
      <w:pPr>
        <w:tabs>
          <w:tab w:val="left" w:pos="567"/>
        </w:tabs>
        <w:bidi w:val="0"/>
        <w:ind w:firstLine="708"/>
        <w:jc w:val="both"/>
        <w:rPr>
          <w:rFonts w:ascii="Times New Roman" w:hAnsi="Times New Roman"/>
        </w:rPr>
      </w:pPr>
      <w:r>
        <w:rPr>
          <w:rFonts w:ascii="Times New Roman" w:hAnsi="Times New Roman"/>
          <w:b/>
        </w:rPr>
        <w:t>Peter Osuský</w:t>
        <w:tab/>
      </w:r>
      <w:r w:rsidRPr="008C6E1E">
        <w:rPr>
          <w:rFonts w:ascii="Times New Roman" w:hAnsi="Times New Roman"/>
        </w:rPr>
        <w:tab/>
        <w:tab/>
        <w:tab/>
        <w:tab/>
        <w:tab/>
        <w:t xml:space="preserve">   </w:t>
        <w:tab/>
        <w:t xml:space="preserve">         predseda výboru  </w:t>
      </w:r>
    </w:p>
    <w:p w:rsidR="00FA2720" w:rsidP="00FA2720">
      <w:pPr>
        <w:tabs>
          <w:tab w:val="left" w:pos="567"/>
        </w:tabs>
        <w:bidi w:val="0"/>
        <w:jc w:val="both"/>
        <w:rPr>
          <w:rFonts w:ascii="Times New Roman" w:hAnsi="Times New Roman"/>
        </w:rPr>
      </w:pPr>
      <w:r>
        <w:rPr>
          <w:rFonts w:ascii="Times New Roman" w:hAnsi="Times New Roman"/>
        </w:rPr>
        <w:t xml:space="preserve">              </w:t>
      </w:r>
      <w:r w:rsidRPr="008C6E1E">
        <w:rPr>
          <w:rFonts w:ascii="Times New Roman" w:hAnsi="Times New Roman"/>
        </w:rPr>
        <w:t xml:space="preserve">overovateľ  </w:t>
        <w:tab/>
        <w:tab/>
        <w:tab/>
        <w:tab/>
        <w:tab/>
        <w:tab/>
        <w:t xml:space="preserve">   </w:t>
      </w:r>
    </w:p>
    <w:p w:rsidR="00573307">
      <w:pPr>
        <w:bidi w:val="0"/>
        <w:spacing w:after="200" w:line="276" w:lineRule="auto"/>
        <w:rPr>
          <w:rFonts w:ascii="Times New Roman" w:hAnsi="Times New Roman"/>
        </w:rPr>
      </w:pPr>
      <w:r>
        <w:rPr>
          <w:rFonts w:ascii="Times New Roman" w:hAnsi="Times New Roman"/>
        </w:rPr>
        <w:br w:type="page"/>
      </w:r>
    </w:p>
    <w:p w:rsidR="003D028A" w:rsidRPr="003D028A" w:rsidP="003D028A">
      <w:pPr>
        <w:bidi w:val="0"/>
        <w:jc w:val="right"/>
        <w:rPr>
          <w:rFonts w:ascii="Times New Roman" w:hAnsi="Times New Roman"/>
          <w:i/>
        </w:rPr>
      </w:pPr>
      <w:r w:rsidRPr="003D028A">
        <w:rPr>
          <w:rFonts w:ascii="Times New Roman" w:hAnsi="Times New Roman"/>
          <w:i/>
        </w:rPr>
        <w:t>Príloha</w:t>
      </w:r>
    </w:p>
    <w:p w:rsidR="003D028A" w:rsidRPr="003D028A" w:rsidP="003D028A">
      <w:pPr>
        <w:bidi w:val="0"/>
        <w:jc w:val="right"/>
        <w:rPr>
          <w:rFonts w:ascii="Times New Roman" w:hAnsi="Times New Roman"/>
          <w:i/>
          <w:sz w:val="28"/>
        </w:rPr>
      </w:pPr>
    </w:p>
    <w:p w:rsidR="00573307" w:rsidRPr="00887420" w:rsidP="00573307">
      <w:pPr>
        <w:bidi w:val="0"/>
        <w:jc w:val="center"/>
        <w:rPr>
          <w:rFonts w:ascii="Times New Roman" w:hAnsi="Times New Roman"/>
          <w:b/>
          <w:sz w:val="28"/>
        </w:rPr>
      </w:pPr>
      <w:r w:rsidRPr="00887420">
        <w:rPr>
          <w:rFonts w:ascii="Times New Roman" w:hAnsi="Times New Roman"/>
          <w:b/>
          <w:sz w:val="28"/>
        </w:rPr>
        <w:t>Predbežn</w:t>
      </w:r>
      <w:r>
        <w:rPr>
          <w:rFonts w:ascii="Times New Roman" w:hAnsi="Times New Roman"/>
          <w:b/>
          <w:sz w:val="28"/>
        </w:rPr>
        <w:t>á</w:t>
      </w:r>
      <w:r w:rsidRPr="00887420">
        <w:rPr>
          <w:rFonts w:ascii="Times New Roman" w:hAnsi="Times New Roman"/>
          <w:b/>
          <w:sz w:val="28"/>
        </w:rPr>
        <w:t xml:space="preserve"> správa o</w:t>
      </w:r>
      <w:r>
        <w:rPr>
          <w:rFonts w:ascii="Times New Roman" w:hAnsi="Times New Roman"/>
          <w:b/>
          <w:sz w:val="28"/>
        </w:rPr>
        <w:t> </w:t>
      </w:r>
      <w:r w:rsidRPr="00887420">
        <w:rPr>
          <w:rFonts w:ascii="Times New Roman" w:hAnsi="Times New Roman"/>
          <w:b/>
          <w:sz w:val="28"/>
        </w:rPr>
        <w:t>prioritách</w:t>
      </w:r>
      <w:r>
        <w:rPr>
          <w:rFonts w:ascii="Times New Roman" w:hAnsi="Times New Roman"/>
          <w:b/>
          <w:sz w:val="28"/>
        </w:rPr>
        <w:t xml:space="preserve"> SR</w:t>
      </w:r>
      <w:r w:rsidRPr="00887420">
        <w:rPr>
          <w:rFonts w:ascii="Times New Roman" w:hAnsi="Times New Roman"/>
          <w:b/>
          <w:sz w:val="28"/>
        </w:rPr>
        <w:t xml:space="preserve"> vyplývajúcich z Pracovného programu Európskej komisie na rok 2018</w:t>
      </w:r>
    </w:p>
    <w:p w:rsidR="00573307" w:rsidRPr="00887420" w:rsidP="00573307">
      <w:pPr>
        <w:bidi w:val="0"/>
        <w:jc w:val="both"/>
        <w:rPr>
          <w:rFonts w:ascii="Times New Roman" w:hAnsi="Times New Roman"/>
          <w:bCs/>
        </w:rPr>
      </w:pPr>
    </w:p>
    <w:p w:rsidR="00573307" w:rsidRPr="00AF3FBA" w:rsidP="00573307">
      <w:pPr>
        <w:bidi w:val="0"/>
        <w:ind w:firstLine="708"/>
        <w:jc w:val="both"/>
        <w:rPr>
          <w:rFonts w:ascii="Times New Roman" w:hAnsi="Times New Roman"/>
          <w:bCs/>
        </w:rPr>
      </w:pPr>
      <w:r w:rsidRPr="00AF3FBA">
        <w:rPr>
          <w:rFonts w:ascii="Times New Roman" w:hAnsi="Times New Roman"/>
          <w:b/>
          <w:bCs/>
        </w:rPr>
        <w:t>Pracovný program Európskej komisie na rok 2018</w:t>
      </w:r>
      <w:r w:rsidRPr="00AF3FBA">
        <w:rPr>
          <w:rFonts w:ascii="Times New Roman" w:hAnsi="Times New Roman"/>
          <w:bCs/>
        </w:rPr>
        <w:t xml:space="preserve"> </w:t>
      </w:r>
      <w:r w:rsidRPr="00D01C77">
        <w:rPr>
          <w:rFonts w:ascii="Times New Roman" w:hAnsi="Times New Roman"/>
          <w:bCs/>
          <w:i/>
        </w:rPr>
        <w:t xml:space="preserve">(Commission work </w:t>
      </w:r>
      <w:r>
        <w:rPr>
          <w:rFonts w:ascii="Times New Roman" w:hAnsi="Times New Roman"/>
          <w:bCs/>
          <w:i/>
        </w:rPr>
        <w:br/>
      </w:r>
      <w:r w:rsidRPr="00D01C77">
        <w:rPr>
          <w:rFonts w:ascii="Times New Roman" w:hAnsi="Times New Roman"/>
          <w:bCs/>
          <w:i/>
        </w:rPr>
        <w:t xml:space="preserve">programme - </w:t>
      </w:r>
      <w:r w:rsidRPr="00D01C77">
        <w:rPr>
          <w:rFonts w:ascii="Times New Roman" w:hAnsi="Times New Roman"/>
          <w:b/>
          <w:bCs/>
          <w:i/>
        </w:rPr>
        <w:t>CWP 2018</w:t>
      </w:r>
      <w:r w:rsidRPr="00D01C77">
        <w:rPr>
          <w:rFonts w:ascii="Times New Roman" w:hAnsi="Times New Roman"/>
          <w:bCs/>
          <w:i/>
        </w:rPr>
        <w:t>)</w:t>
      </w:r>
      <w:r w:rsidRPr="00AF3FBA">
        <w:rPr>
          <w:rFonts w:ascii="Times New Roman" w:hAnsi="Times New Roman"/>
          <w:bCs/>
        </w:rPr>
        <w:t xml:space="preserve"> bol v Európskom parlamente predstavený 24. októbra 2017. </w:t>
      </w:r>
      <w:r w:rsidRPr="00AF3FBA">
        <w:rPr>
          <w:rFonts w:ascii="Times New Roman" w:hAnsi="Times New Roman"/>
        </w:rPr>
        <w:t>Po prvýkrát má dva rozmery – prvým je dokončenie legislatívn</w:t>
      </w:r>
      <w:r>
        <w:rPr>
          <w:rFonts w:ascii="Times New Roman" w:hAnsi="Times New Roman"/>
        </w:rPr>
        <w:t>ej iniciatívy</w:t>
      </w:r>
      <w:r w:rsidRPr="00AF3FBA">
        <w:rPr>
          <w:rFonts w:ascii="Times New Roman" w:hAnsi="Times New Roman"/>
        </w:rPr>
        <w:t xml:space="preserve"> do konca mandátu súčasn</w:t>
      </w:r>
      <w:r>
        <w:rPr>
          <w:rFonts w:ascii="Times New Roman" w:hAnsi="Times New Roman"/>
        </w:rPr>
        <w:t>ej Európskej komisie</w:t>
      </w:r>
      <w:r w:rsidRPr="00AF3FBA">
        <w:rPr>
          <w:rFonts w:ascii="Times New Roman" w:hAnsi="Times New Roman"/>
        </w:rPr>
        <w:t xml:space="preserve"> a druhým návrhy v kontexte diskusie o budúcnosti EÚ (Biela kniha Európskej komisie) s perspektívou ich prijatia do 2025.</w:t>
      </w:r>
    </w:p>
    <w:p w:rsidR="00573307" w:rsidRPr="00AF3FBA" w:rsidP="00573307">
      <w:pPr>
        <w:bidi w:val="0"/>
        <w:ind w:firstLine="708"/>
        <w:jc w:val="both"/>
        <w:rPr>
          <w:rFonts w:ascii="Times New Roman" w:hAnsi="Times New Roman"/>
          <w:b/>
          <w:bCs/>
        </w:rPr>
      </w:pPr>
      <w:r w:rsidRPr="00AF3FBA">
        <w:rPr>
          <w:rFonts w:ascii="Times New Roman" w:hAnsi="Times New Roman"/>
        </w:rPr>
        <w:t xml:space="preserve">CWP 2018 </w:t>
      </w:r>
      <w:r w:rsidRPr="00AF3FBA">
        <w:rPr>
          <w:rFonts w:ascii="Times New Roman" w:hAnsi="Times New Roman"/>
          <w:b/>
        </w:rPr>
        <w:t xml:space="preserve">reflektuje iniciatívy predstavené </w:t>
      </w:r>
      <w:r w:rsidRPr="00EB6C2B">
        <w:rPr>
          <w:rFonts w:ascii="Times New Roman" w:hAnsi="Times New Roman"/>
        </w:rPr>
        <w:t>v</w:t>
      </w:r>
      <w:r w:rsidRPr="00AF3FBA">
        <w:rPr>
          <w:rFonts w:ascii="Times New Roman" w:hAnsi="Times New Roman"/>
        </w:rPr>
        <w:t xml:space="preserve"> prejave</w:t>
      </w:r>
      <w:r w:rsidRPr="00AF3FBA">
        <w:rPr>
          <w:rFonts w:ascii="Times New Roman" w:hAnsi="Times New Roman"/>
          <w:b/>
        </w:rPr>
        <w:t xml:space="preserve"> </w:t>
      </w:r>
      <w:r w:rsidRPr="00AF3FBA">
        <w:rPr>
          <w:rFonts w:ascii="Times New Roman" w:hAnsi="Times New Roman"/>
        </w:rPr>
        <w:t xml:space="preserve">predsedu </w:t>
      </w:r>
      <w:r>
        <w:rPr>
          <w:rFonts w:ascii="Times New Roman" w:hAnsi="Times New Roman"/>
        </w:rPr>
        <w:t>Európskej komisie</w:t>
        <w:br/>
      </w:r>
      <w:r w:rsidRPr="00AF3FBA">
        <w:rPr>
          <w:rFonts w:ascii="Times New Roman" w:hAnsi="Times New Roman"/>
        </w:rPr>
        <w:t>J.</w:t>
      </w:r>
      <w:r>
        <w:rPr>
          <w:rFonts w:ascii="Times New Roman" w:hAnsi="Times New Roman"/>
        </w:rPr>
        <w:t xml:space="preserve"> </w:t>
      </w:r>
      <w:r w:rsidRPr="00AF3FBA">
        <w:rPr>
          <w:rFonts w:ascii="Times New Roman" w:hAnsi="Times New Roman"/>
        </w:rPr>
        <w:t>-</w:t>
      </w:r>
      <w:r>
        <w:rPr>
          <w:rFonts w:ascii="Times New Roman" w:hAnsi="Times New Roman"/>
        </w:rPr>
        <w:t xml:space="preserve"> </w:t>
      </w:r>
      <w:r w:rsidRPr="00AF3FBA">
        <w:rPr>
          <w:rFonts w:ascii="Times New Roman" w:hAnsi="Times New Roman"/>
        </w:rPr>
        <w:t xml:space="preserve">C. Junckera o </w:t>
      </w:r>
      <w:r w:rsidRPr="00AF3FBA">
        <w:rPr>
          <w:rFonts w:ascii="Times New Roman" w:hAnsi="Times New Roman"/>
          <w:b/>
        </w:rPr>
        <w:t xml:space="preserve">Stave únie </w:t>
      </w:r>
      <w:r w:rsidRPr="00AF3FBA">
        <w:rPr>
          <w:rFonts w:ascii="Times New Roman" w:hAnsi="Times New Roman"/>
        </w:rPr>
        <w:t xml:space="preserve">v pléne Európskeho parlamentu 13. septembra, ako aj </w:t>
      </w:r>
      <w:r>
        <w:rPr>
          <w:rFonts w:ascii="Times New Roman" w:hAnsi="Times New Roman"/>
        </w:rPr>
        <w:t xml:space="preserve">v </w:t>
      </w:r>
      <w:r w:rsidRPr="00AF3FBA">
        <w:rPr>
          <w:rFonts w:ascii="Times New Roman" w:hAnsi="Times New Roman"/>
        </w:rPr>
        <w:t xml:space="preserve">následnom </w:t>
      </w:r>
      <w:r w:rsidRPr="00AF3FBA">
        <w:rPr>
          <w:rFonts w:ascii="Times New Roman" w:hAnsi="Times New Roman"/>
          <w:b/>
        </w:rPr>
        <w:t>Vyhlásení o zámere</w:t>
      </w:r>
      <w:r w:rsidRPr="00AF3FBA">
        <w:rPr>
          <w:rFonts w:ascii="Times New Roman" w:hAnsi="Times New Roman"/>
        </w:rPr>
        <w:t xml:space="preserve"> </w:t>
      </w:r>
      <w:r w:rsidRPr="00EB6C2B">
        <w:rPr>
          <w:rFonts w:ascii="Times New Roman" w:hAnsi="Times New Roman"/>
          <w:i/>
        </w:rPr>
        <w:t>(tzv. „Letter of Intent“)</w:t>
      </w:r>
      <w:r w:rsidRPr="00AF3FBA">
        <w:rPr>
          <w:rFonts w:ascii="Times New Roman" w:hAnsi="Times New Roman"/>
        </w:rPr>
        <w:t>, ktoré bolo estónskemu predsedníctvu Rady EÚ</w:t>
      </w:r>
      <w:r w:rsidRPr="00BA3DB1">
        <w:rPr>
          <w:rFonts w:ascii="Times New Roman" w:hAnsi="Times New Roman"/>
        </w:rPr>
        <w:t xml:space="preserve"> </w:t>
      </w:r>
      <w:r>
        <w:rPr>
          <w:rFonts w:ascii="Times New Roman" w:hAnsi="Times New Roman"/>
        </w:rPr>
        <w:t>zaslané predsedom a prvým podpredsedom Európskej komisie</w:t>
      </w:r>
      <w:r w:rsidRPr="00AF3FBA">
        <w:rPr>
          <w:rFonts w:ascii="Times New Roman" w:hAnsi="Times New Roman"/>
        </w:rPr>
        <w:t xml:space="preserve">. </w:t>
      </w:r>
      <w:r w:rsidRPr="00AF3FBA">
        <w:rPr>
          <w:rFonts w:ascii="Times New Roman" w:hAnsi="Times New Roman"/>
          <w:bCs/>
        </w:rPr>
        <w:t xml:space="preserve">Zároveň berie do úvahy aj </w:t>
      </w:r>
      <w:r w:rsidRPr="00AF3FBA">
        <w:rPr>
          <w:rFonts w:ascii="Times New Roman" w:hAnsi="Times New Roman"/>
          <w:b/>
          <w:bCs/>
        </w:rPr>
        <w:t xml:space="preserve">diskusie </w:t>
      </w:r>
      <w:r>
        <w:rPr>
          <w:rFonts w:ascii="Times New Roman" w:hAnsi="Times New Roman"/>
          <w:b/>
          <w:bCs/>
        </w:rPr>
        <w:t>Európskej komisie</w:t>
      </w:r>
      <w:r w:rsidRPr="00AF3FBA">
        <w:rPr>
          <w:rFonts w:ascii="Times New Roman" w:hAnsi="Times New Roman"/>
          <w:b/>
          <w:bCs/>
        </w:rPr>
        <w:t xml:space="preserve"> s Európskym parlamentom, Radou, Európskym hospodárskym a sociálnym výborom a Výborom regiónov. </w:t>
      </w:r>
    </w:p>
    <w:p w:rsidR="00573307" w:rsidRPr="00BA3DB1" w:rsidP="00573307">
      <w:pPr>
        <w:bidi w:val="0"/>
        <w:ind w:firstLine="708"/>
        <w:jc w:val="both"/>
        <w:rPr>
          <w:rFonts w:ascii="Times New Roman" w:hAnsi="Times New Roman"/>
        </w:rPr>
      </w:pPr>
      <w:r w:rsidRPr="00AF3FBA">
        <w:rPr>
          <w:rFonts w:ascii="Times New Roman" w:hAnsi="Times New Roman"/>
        </w:rPr>
        <w:t xml:space="preserve">CWP 2018 je potrebné vnímať </w:t>
      </w:r>
      <w:r w:rsidRPr="00AF3FBA">
        <w:rPr>
          <w:rFonts w:ascii="Times New Roman" w:hAnsi="Times New Roman"/>
          <w:b/>
        </w:rPr>
        <w:t>v kontexte blížiaceho sa ukončenia tohto volebného cyklu EÚ</w:t>
      </w:r>
      <w:r w:rsidRPr="00AF3FBA">
        <w:rPr>
          <w:rFonts w:ascii="Times New Roman" w:hAnsi="Times New Roman"/>
        </w:rPr>
        <w:t xml:space="preserve">. </w:t>
      </w:r>
      <w:r>
        <w:rPr>
          <w:rFonts w:ascii="Times New Roman" w:hAnsi="Times New Roman"/>
        </w:rPr>
        <w:t>Európska komisia</w:t>
      </w:r>
      <w:r w:rsidRPr="00AF3FBA">
        <w:rPr>
          <w:rFonts w:ascii="Times New Roman" w:hAnsi="Times New Roman"/>
        </w:rPr>
        <w:t xml:space="preserve"> preto predkladá len obmedzené množstvo nových legislatívnych návrhov. Je zrejmý dôraz najmä na dokončenie existu</w:t>
      </w:r>
      <w:r>
        <w:rPr>
          <w:rFonts w:ascii="Times New Roman" w:hAnsi="Times New Roman"/>
        </w:rPr>
        <w:t>júcich legislatívnych iniciatív</w:t>
      </w:r>
      <w:r w:rsidRPr="00AF3FBA">
        <w:rPr>
          <w:rFonts w:ascii="Times New Roman" w:hAnsi="Times New Roman"/>
        </w:rPr>
        <w:t>, na čom sa spolu s</w:t>
      </w:r>
      <w:r>
        <w:rPr>
          <w:rFonts w:ascii="Times New Roman" w:hAnsi="Times New Roman"/>
        </w:rPr>
        <w:t> Európskou komisiou</w:t>
      </w:r>
      <w:r w:rsidRPr="00AF3FBA">
        <w:rPr>
          <w:rFonts w:ascii="Times New Roman" w:hAnsi="Times New Roman"/>
        </w:rPr>
        <w:t xml:space="preserve"> zhodli aj členské štáty EÚ. Napriek tomuto nastaveniu je prítomná aj snaha súčasnej </w:t>
      </w:r>
      <w:r>
        <w:rPr>
          <w:rFonts w:ascii="Times New Roman" w:hAnsi="Times New Roman"/>
        </w:rPr>
        <w:t>Európskej komisie</w:t>
      </w:r>
      <w:r w:rsidRPr="00AF3FBA">
        <w:rPr>
          <w:rFonts w:ascii="Times New Roman" w:hAnsi="Times New Roman"/>
        </w:rPr>
        <w:t xml:space="preserve"> o</w:t>
      </w:r>
      <w:r>
        <w:rPr>
          <w:rFonts w:ascii="Times New Roman" w:hAnsi="Times New Roman"/>
        </w:rPr>
        <w:t xml:space="preserve"> zohľadnenie diskusií o budúcnosti EÚ, </w:t>
      </w:r>
      <w:r w:rsidRPr="00AF3FBA">
        <w:rPr>
          <w:rFonts w:ascii="Times New Roman" w:hAnsi="Times New Roman"/>
        </w:rPr>
        <w:t>čomu zodpovedajú návrhy s perspektívou do 2025, ktoré plánuje zverejniť do konca svojho mandátu.</w:t>
      </w:r>
    </w:p>
    <w:p w:rsidR="00573307" w:rsidRPr="00AF3FBA" w:rsidP="00573307">
      <w:pPr>
        <w:bidi w:val="0"/>
        <w:ind w:firstLine="708"/>
        <w:jc w:val="both"/>
        <w:rPr>
          <w:rFonts w:ascii="Times New Roman" w:hAnsi="Times New Roman"/>
          <w:bCs/>
        </w:rPr>
      </w:pPr>
      <w:r w:rsidRPr="00AF3FBA">
        <w:rPr>
          <w:rFonts w:ascii="Times New Roman" w:hAnsi="Times New Roman"/>
          <w:bCs/>
        </w:rPr>
        <w:t>CWP 2018 obsahuje 5 príloh (nové iniciatívy, REFIT, prioritné návrhy v štádiu schvaľovania, návrhy na stiahnutie, zrušenie).</w:t>
      </w:r>
    </w:p>
    <w:p w:rsidR="00573307" w:rsidRPr="00AF3FBA" w:rsidP="003D028A">
      <w:pPr>
        <w:bidi w:val="0"/>
        <w:ind w:firstLine="360"/>
        <w:jc w:val="both"/>
        <w:rPr>
          <w:rFonts w:ascii="Times New Roman" w:hAnsi="Times New Roman"/>
          <w:bCs/>
        </w:rPr>
      </w:pPr>
      <w:r w:rsidRPr="00AF3FBA">
        <w:rPr>
          <w:rFonts w:ascii="Times New Roman" w:hAnsi="Times New Roman"/>
          <w:bCs/>
        </w:rPr>
        <w:t xml:space="preserve">Príloha č. 1 obsahuje </w:t>
      </w:r>
      <w:r w:rsidRPr="005D060A">
        <w:rPr>
          <w:rFonts w:ascii="Times New Roman" w:hAnsi="Times New Roman"/>
          <w:b/>
          <w:bCs/>
        </w:rPr>
        <w:t>26 nových iniciatív</w:t>
      </w:r>
      <w:r w:rsidRPr="00AF3FBA">
        <w:rPr>
          <w:rFonts w:ascii="Times New Roman" w:hAnsi="Times New Roman"/>
          <w:bCs/>
        </w:rPr>
        <w:t>, ktoré sú rozdelené do dvoch kategórií:</w:t>
      </w:r>
    </w:p>
    <w:p w:rsidR="00573307" w:rsidRPr="00AF3FBA" w:rsidP="00573307">
      <w:pPr>
        <w:pStyle w:val="ListParagraph"/>
        <w:numPr>
          <w:numId w:val="10"/>
        </w:numPr>
        <w:bidi w:val="0"/>
        <w:contextualSpacing w:val="0"/>
        <w:jc w:val="both"/>
        <w:rPr>
          <w:rFonts w:ascii="Times New Roman" w:hAnsi="Times New Roman" w:cs="Times New Roman"/>
          <w:bCs/>
        </w:rPr>
      </w:pPr>
      <w:r w:rsidRPr="00AF3FBA">
        <w:rPr>
          <w:rFonts w:ascii="Times New Roman" w:hAnsi="Times New Roman" w:cs="Times New Roman"/>
          <w:b/>
          <w:bCs/>
        </w:rPr>
        <w:t>limitovaný počet cielených legislatívnych opatrení,</w:t>
      </w:r>
      <w:r w:rsidRPr="00AF3FBA">
        <w:rPr>
          <w:rFonts w:ascii="Times New Roman" w:hAnsi="Times New Roman" w:cs="Times New Roman"/>
          <w:bCs/>
        </w:rPr>
        <w:t xml:space="preserve"> ktoré budú predložené </w:t>
      </w:r>
      <w:r w:rsidRPr="00AF3FBA">
        <w:rPr>
          <w:rFonts w:ascii="Times New Roman" w:hAnsi="Times New Roman" w:cs="Times New Roman"/>
          <w:b/>
          <w:bCs/>
        </w:rPr>
        <w:t>do mája 2018</w:t>
      </w:r>
      <w:r w:rsidRPr="00AF3FBA">
        <w:rPr>
          <w:rFonts w:ascii="Times New Roman" w:hAnsi="Times New Roman" w:cs="Times New Roman"/>
          <w:bCs/>
        </w:rPr>
        <w:t xml:space="preserve"> na ukončenie legislatívneho procesu ešte pred voľbami do </w:t>
      </w:r>
      <w:r>
        <w:rPr>
          <w:rFonts w:ascii="Times New Roman" w:hAnsi="Times New Roman" w:cs="Times New Roman"/>
          <w:bCs/>
        </w:rPr>
        <w:t>Európskeho parlamentu</w:t>
      </w:r>
      <w:r w:rsidRPr="00AF3FBA">
        <w:rPr>
          <w:rFonts w:ascii="Times New Roman" w:hAnsi="Times New Roman" w:cs="Times New Roman"/>
          <w:bCs/>
        </w:rPr>
        <w:t xml:space="preserve"> v júni 2019</w:t>
      </w:r>
    </w:p>
    <w:p w:rsidR="00573307" w:rsidRPr="00AF3FBA" w:rsidP="00573307">
      <w:pPr>
        <w:pStyle w:val="ListParagraph"/>
        <w:numPr>
          <w:numId w:val="10"/>
        </w:numPr>
        <w:bidi w:val="0"/>
        <w:contextualSpacing w:val="0"/>
        <w:jc w:val="both"/>
        <w:rPr>
          <w:rFonts w:ascii="Times New Roman" w:hAnsi="Times New Roman" w:cs="Times New Roman"/>
          <w:bCs/>
        </w:rPr>
      </w:pPr>
      <w:r w:rsidRPr="00AF3FBA">
        <w:rPr>
          <w:rFonts w:ascii="Times New Roman" w:hAnsi="Times New Roman" w:cs="Times New Roman"/>
          <w:b/>
          <w:bCs/>
        </w:rPr>
        <w:t>ambiciózne opatrenia a iniciatívy</w:t>
      </w:r>
      <w:r w:rsidRPr="00AF3FBA">
        <w:rPr>
          <w:rFonts w:ascii="Times New Roman" w:hAnsi="Times New Roman" w:cs="Times New Roman"/>
          <w:bCs/>
        </w:rPr>
        <w:t xml:space="preserve">, ktoré sú orientované na budúcnosť a majú formovať </w:t>
      </w:r>
      <w:r>
        <w:rPr>
          <w:rFonts w:ascii="Times New Roman" w:hAnsi="Times New Roman" w:cs="Times New Roman"/>
          <w:bCs/>
        </w:rPr>
        <w:t>novú</w:t>
      </w:r>
      <w:r w:rsidRPr="00AF3FBA">
        <w:rPr>
          <w:rFonts w:ascii="Times New Roman" w:hAnsi="Times New Roman" w:cs="Times New Roman"/>
          <w:bCs/>
        </w:rPr>
        <w:t xml:space="preserve"> </w:t>
      </w:r>
      <w:r w:rsidRPr="00AF3FBA">
        <w:rPr>
          <w:rFonts w:ascii="Times New Roman" w:hAnsi="Times New Roman" w:cs="Times New Roman"/>
          <w:b/>
          <w:bCs/>
        </w:rPr>
        <w:t>EÚ27 do roku 2025 a neskôr</w:t>
      </w:r>
    </w:p>
    <w:p w:rsidR="00573307" w:rsidRPr="00AF3FBA" w:rsidP="00573307">
      <w:pPr>
        <w:bidi w:val="0"/>
        <w:ind w:firstLine="360"/>
        <w:jc w:val="both"/>
        <w:rPr>
          <w:rFonts w:ascii="Times New Roman" w:hAnsi="Times New Roman"/>
        </w:rPr>
      </w:pPr>
      <w:r w:rsidRPr="00AF3FBA">
        <w:rPr>
          <w:rFonts w:ascii="Times New Roman" w:hAnsi="Times New Roman"/>
        </w:rPr>
        <w:t>CWP 2018 ďalej obsahuje:</w:t>
      </w:r>
    </w:p>
    <w:p w:rsidR="00573307" w:rsidRPr="00AF3FBA" w:rsidP="00573307">
      <w:pPr>
        <w:pStyle w:val="ListParagraph"/>
        <w:numPr>
          <w:numId w:val="11"/>
        </w:numPr>
        <w:bidi w:val="0"/>
        <w:contextualSpacing w:val="0"/>
        <w:jc w:val="both"/>
        <w:rPr>
          <w:rFonts w:ascii="Times New Roman" w:hAnsi="Times New Roman" w:cs="Times New Roman"/>
        </w:rPr>
      </w:pPr>
      <w:r w:rsidRPr="00AF3FBA">
        <w:rPr>
          <w:rFonts w:ascii="Times New Roman" w:hAnsi="Times New Roman" w:cs="Times New Roman"/>
          <w:b/>
        </w:rPr>
        <w:t xml:space="preserve">66 prioritných návrhov v štádiu schvaľovania </w:t>
      </w:r>
      <w:r w:rsidRPr="00AF3FBA">
        <w:rPr>
          <w:rFonts w:ascii="Times New Roman" w:hAnsi="Times New Roman" w:cs="Times New Roman"/>
        </w:rPr>
        <w:t xml:space="preserve">(príloha č.3), ktoré </w:t>
      </w:r>
      <w:r>
        <w:rPr>
          <w:rFonts w:ascii="Times New Roman" w:hAnsi="Times New Roman" w:cs="Times New Roman"/>
        </w:rPr>
        <w:t>Európska komisia</w:t>
      </w:r>
      <w:r w:rsidRPr="00AF3FBA">
        <w:rPr>
          <w:rFonts w:ascii="Times New Roman" w:hAnsi="Times New Roman" w:cs="Times New Roman"/>
        </w:rPr>
        <w:t xml:space="preserve"> predložila v posledných dvoch rokoch a pri ktorých je potrebné urýchlené prijatie </w:t>
      </w:r>
      <w:r>
        <w:rPr>
          <w:rFonts w:ascii="Times New Roman" w:hAnsi="Times New Roman" w:cs="Times New Roman"/>
        </w:rPr>
        <w:t>Európskym p</w:t>
      </w:r>
      <w:r w:rsidRPr="00AF3FBA">
        <w:rPr>
          <w:rFonts w:ascii="Times New Roman" w:hAnsi="Times New Roman" w:cs="Times New Roman"/>
        </w:rPr>
        <w:t xml:space="preserve">arlamentom a Radou </w:t>
      </w:r>
    </w:p>
    <w:p w:rsidR="00573307" w:rsidRPr="00AF3FBA" w:rsidP="00573307">
      <w:pPr>
        <w:pStyle w:val="ListParagraph"/>
        <w:numPr>
          <w:numId w:val="11"/>
        </w:numPr>
        <w:bidi w:val="0"/>
        <w:contextualSpacing w:val="0"/>
        <w:jc w:val="both"/>
        <w:rPr>
          <w:rFonts w:ascii="Times New Roman" w:hAnsi="Times New Roman" w:cs="Times New Roman"/>
        </w:rPr>
      </w:pPr>
      <w:r w:rsidRPr="00AF3FBA">
        <w:rPr>
          <w:rFonts w:ascii="Times New Roman" w:hAnsi="Times New Roman" w:cs="Times New Roman"/>
          <w:b/>
        </w:rPr>
        <w:t xml:space="preserve">návrh na stiahnutie 15 návrhov v štádiu schvaľovania </w:t>
      </w:r>
      <w:r w:rsidRPr="00AF3FBA">
        <w:rPr>
          <w:rFonts w:ascii="Times New Roman" w:hAnsi="Times New Roman" w:cs="Times New Roman"/>
        </w:rPr>
        <w:t xml:space="preserve">(príloha č. 4), pri ktorých nie sú vyhliadky na dosiahnutie dohody alebo ktoré už neslúžia svojmu účelu, príp. sú technicky zastarané </w:t>
      </w:r>
    </w:p>
    <w:p w:rsidR="00573307" w:rsidRPr="00AF3FBA" w:rsidP="00573307">
      <w:pPr>
        <w:pStyle w:val="ListParagraph"/>
        <w:numPr>
          <w:numId w:val="11"/>
        </w:numPr>
        <w:bidi w:val="0"/>
        <w:contextualSpacing w:val="0"/>
        <w:jc w:val="both"/>
        <w:rPr>
          <w:rFonts w:ascii="Times New Roman" w:hAnsi="Times New Roman" w:cs="Times New Roman"/>
        </w:rPr>
      </w:pPr>
      <w:r w:rsidRPr="00AF3FBA">
        <w:rPr>
          <w:rFonts w:ascii="Times New Roman" w:hAnsi="Times New Roman" w:cs="Times New Roman"/>
          <w:b/>
        </w:rPr>
        <w:t>15 návrhov v nadväznosti na preskúmanie regulačnej vhodnosti a efektívnosti súčasných právnych predpisov (REFIT)</w:t>
      </w:r>
      <w:r w:rsidRPr="00AF3FBA">
        <w:rPr>
          <w:rFonts w:ascii="Times New Roman" w:hAnsi="Times New Roman" w:cs="Times New Roman"/>
        </w:rPr>
        <w:t xml:space="preserve"> s prihliadnutím na stanoviská platformy REFIT (príloha č. 2 + 3 návrhy z prílohy č.1)</w:t>
      </w:r>
    </w:p>
    <w:p w:rsidR="00573307" w:rsidRPr="00AF3FBA" w:rsidP="00573307">
      <w:pPr>
        <w:pStyle w:val="ListParagraph"/>
        <w:numPr>
          <w:numId w:val="11"/>
        </w:numPr>
        <w:bidi w:val="0"/>
        <w:contextualSpacing w:val="0"/>
        <w:jc w:val="both"/>
        <w:rPr>
          <w:rFonts w:ascii="Times New Roman" w:hAnsi="Times New Roman" w:cs="Times New Roman"/>
          <w:b/>
        </w:rPr>
      </w:pPr>
      <w:r w:rsidRPr="00AF3FBA">
        <w:rPr>
          <w:rFonts w:ascii="Times New Roman" w:hAnsi="Times New Roman" w:cs="Times New Roman"/>
        </w:rPr>
        <w:t>oznámenie o </w:t>
      </w:r>
      <w:r w:rsidRPr="00AF3FBA">
        <w:rPr>
          <w:rFonts w:ascii="Times New Roman" w:hAnsi="Times New Roman" w:cs="Times New Roman"/>
          <w:b/>
        </w:rPr>
        <w:t>zrušení 3 zastaraných právnych aktov</w:t>
      </w:r>
    </w:p>
    <w:p w:rsidR="00573307" w:rsidRPr="00AF3FBA" w:rsidP="00573307">
      <w:pPr>
        <w:bidi w:val="0"/>
        <w:ind w:firstLine="360"/>
        <w:jc w:val="both"/>
        <w:rPr>
          <w:rFonts w:ascii="Times New Roman" w:hAnsi="Times New Roman"/>
        </w:rPr>
      </w:pPr>
      <w:r w:rsidRPr="00AF3FBA">
        <w:rPr>
          <w:rFonts w:ascii="Times New Roman" w:hAnsi="Times New Roman"/>
        </w:rPr>
        <w:t>Paralelne s</w:t>
      </w:r>
      <w:r>
        <w:rPr>
          <w:rFonts w:ascii="Times New Roman" w:hAnsi="Times New Roman"/>
        </w:rPr>
        <w:t> predstavením CWP 2018</w:t>
      </w:r>
      <w:r w:rsidRPr="00AF3FBA">
        <w:rPr>
          <w:rFonts w:ascii="Times New Roman" w:hAnsi="Times New Roman"/>
        </w:rPr>
        <w:t xml:space="preserve"> bola spustená tzv.</w:t>
      </w:r>
      <w:r>
        <w:rPr>
          <w:rFonts w:ascii="Times New Roman" w:hAnsi="Times New Roman"/>
        </w:rPr>
        <w:t xml:space="preserve"> </w:t>
      </w:r>
      <w:r w:rsidRPr="00BE32DB">
        <w:rPr>
          <w:rFonts w:ascii="Times New Roman" w:hAnsi="Times New Roman"/>
          <w:b/>
        </w:rPr>
        <w:t>Agenda lídrov</w:t>
      </w:r>
      <w:r>
        <w:rPr>
          <w:rFonts w:ascii="Times New Roman" w:hAnsi="Times New Roman"/>
        </w:rPr>
        <w:t xml:space="preserve"> </w:t>
      </w:r>
      <w:r w:rsidRPr="00153D76">
        <w:rPr>
          <w:rFonts w:ascii="Times New Roman" w:hAnsi="Times New Roman"/>
          <w:i/>
        </w:rPr>
        <w:t>(Leaders‘ agenda)</w:t>
      </w:r>
      <w:r w:rsidRPr="00AF3FBA">
        <w:rPr>
          <w:rFonts w:ascii="Times New Roman" w:hAnsi="Times New Roman"/>
        </w:rPr>
        <w:t xml:space="preserve"> predsedu Európskej rady D. Tuska, ktorá naplánovala oblasti na diskusiu, resp. rozhodnutia, lídrov na úrovni Európskej rady na najbližších 18 mesiacov. Zatiaľ čo </w:t>
      </w:r>
      <w:r>
        <w:rPr>
          <w:rFonts w:ascii="Times New Roman" w:hAnsi="Times New Roman"/>
        </w:rPr>
        <w:t>CWP 2018</w:t>
      </w:r>
      <w:r w:rsidRPr="00AF3FBA">
        <w:rPr>
          <w:rFonts w:ascii="Times New Roman" w:hAnsi="Times New Roman"/>
        </w:rPr>
        <w:t xml:space="preserve"> sa riadi zaužívanou praxou, </w:t>
      </w:r>
      <w:r>
        <w:rPr>
          <w:rFonts w:ascii="Times New Roman" w:hAnsi="Times New Roman"/>
        </w:rPr>
        <w:t>Agenda lídrov</w:t>
      </w:r>
      <w:r w:rsidRPr="00AF3FBA">
        <w:rPr>
          <w:rFonts w:ascii="Times New Roman" w:hAnsi="Times New Roman"/>
        </w:rPr>
        <w:t xml:space="preserve"> je novým prvkom a zatiaľ nie je jasné, ako budú tieto procesy </w:t>
      </w:r>
      <w:r>
        <w:rPr>
          <w:rFonts w:ascii="Times New Roman" w:hAnsi="Times New Roman"/>
        </w:rPr>
        <w:t>spolu fungovať</w:t>
      </w:r>
      <w:r w:rsidRPr="00AF3FBA">
        <w:rPr>
          <w:rFonts w:ascii="Times New Roman" w:hAnsi="Times New Roman"/>
        </w:rPr>
        <w:t>.</w:t>
      </w:r>
      <w:r w:rsidRPr="00153D76">
        <w:rPr>
          <w:rFonts w:ascii="Times New Roman" w:hAnsi="Times New Roman"/>
        </w:rPr>
        <w:t xml:space="preserve"> </w:t>
      </w:r>
      <w:r>
        <w:rPr>
          <w:rFonts w:ascii="Times New Roman" w:hAnsi="Times New Roman"/>
        </w:rPr>
        <w:t>Je</w:t>
      </w:r>
      <w:r w:rsidRPr="00AF3FBA">
        <w:rPr>
          <w:rFonts w:ascii="Times New Roman" w:hAnsi="Times New Roman"/>
        </w:rPr>
        <w:t xml:space="preserve"> potrebné apelovať na to, aby oba procesy (</w:t>
      </w:r>
      <w:r>
        <w:rPr>
          <w:rFonts w:ascii="Times New Roman" w:hAnsi="Times New Roman"/>
        </w:rPr>
        <w:t xml:space="preserve">CWP a Agenda lídrov) </w:t>
      </w:r>
      <w:r w:rsidRPr="00AF3FBA">
        <w:rPr>
          <w:rFonts w:ascii="Times New Roman" w:hAnsi="Times New Roman"/>
        </w:rPr>
        <w:t>neprebiehali paralelne a konkurenčne ale naopak, aby sa synchronizovali a</w:t>
      </w:r>
      <w:r>
        <w:rPr>
          <w:rFonts w:ascii="Times New Roman" w:hAnsi="Times New Roman"/>
        </w:rPr>
        <w:t> </w:t>
      </w:r>
      <w:r w:rsidRPr="00AF3FBA">
        <w:rPr>
          <w:rFonts w:ascii="Times New Roman" w:hAnsi="Times New Roman"/>
        </w:rPr>
        <w:t>dopĺňali</w:t>
      </w:r>
      <w:r>
        <w:rPr>
          <w:rFonts w:ascii="Times New Roman" w:hAnsi="Times New Roman"/>
        </w:rPr>
        <w:t>.</w:t>
      </w:r>
      <w:r w:rsidRPr="00AF3FBA">
        <w:rPr>
          <w:rFonts w:ascii="Times New Roman" w:hAnsi="Times New Roman"/>
        </w:rPr>
        <w:t xml:space="preserve"> </w:t>
      </w:r>
    </w:p>
    <w:p w:rsidR="00573307" w:rsidRPr="00153D76" w:rsidP="00573307">
      <w:pPr>
        <w:bidi w:val="0"/>
        <w:jc w:val="center"/>
        <w:rPr>
          <w:rFonts w:ascii="Times New Roman" w:hAnsi="Times New Roman"/>
          <w:b/>
          <w:u w:val="single"/>
        </w:rPr>
      </w:pPr>
      <w:r w:rsidRPr="00153D76">
        <w:rPr>
          <w:rFonts w:ascii="Times New Roman" w:hAnsi="Times New Roman"/>
          <w:b/>
          <w:u w:val="single"/>
        </w:rPr>
        <w:t>Prioritné iniciatívy vyplývajúce z Pracovného programu Európskej komisie na rok 2018 z pohľadu záujmov Slovenskej republiky</w:t>
      </w:r>
    </w:p>
    <w:p w:rsidR="00573307" w:rsidP="00573307">
      <w:pPr>
        <w:bidi w:val="0"/>
        <w:jc w:val="both"/>
        <w:rPr>
          <w:rFonts w:ascii="Times New Roman" w:hAnsi="Times New Roman"/>
        </w:rPr>
      </w:pPr>
    </w:p>
    <w:p w:rsidR="00573307" w:rsidP="00573307">
      <w:pPr>
        <w:bidi w:val="0"/>
        <w:ind w:firstLine="708"/>
        <w:jc w:val="both"/>
        <w:rPr>
          <w:rFonts w:ascii="Times New Roman" w:hAnsi="Times New Roman"/>
          <w:color w:val="000000"/>
        </w:rPr>
      </w:pPr>
      <w:r>
        <w:rPr>
          <w:rFonts w:ascii="Times New Roman" w:hAnsi="Times New Roman"/>
        </w:rPr>
        <w:t xml:space="preserve">Z hľadiska záujmov SR nižšie uvádzame vybrané prioritné oblasti, ktoré sa nachádzajú v CWP 2018 so zameraním na nové iniciatívy a na návrhy predstavené v roku 2017. </w:t>
      </w:r>
      <w:r w:rsidRPr="00D17E66">
        <w:rPr>
          <w:rFonts w:ascii="Times New Roman" w:hAnsi="Times New Roman"/>
          <w:b/>
        </w:rPr>
        <w:t xml:space="preserve">Toto hodnotenie je predbežné </w:t>
      </w:r>
      <w:r w:rsidRPr="005D060A">
        <w:rPr>
          <w:rFonts w:ascii="Times New Roman" w:hAnsi="Times New Roman"/>
        </w:rPr>
        <w:t xml:space="preserve">a bolo vypracované </w:t>
      </w:r>
      <w:r>
        <w:rPr>
          <w:rFonts w:ascii="Times New Roman" w:hAnsi="Times New Roman"/>
        </w:rPr>
        <w:t xml:space="preserve">Ministerstvom zahraničných vecí a európskych </w:t>
        <w:br/>
        <w:t>záležitostí SR (vrátane vstupov</w:t>
      </w:r>
      <w:r w:rsidRPr="005D060A">
        <w:rPr>
          <w:rFonts w:ascii="Times New Roman" w:hAnsi="Times New Roman"/>
        </w:rPr>
        <w:t xml:space="preserve"> </w:t>
      </w:r>
      <w:r>
        <w:rPr>
          <w:rFonts w:ascii="Times New Roman" w:hAnsi="Times New Roman"/>
        </w:rPr>
        <w:t xml:space="preserve">dodaných </w:t>
      </w:r>
      <w:r w:rsidRPr="005D060A">
        <w:rPr>
          <w:rFonts w:ascii="Times New Roman" w:hAnsi="Times New Roman"/>
        </w:rPr>
        <w:t>Stál</w:t>
      </w:r>
      <w:r>
        <w:rPr>
          <w:rFonts w:ascii="Times New Roman" w:hAnsi="Times New Roman"/>
        </w:rPr>
        <w:t>ym</w:t>
      </w:r>
      <w:r w:rsidRPr="005D060A">
        <w:rPr>
          <w:rFonts w:ascii="Times New Roman" w:hAnsi="Times New Roman"/>
        </w:rPr>
        <w:t xml:space="preserve"> zastúpen</w:t>
      </w:r>
      <w:r>
        <w:rPr>
          <w:rFonts w:ascii="Times New Roman" w:hAnsi="Times New Roman"/>
        </w:rPr>
        <w:t>ím</w:t>
      </w:r>
      <w:r w:rsidRPr="005D060A">
        <w:rPr>
          <w:rFonts w:ascii="Times New Roman" w:hAnsi="Times New Roman"/>
        </w:rPr>
        <w:t xml:space="preserve"> SR pri EÚ v</w:t>
      </w:r>
      <w:r>
        <w:rPr>
          <w:rFonts w:ascii="Times New Roman" w:hAnsi="Times New Roman"/>
        </w:rPr>
        <w:t> </w:t>
      </w:r>
      <w:r w:rsidRPr="005D060A">
        <w:rPr>
          <w:rFonts w:ascii="Times New Roman" w:hAnsi="Times New Roman"/>
        </w:rPr>
        <w:t>Bruseli</w:t>
      </w:r>
      <w:r>
        <w:rPr>
          <w:rFonts w:ascii="Times New Roman" w:hAnsi="Times New Roman"/>
        </w:rPr>
        <w:t>).</w:t>
      </w:r>
      <w:r>
        <w:rPr>
          <w:rFonts w:ascii="Times New Roman" w:hAnsi="Times New Roman"/>
          <w:b/>
        </w:rPr>
        <w:t xml:space="preserve"> F</w:t>
      </w:r>
      <w:r w:rsidRPr="00D17E66">
        <w:rPr>
          <w:rFonts w:ascii="Times New Roman" w:hAnsi="Times New Roman"/>
          <w:b/>
        </w:rPr>
        <w:t>inál</w:t>
      </w:r>
      <w:r>
        <w:rPr>
          <w:rFonts w:ascii="Times New Roman" w:hAnsi="Times New Roman"/>
          <w:b/>
        </w:rPr>
        <w:t>ne</w:t>
      </w:r>
      <w:r w:rsidRPr="00D17E66">
        <w:rPr>
          <w:rFonts w:ascii="Times New Roman" w:hAnsi="Times New Roman"/>
          <w:b/>
        </w:rPr>
        <w:t xml:space="preserve"> </w:t>
      </w:r>
      <w:r>
        <w:rPr>
          <w:rFonts w:ascii="Times New Roman" w:hAnsi="Times New Roman"/>
          <w:b/>
        </w:rPr>
        <w:t>zadefinovanie prioritných iniciatív a oblastí</w:t>
      </w:r>
      <w:r w:rsidRPr="00D17E66">
        <w:rPr>
          <w:rFonts w:ascii="Times New Roman" w:hAnsi="Times New Roman"/>
          <w:b/>
        </w:rPr>
        <w:t xml:space="preserve"> bude súčasťou </w:t>
      </w:r>
      <w:r w:rsidRPr="00937995">
        <w:rPr>
          <w:rFonts w:ascii="Times New Roman" w:hAnsi="Times New Roman"/>
          <w:b/>
          <w:i/>
        </w:rPr>
        <w:t>Výročnej správy o členstve Slovenskej republiky v Európskej únii – hodnotenie a aktuálne priority vyplývajúce z Pracovného programu Európskej komisie</w:t>
      </w:r>
      <w:r>
        <w:rPr>
          <w:rFonts w:ascii="Times New Roman" w:hAnsi="Times New Roman"/>
        </w:rPr>
        <w:t xml:space="preserve"> (Výročná správa). </w:t>
      </w:r>
      <w:r w:rsidRPr="00D17E66">
        <w:rPr>
          <w:rFonts w:ascii="Times New Roman" w:hAnsi="Times New Roman"/>
        </w:rPr>
        <w:t xml:space="preserve">Na základe uznesenia vlády SR č. 118 zo 7. marca 2013 </w:t>
      </w:r>
      <w:r>
        <w:rPr>
          <w:rFonts w:ascii="Times New Roman" w:hAnsi="Times New Roman"/>
        </w:rPr>
        <w:t xml:space="preserve">je tento materiál ministrom zahraničných vecí </w:t>
        <w:br/>
      </w:r>
      <w:r w:rsidRPr="00D17E66">
        <w:rPr>
          <w:rFonts w:ascii="Times New Roman" w:hAnsi="Times New Roman"/>
        </w:rPr>
        <w:t xml:space="preserve">a európskych záležitostí </w:t>
      </w:r>
      <w:r>
        <w:rPr>
          <w:rFonts w:ascii="Times New Roman" w:hAnsi="Times New Roman"/>
        </w:rPr>
        <w:t xml:space="preserve">predkladaný </w:t>
      </w:r>
      <w:r w:rsidRPr="00D17E66">
        <w:rPr>
          <w:rFonts w:ascii="Times New Roman" w:hAnsi="Times New Roman"/>
        </w:rPr>
        <w:t>na rokovanie vlády SR</w:t>
      </w:r>
      <w:r>
        <w:rPr>
          <w:rFonts w:ascii="Times New Roman" w:hAnsi="Times New Roman"/>
        </w:rPr>
        <w:t xml:space="preserve"> každoročne do 28. februára. Po jeho schválení vládou SR ho predseda vlády predkladá na </w:t>
      </w:r>
      <w:r w:rsidRPr="00D17E66">
        <w:rPr>
          <w:rFonts w:ascii="Times New Roman" w:hAnsi="Times New Roman"/>
          <w:color w:val="000000"/>
        </w:rPr>
        <w:t>rokovanie Národnej rady </w:t>
      </w:r>
      <w:r>
        <w:rPr>
          <w:rFonts w:ascii="Times New Roman" w:hAnsi="Times New Roman"/>
          <w:color w:val="000000"/>
        </w:rPr>
        <w:t xml:space="preserve">SR. </w:t>
      </w:r>
      <w:r w:rsidRPr="005D060A">
        <w:rPr>
          <w:rFonts w:ascii="Times New Roman" w:hAnsi="Times New Roman"/>
          <w:b/>
          <w:color w:val="000000"/>
        </w:rPr>
        <w:t xml:space="preserve">Výročná správa je spracovávaná na základe podkladov dodaných rezortami a ostatnými ústrednými orgánmi štátnej správy, ktoré v časti venujúcej sa CWP zadefinujú gestora </w:t>
      </w:r>
      <w:r>
        <w:rPr>
          <w:rFonts w:ascii="Times New Roman" w:hAnsi="Times New Roman"/>
          <w:b/>
          <w:color w:val="000000"/>
        </w:rPr>
        <w:br/>
      </w:r>
      <w:r w:rsidRPr="005D060A">
        <w:rPr>
          <w:rFonts w:ascii="Times New Roman" w:hAnsi="Times New Roman"/>
          <w:b/>
          <w:color w:val="000000"/>
        </w:rPr>
        <w:t>a stupeň priority iniciatívy/návrhu pre SR aj s odôvodnením.</w:t>
      </w:r>
      <w:r>
        <w:rPr>
          <w:rFonts w:ascii="Times New Roman" w:hAnsi="Times New Roman"/>
          <w:color w:val="000000"/>
        </w:rPr>
        <w:t xml:space="preserve"> </w:t>
      </w:r>
    </w:p>
    <w:p w:rsidR="00573307" w:rsidP="00573307">
      <w:pPr>
        <w:bidi w:val="0"/>
        <w:jc w:val="both"/>
        <w:rPr>
          <w:rFonts w:ascii="Times New Roman" w:hAnsi="Times New Roman"/>
        </w:rPr>
      </w:pPr>
    </w:p>
    <w:p w:rsidR="00573307" w:rsidRPr="0022749B" w:rsidP="00573307">
      <w:pPr>
        <w:bidi w:val="0"/>
        <w:ind w:firstLine="360"/>
        <w:jc w:val="both"/>
        <w:rPr>
          <w:rFonts w:ascii="Times New Roman" w:hAnsi="Times New Roman"/>
        </w:rPr>
      </w:pPr>
      <w:r w:rsidRPr="0022749B">
        <w:rPr>
          <w:rFonts w:ascii="Times New Roman" w:hAnsi="Times New Roman"/>
        </w:rPr>
        <w:t>Vybrané prioritné iniciatívy</w:t>
      </w:r>
      <w:r>
        <w:rPr>
          <w:rFonts w:ascii="Times New Roman" w:hAnsi="Times New Roman"/>
        </w:rPr>
        <w:t xml:space="preserve"> a návrhy</w:t>
      </w:r>
      <w:r w:rsidRPr="0022749B">
        <w:rPr>
          <w:rFonts w:ascii="Times New Roman" w:hAnsi="Times New Roman"/>
        </w:rPr>
        <w:t>:</w:t>
      </w:r>
    </w:p>
    <w:p w:rsidR="00573307" w:rsidRPr="0022749B" w:rsidP="00573307">
      <w:pPr>
        <w:pStyle w:val="ListParagraph"/>
        <w:numPr>
          <w:numId w:val="12"/>
        </w:numPr>
        <w:bidi w:val="0"/>
        <w:contextualSpacing w:val="0"/>
        <w:jc w:val="both"/>
        <w:rPr>
          <w:rFonts w:ascii="Times New Roman" w:hAnsi="Times New Roman"/>
        </w:rPr>
      </w:pPr>
      <w:r w:rsidRPr="0022749B">
        <w:rPr>
          <w:rFonts w:ascii="Times New Roman" w:hAnsi="Times New Roman" w:cs="Times New Roman"/>
          <w:b/>
        </w:rPr>
        <w:t xml:space="preserve">Plnenie cieľov akčného plánu pre obehové hospodárstvo: </w:t>
      </w:r>
      <w:r w:rsidRPr="0022749B">
        <w:rPr>
          <w:rFonts w:ascii="Times New Roman" w:hAnsi="Times New Roman"/>
        </w:rPr>
        <w:t xml:space="preserve">Podpora udržateľného rastu na jednotnom trhu si vyžaduje aj výrazné zlepšenie riadenia prírodných zdrojov. SR podporuje ciele akčného plánu a opatrenia smerujúce k obehovému hospodárstvu, ktorého podstatou je znižovanie množstva odpadu a ochrana životného prostredia, ale aj transformácia fungovania ekonomiky od výroby a spotreby až po nakladanie s odpadom </w:t>
      </w:r>
      <w:r>
        <w:rPr>
          <w:rFonts w:ascii="Times New Roman" w:hAnsi="Times New Roman"/>
        </w:rPr>
        <w:br/>
      </w:r>
      <w:r w:rsidRPr="0022749B">
        <w:rPr>
          <w:rFonts w:ascii="Times New Roman" w:hAnsi="Times New Roman"/>
        </w:rPr>
        <w:t>a trh s druhotnými surovinami. Podpora obehového hospodárstva bola jednou z priorít SK PRES 2016.</w:t>
      </w:r>
    </w:p>
    <w:p w:rsidR="00573307" w:rsidRPr="0022749B" w:rsidP="00573307">
      <w:pPr>
        <w:pStyle w:val="ListParagraph"/>
        <w:numPr>
          <w:numId w:val="12"/>
        </w:numPr>
        <w:bidi w:val="0"/>
        <w:contextualSpacing w:val="0"/>
        <w:jc w:val="both"/>
        <w:rPr>
          <w:rFonts w:ascii="Times New Roman" w:hAnsi="Times New Roman" w:cs="Times New Roman"/>
          <w:b/>
        </w:rPr>
      </w:pPr>
      <w:r w:rsidRPr="0022749B">
        <w:rPr>
          <w:rFonts w:ascii="Times New Roman" w:hAnsi="Times New Roman" w:cs="Times New Roman"/>
          <w:b/>
        </w:rPr>
        <w:t xml:space="preserve">Viacročný finančný rámec: </w:t>
      </w:r>
      <w:r w:rsidRPr="0022749B">
        <w:rPr>
          <w:rFonts w:ascii="Times New Roman" w:hAnsi="Times New Roman" w:cs="Times New Roman"/>
        </w:rPr>
        <w:t>Cieľom</w:t>
      </w:r>
      <w:r w:rsidRPr="0022749B">
        <w:rPr>
          <w:rFonts w:ascii="Times New Roman" w:hAnsi="Times New Roman" w:cs="Times New Roman"/>
          <w:b/>
        </w:rPr>
        <w:t xml:space="preserve"> </w:t>
      </w:r>
      <w:r w:rsidRPr="0022749B">
        <w:rPr>
          <w:rFonts w:ascii="Times New Roman" w:hAnsi="Times New Roman"/>
        </w:rPr>
        <w:t xml:space="preserve">bude dosiahnuť vyváženú dohodu o Viacročnom finančnom rámci po roku 2020, ktorá zabezpečí ďalší rozvoj EÚ, jej regiónov </w:t>
        <w:br/>
        <w:t>a bude mať adekvátnu schopnosť reagovať na nepredvídateľné udalosti. Pre SR je dôležité pokračovanie v dokončovaní hlavných projektov EÚ. Nové výzvy EÚ by nemali byť financované na úkor konvergencie jednotlivých krajín a regiónov EÚ, ktorá je predpokladom úspešného prehlbovania ekonomickej integrácie. SR podporuje jednoduchý, transparentný a spravodlivý systém vlastných zdrojov EÚ.</w:t>
      </w:r>
      <w:r w:rsidRPr="0022749B">
        <w:rPr>
          <w:rFonts w:ascii="Times New Roman" w:hAnsi="Times New Roman" w:cs="Times New Roman"/>
          <w:b/>
        </w:rPr>
        <w:t xml:space="preserve"> </w:t>
      </w:r>
    </w:p>
    <w:p w:rsidR="00573307" w:rsidRPr="0022749B" w:rsidP="00573307">
      <w:pPr>
        <w:pStyle w:val="ListParagraph"/>
        <w:numPr>
          <w:numId w:val="12"/>
        </w:numPr>
        <w:bidi w:val="0"/>
        <w:contextualSpacing w:val="0"/>
        <w:jc w:val="both"/>
        <w:rPr>
          <w:rFonts w:ascii="Times New Roman" w:hAnsi="Times New Roman"/>
        </w:rPr>
      </w:pPr>
      <w:r w:rsidRPr="0022749B">
        <w:rPr>
          <w:rFonts w:ascii="Times New Roman" w:hAnsi="Times New Roman" w:cs="Times New Roman"/>
          <w:b/>
        </w:rPr>
        <w:t>Dobudovanie digitálneho jednotného trhu</w:t>
      </w:r>
      <w:r w:rsidRPr="0022749B">
        <w:rPr>
          <w:rFonts w:ascii="Times New Roman" w:hAnsi="Times New Roman" w:cs="Times New Roman"/>
        </w:rPr>
        <w:t xml:space="preserve">: </w:t>
      </w:r>
      <w:r w:rsidRPr="0022749B">
        <w:rPr>
          <w:rFonts w:ascii="Times New Roman" w:hAnsi="Times New Roman"/>
        </w:rPr>
        <w:t xml:space="preserve">Jednotný digitálny trh umožní jednotlivcom a podnikom bezproblémovo využívať elektronické služby a vykonávať činnosti on-line cezhranične podľa pravidiel spravodlivej hospodárskej súťaže a s vysokou úrovňou ochrany spotrebiteľov bez ohľadu na ich štátnu príslušnosť alebo miesto pobytu. Jedným z jeho kľúčových cieľov je dať občanom a podnikateľom možnosť slobodného pohybu </w:t>
      </w:r>
      <w:r>
        <w:rPr>
          <w:rFonts w:ascii="Times New Roman" w:hAnsi="Times New Roman"/>
        </w:rPr>
        <w:br/>
      </w:r>
      <w:r w:rsidRPr="0022749B">
        <w:rPr>
          <w:rFonts w:ascii="Times New Roman" w:hAnsi="Times New Roman"/>
        </w:rPr>
        <w:t>v digitálnom priestore a zároveň umožniť dátam voľný pohyb ako piatu slobodu v rámci celého vnútorného trhu EÚ. Dobudovanie digitálneho jednotného trhu bolo jednou z priorít SK PRES 2016.</w:t>
      </w:r>
    </w:p>
    <w:p w:rsidR="00573307" w:rsidRPr="0022749B" w:rsidP="00573307">
      <w:pPr>
        <w:pStyle w:val="ListParagraph"/>
        <w:numPr>
          <w:numId w:val="12"/>
        </w:numPr>
        <w:bidi w:val="0"/>
        <w:contextualSpacing w:val="0"/>
        <w:jc w:val="both"/>
        <w:rPr>
          <w:rFonts w:ascii="Times New Roman" w:hAnsi="Times New Roman" w:cs="Times New Roman"/>
        </w:rPr>
      </w:pPr>
      <w:r w:rsidRPr="0022749B">
        <w:rPr>
          <w:rFonts w:ascii="Times New Roman" w:hAnsi="Times New Roman" w:cs="Times New Roman"/>
          <w:b/>
        </w:rPr>
        <w:t xml:space="preserve">Dobudovanie energetickej únie: </w:t>
      </w:r>
      <w:r w:rsidRPr="0022749B">
        <w:rPr>
          <w:rFonts w:ascii="Times New Roman" w:hAnsi="Times New Roman" w:cs="Times New Roman"/>
        </w:rPr>
        <w:t xml:space="preserve">Energetická bezpečnosť a udržiavanie konkurencieschopnosti v oblasti priemyslu sú dlhodobé priority SR. Kľúčovým cieľom Energetickej únie je bezpečná a čistá energia za dostupné ceny pre spotrebiteľov. Naplnenie tejto ambície si vyžaduje integrovaný energetický trh otvorený väčšej hospodárskej súťaži, preto SR považuje návrhy na revíziu legislatívy upravujúcej fungovanie vnútorného trhu za mimoriadne dôležité. SR podporuje ciele Energetickej únie a vyvážený a holistický prístup k bezpečnosti dodávok zdrojov, konkurencieschopnosti a udržateľnosti. Dobudovanie Energetickej únie bolo jednou priorít SK PRES 2016. </w:t>
      </w:r>
    </w:p>
    <w:p w:rsidR="00573307" w:rsidRPr="0022749B" w:rsidP="00573307">
      <w:pPr>
        <w:pStyle w:val="ListParagraph"/>
        <w:numPr>
          <w:numId w:val="12"/>
        </w:numPr>
        <w:bidi w:val="0"/>
        <w:contextualSpacing w:val="0"/>
        <w:jc w:val="both"/>
        <w:rPr>
          <w:rFonts w:ascii="Times New Roman" w:hAnsi="Times New Roman" w:cs="Times New Roman"/>
        </w:rPr>
      </w:pPr>
      <w:r w:rsidRPr="0022749B">
        <w:rPr>
          <w:rFonts w:ascii="Times New Roman" w:hAnsi="Times New Roman" w:cs="Times New Roman"/>
          <w:b/>
        </w:rPr>
        <w:t>Spravodlivé zdaňovanie v digitálnom hospodárstve</w:t>
      </w:r>
      <w:r w:rsidRPr="0022749B">
        <w:rPr>
          <w:rFonts w:ascii="Times New Roman" w:hAnsi="Times New Roman" w:cs="Times New Roman"/>
        </w:rPr>
        <w:t xml:space="preserve">: Cieľom novej iniciatívy je zabezpečiť koherentný prístup EÚ k zdaňovaniu digitálnej ekonomiky a zabezpečiť spravodlivé a efektívne zdaňovanie všetkých spoločností. Legislatívny návrh pravidiel EÚ pre zdaňovanie ziskov v digitálnej ekonomike by mal byť predložený na jar 2018. </w:t>
      </w:r>
      <w:r>
        <w:rPr>
          <w:rFonts w:ascii="Times New Roman" w:hAnsi="Times New Roman" w:cs="Times New Roman"/>
        </w:rPr>
        <w:t>SR</w:t>
      </w:r>
      <w:r w:rsidRPr="0022749B">
        <w:rPr>
          <w:rFonts w:ascii="Times New Roman" w:hAnsi="Times New Roman" w:cs="Times New Roman"/>
        </w:rPr>
        <w:t xml:space="preserve"> podporuje koncept zdaňovania vytvorenej hodnoty tam, kde sa vytvára, aby prerozdeľovanie daní bolo proporcionálne a spravodlivé. Na slovenskom trhu pôsobí rad spoločností, najmä digitálnych platforiem, ktoré využívajú súčasný nedokonalý systém a zdaňujú len čas svojich ziskov. Z pohľadu politiky informatizácie spoločnosti SR podporuje, aby distribúcia ziskov cez výber daní bola prerozdeľovaná spravodlivo. </w:t>
      </w:r>
    </w:p>
    <w:p w:rsidR="00573307" w:rsidRPr="0022749B" w:rsidP="00573307">
      <w:pPr>
        <w:pStyle w:val="ListParagraph"/>
        <w:numPr>
          <w:numId w:val="12"/>
        </w:numPr>
        <w:bidi w:val="0"/>
        <w:contextualSpacing w:val="0"/>
        <w:jc w:val="both"/>
        <w:rPr>
          <w:rFonts w:ascii="Times New Roman" w:hAnsi="Times New Roman" w:cs="Times New Roman"/>
        </w:rPr>
      </w:pPr>
      <w:r w:rsidRPr="0022749B">
        <w:rPr>
          <w:rFonts w:ascii="Times New Roman" w:hAnsi="Times New Roman" w:cs="Times New Roman"/>
          <w:b/>
        </w:rPr>
        <w:t>Balík opatrení v oblasti sociálnej spravodlivosti:</w:t>
      </w:r>
      <w:r w:rsidRPr="0022749B">
        <w:rPr>
          <w:rFonts w:ascii="Times New Roman" w:hAnsi="Times New Roman" w:cs="Times New Roman"/>
        </w:rPr>
        <w:t xml:space="preserve"> </w:t>
      </w:r>
      <w:r>
        <w:rPr>
          <w:rFonts w:ascii="Times New Roman" w:hAnsi="Times New Roman" w:cs="Times New Roman"/>
        </w:rPr>
        <w:t>V</w:t>
      </w:r>
      <w:r w:rsidRPr="0022749B">
        <w:rPr>
          <w:rFonts w:ascii="Times New Roman" w:hAnsi="Times New Roman" w:cs="Times New Roman"/>
        </w:rPr>
        <w:t>ysoko prioritný</w:t>
      </w:r>
      <w:r w:rsidRPr="0022749B">
        <w:rPr>
          <w:rFonts w:ascii="Times New Roman" w:hAnsi="Times New Roman" w:cs="Times New Roman"/>
          <w:b/>
          <w:bCs/>
        </w:rPr>
        <w:t xml:space="preserve"> </w:t>
      </w:r>
      <w:r w:rsidRPr="0022749B">
        <w:rPr>
          <w:rFonts w:ascii="Times New Roman" w:hAnsi="Times New Roman" w:cs="Times New Roman"/>
        </w:rPr>
        <w:t>balík legislatívnych  a nelegislatívnych opatrení, ktorý bude mať dopad na</w:t>
      </w:r>
      <w:r w:rsidRPr="0022749B">
        <w:rPr>
          <w:rFonts w:ascii="Times New Roman" w:hAnsi="Times New Roman" w:cs="Times New Roman"/>
          <w:b/>
          <w:bCs/>
        </w:rPr>
        <w:t xml:space="preserve"> </w:t>
      </w:r>
      <w:r>
        <w:rPr>
          <w:rFonts w:ascii="Times New Roman" w:hAnsi="Times New Roman" w:cs="Times New Roman"/>
        </w:rPr>
        <w:t xml:space="preserve">oblasť cezhraničnej mobility </w:t>
      </w:r>
      <w:r w:rsidRPr="0022749B">
        <w:rPr>
          <w:rFonts w:ascii="Times New Roman" w:hAnsi="Times New Roman" w:cs="Times New Roman"/>
        </w:rPr>
        <w:t xml:space="preserve">aj v oblasti vnútroštátnych sociálnych systémov </w:t>
      </w:r>
      <w:r>
        <w:rPr>
          <w:rFonts w:ascii="Times New Roman" w:hAnsi="Times New Roman" w:cs="Times New Roman"/>
        </w:rPr>
        <w:t>členských štátov</w:t>
      </w:r>
      <w:r w:rsidRPr="0022749B">
        <w:rPr>
          <w:rFonts w:ascii="Times New Roman" w:hAnsi="Times New Roman" w:cs="Times New Roman"/>
        </w:rPr>
        <w:t>.</w:t>
      </w:r>
      <w:r w:rsidRPr="0022749B">
        <w:rPr>
          <w:rFonts w:ascii="Times New Roman" w:hAnsi="Times New Roman" w:cs="Times New Roman"/>
          <w:b/>
          <w:bCs/>
        </w:rPr>
        <w:t xml:space="preserve"> </w:t>
      </w:r>
      <w:r w:rsidRPr="0022749B">
        <w:rPr>
          <w:rFonts w:ascii="Times New Roman" w:hAnsi="Times New Roman" w:cs="Times New Roman"/>
        </w:rPr>
        <w:t>Európsky orgán dozoru nad zamestnanosťou (</w:t>
      </w:r>
      <w:r w:rsidRPr="0022749B">
        <w:rPr>
          <w:rFonts w:ascii="Times New Roman" w:hAnsi="Times New Roman" w:cs="Times New Roman"/>
          <w:i/>
          <w:iCs/>
        </w:rPr>
        <w:t>European Labour Authority</w:t>
      </w:r>
      <w:r w:rsidRPr="0022749B">
        <w:rPr>
          <w:rFonts w:ascii="Times New Roman" w:hAnsi="Times New Roman" w:cs="Times New Roman"/>
        </w:rPr>
        <w:t xml:space="preserve">) a Európske číslo sociálneho zabezpečenia majú cezhraničný kontext a mali by umožniť lepší boj proti podvodom v cezhraničných situáciách a zlepšenie administratívneho styku občanov s úradmi v jednotlivých </w:t>
      </w:r>
      <w:r>
        <w:rPr>
          <w:rFonts w:ascii="Times New Roman" w:hAnsi="Times New Roman" w:cs="Times New Roman"/>
        </w:rPr>
        <w:t>členských štátoch</w:t>
      </w:r>
      <w:r w:rsidRPr="0022749B">
        <w:rPr>
          <w:rFonts w:ascii="Times New Roman" w:hAnsi="Times New Roman" w:cs="Times New Roman"/>
        </w:rPr>
        <w:t>. Súčasťou balíka sociálnej spravodlivosti budú aj návrhy na revíziu smernice o informačnej povinnosti zamestnávateľa a odporúčanie (alebo iný legislatívny nástroj</w:t>
      </w:r>
      <w:r>
        <w:rPr>
          <w:rFonts w:ascii="Times New Roman" w:hAnsi="Times New Roman" w:cs="Times New Roman"/>
        </w:rPr>
        <w:t>) o prístupe k sociálnej ochrane pre samostatne zárobkovo činné osoby</w:t>
      </w:r>
      <w:r w:rsidRPr="0022749B">
        <w:rPr>
          <w:rFonts w:ascii="Times New Roman" w:hAnsi="Times New Roman" w:cs="Times New Roman"/>
        </w:rPr>
        <w:t xml:space="preserve">. Návrhy majú reagovať na zmenené spoločenské podmienky a najmä nové (atypické) formy práce, ktoré často ponechávajú pracovníkov mimo pracovného pomeru a samostatne zárobkové činné osoby mimo systémov sociálneho zabezpečenia. </w:t>
      </w:r>
    </w:p>
    <w:p w:rsidR="00573307" w:rsidRPr="0022749B" w:rsidP="00573307">
      <w:pPr>
        <w:pStyle w:val="ListParagraph"/>
        <w:numPr>
          <w:numId w:val="12"/>
        </w:numPr>
        <w:bidi w:val="0"/>
        <w:contextualSpacing w:val="0"/>
        <w:jc w:val="both"/>
        <w:rPr>
          <w:rFonts w:ascii="Times New Roman" w:hAnsi="Times New Roman" w:cs="Times New Roman"/>
        </w:rPr>
      </w:pPr>
      <w:r w:rsidRPr="0022749B">
        <w:rPr>
          <w:rFonts w:ascii="Times New Roman" w:hAnsi="Times New Roman" w:cs="Times New Roman"/>
          <w:b/>
        </w:rPr>
        <w:t>Potravinový dodávateľský reťazec v EÚ</w:t>
      </w:r>
      <w:r w:rsidRPr="0022749B">
        <w:rPr>
          <w:rFonts w:ascii="Times New Roman" w:hAnsi="Times New Roman" w:cs="Times New Roman"/>
        </w:rPr>
        <w:t>: Zaradenie tejto iniciatívy do pracovného programu EK je jedným z dôležitých úspechov SK PRES 2016, ktoré iniciovalo prijatie záverov Rady o posilnení postavenia poľnohospodárov v potravinovom dodávateľskom reťazci a boji proti nekalým obchodným praktikám. Členské štáty sa počas SK PRES po prvýkrát jednohlasne prihlásili k potrebe riešiť nekalé obchodné praktiky prostredníctvom legislatívnych a nelegislatívnych opatrení na európskej úrovni.</w:t>
      </w:r>
    </w:p>
    <w:p w:rsidR="00573307" w:rsidRPr="0022749B" w:rsidP="00573307">
      <w:pPr>
        <w:pStyle w:val="ListParagraph"/>
        <w:numPr>
          <w:numId w:val="12"/>
        </w:numPr>
        <w:bidi w:val="0"/>
        <w:contextualSpacing w:val="0"/>
        <w:jc w:val="both"/>
        <w:rPr>
          <w:rFonts w:ascii="Times New Roman" w:hAnsi="Times New Roman" w:cs="Times New Roman"/>
        </w:rPr>
      </w:pPr>
      <w:r w:rsidRPr="0022749B">
        <w:rPr>
          <w:rFonts w:ascii="Times New Roman" w:hAnsi="Times New Roman" w:cs="Times New Roman"/>
          <w:b/>
        </w:rPr>
        <w:t>Dobudovanie únie kapitálových trhov</w:t>
      </w:r>
      <w:r w:rsidRPr="0022749B">
        <w:rPr>
          <w:rFonts w:ascii="Times New Roman" w:hAnsi="Times New Roman" w:cs="Times New Roman"/>
        </w:rPr>
        <w:t xml:space="preserve">: Európska komisia v júni predstavila ďalšie kroky smerujúce k pokroku pri budovaní únie kapitálových trhov – projektu </w:t>
      </w:r>
      <w:r>
        <w:rPr>
          <w:rFonts w:ascii="Times New Roman" w:hAnsi="Times New Roman" w:cs="Times New Roman"/>
        </w:rPr>
        <w:t>Európskej k</w:t>
      </w:r>
      <w:r w:rsidRPr="0022749B">
        <w:rPr>
          <w:rFonts w:ascii="Times New Roman" w:hAnsi="Times New Roman" w:cs="Times New Roman"/>
        </w:rPr>
        <w:t>omisie na podporu rastu a zamestnanosti v Európe. Ústrednými témami revidovanej koncepcie únie kapitálových trhov sú: (i) Posilňovanie rámca dohľadu nad integrovanými kapitálovými trhmi, (ii) Zvyšovanie proporcionality pre malé a stredné podniky, (iii) Finančné technológie a (iv)  Udržateľné a ekologické investície. Medzi najdôležitejšie iniciatívy do najbližšieho obdobia patrí: (i) Legislatívny návrh celoeur</w:t>
      </w:r>
      <w:r>
        <w:rPr>
          <w:rFonts w:ascii="Times New Roman" w:hAnsi="Times New Roman" w:cs="Times New Roman"/>
        </w:rPr>
        <w:t>ópskeho dôchodkového produktu (Európska k</w:t>
      </w:r>
      <w:r w:rsidRPr="0022749B">
        <w:rPr>
          <w:rFonts w:ascii="Times New Roman" w:hAnsi="Times New Roman" w:cs="Times New Roman"/>
        </w:rPr>
        <w:t xml:space="preserve">omisia návrh predložila v júni 2017, bližšie informácie k návrhu sú uvedené nižšie) a ii) Legislatívny návrh pre kryté dlhopisy (predloženie sa očakáva v 1. štvrťroku 2018). Uvedené, ako aj ďalšie opatrenia by mali byť prerokované a implementované najneskôr do konca roku 2019. SR víta a plne podporuje návrhy opatrení vyplývajúce zo strednodobého preskúmania Akčného plánu únie kapitálových trhov ako aj závery Rady EÚ k tomuto strednodobému preskúmaniu. Súčasné iniciatívy v oblasti odstraňovania bariér na kapitálovom trhu považujeme za jedny z najdôležitejších aj pre menej rozvinuté trhy, keďže môžu výraznou mierou pozitívne ovplyvniť budúci rozvoj kapitálového trhu na Slovensku ako aj v celom regióne strednej a východnej Európy. V tejto súvislosti zdôrazňujeme najmä potrebu zabezpečiť prístup malých a stredných podnikov ku kapitálu, transparentné </w:t>
      </w:r>
      <w:r>
        <w:rPr>
          <w:rFonts w:ascii="Times New Roman" w:hAnsi="Times New Roman" w:cs="Times New Roman"/>
        </w:rPr>
        <w:br/>
      </w:r>
      <w:r w:rsidRPr="0022749B">
        <w:rPr>
          <w:rFonts w:ascii="Times New Roman" w:hAnsi="Times New Roman" w:cs="Times New Roman"/>
        </w:rPr>
        <w:t>a proporčné pravidlá, ktoré sú zrozumiteľné pre finančných spotrebiteľov, ďalšiu konvergenciu dohľadu a v neposlednom rade opatrenia na celkové aktívnejšie zapojenie súkromného sektora do financovania európskeho hospodárstva.</w:t>
      </w:r>
    </w:p>
    <w:p w:rsidR="00573307" w:rsidRPr="0022749B" w:rsidP="00573307">
      <w:pPr>
        <w:pStyle w:val="ListParagraph"/>
        <w:numPr>
          <w:numId w:val="12"/>
        </w:numPr>
        <w:bidi w:val="0"/>
        <w:contextualSpacing w:val="0"/>
        <w:jc w:val="both"/>
        <w:rPr>
          <w:rFonts w:ascii="Times New Roman" w:hAnsi="Times New Roman" w:cs="Times New Roman"/>
          <w:b/>
        </w:rPr>
      </w:pPr>
      <w:r w:rsidRPr="0022749B">
        <w:rPr>
          <w:rFonts w:ascii="Times New Roman" w:hAnsi="Times New Roman" w:cs="Times New Roman"/>
          <w:b/>
        </w:rPr>
        <w:t xml:space="preserve">Efektívnejšia tvorba právnych predpisov v oblasti jednotného trhu a Efektívnejšie a konzistentnejšie vykonávanie spoločnej zahraničnej a bezpečnostnej politiky: </w:t>
      </w:r>
      <w:r w:rsidRPr="0022749B">
        <w:rPr>
          <w:rFonts w:ascii="Times New Roman" w:hAnsi="Times New Roman" w:cs="Times New Roman"/>
        </w:rPr>
        <w:t xml:space="preserve">Návrhy na rozšírenie hlasovania kvalifikovanou väčšinou o oblasť jednotného trhu a spoločnej zahraničnej a bezpečnostnej politiky boli predstavené za účelom zefektívnenia rozhodovacieho procesu v rámci EÚ. Tento cieľ by však nemal byť dosahovaný na úkor záujmov </w:t>
      </w:r>
      <w:r>
        <w:rPr>
          <w:rFonts w:ascii="Times New Roman" w:hAnsi="Times New Roman" w:cs="Times New Roman"/>
        </w:rPr>
        <w:t>členských štátov</w:t>
      </w:r>
      <w:r w:rsidRPr="0022749B">
        <w:rPr>
          <w:rFonts w:ascii="Times New Roman" w:hAnsi="Times New Roman" w:cs="Times New Roman"/>
        </w:rPr>
        <w:t xml:space="preserve"> v týchto citlivých oblastiach.   </w:t>
      </w:r>
    </w:p>
    <w:p w:rsidR="00573307" w:rsidRPr="0022749B" w:rsidP="00573307">
      <w:pPr>
        <w:pStyle w:val="Pa6"/>
        <w:numPr>
          <w:numId w:val="12"/>
        </w:numPr>
        <w:autoSpaceDE/>
        <w:autoSpaceDN/>
        <w:bidi w:val="0"/>
        <w:adjustRightInd/>
        <w:spacing w:line="240" w:lineRule="auto"/>
        <w:jc w:val="both"/>
        <w:rPr>
          <w:rFonts w:ascii="Times New Roman" w:hAnsi="Times New Roman"/>
        </w:rPr>
      </w:pPr>
      <w:r w:rsidRPr="0022749B">
        <w:rPr>
          <w:rFonts w:ascii="Times New Roman" w:hAnsi="Times New Roman"/>
          <w:b/>
          <w:lang w:eastAsia="sk-SK"/>
        </w:rPr>
        <w:t>Dobudovanie hospodárskej a menovej únie a Dobudovanie bankovej únie</w:t>
      </w:r>
      <w:r w:rsidRPr="0022749B">
        <w:rPr>
          <w:rFonts w:ascii="Times New Roman" w:hAnsi="Times New Roman"/>
          <w:lang w:eastAsia="sk-SK"/>
        </w:rPr>
        <w:t xml:space="preserve">: </w:t>
      </w:r>
      <w:r w:rsidRPr="0022749B">
        <w:rPr>
          <w:rFonts w:ascii="Times New Roman" w:hAnsi="Times New Roman"/>
        </w:rPr>
        <w:t xml:space="preserve">Európska komisia prijme balík návrhov na dokončenie hospodárskej a menovej únie (transformácia ESM - Európskeho stabilizačného mechanizmu na EMF - Európsky menový fond; vytvorenie rozpočtovej linky pre Eurozónu v rámci rozpočtu EÚ vrátane úlohy nástroja predvstupovej pomoci pre </w:t>
      </w:r>
      <w:r>
        <w:rPr>
          <w:rFonts w:ascii="Times New Roman" w:hAnsi="Times New Roman"/>
        </w:rPr>
        <w:t>členské štáty</w:t>
      </w:r>
      <w:r w:rsidRPr="0022749B">
        <w:rPr>
          <w:rFonts w:ascii="Times New Roman" w:hAnsi="Times New Roman"/>
        </w:rPr>
        <w:t xml:space="preserve"> mimo eurozóny; návrh na integráciu </w:t>
      </w:r>
      <w:r>
        <w:rPr>
          <w:rFonts w:ascii="Times New Roman" w:hAnsi="Times New Roman"/>
        </w:rPr>
        <w:br/>
      </w:r>
      <w:r w:rsidRPr="0022749B">
        <w:rPr>
          <w:rFonts w:ascii="Times New Roman" w:hAnsi="Times New Roman"/>
        </w:rPr>
        <w:t xml:space="preserve">tzv. Fiškálneho kompaktu (medzi-vládnej dohody) do práva EÚ. SR dlhodobo podporuje dobudovanie </w:t>
      </w:r>
      <w:r>
        <w:rPr>
          <w:rFonts w:ascii="Times New Roman" w:hAnsi="Times New Roman"/>
        </w:rPr>
        <w:t>hospodárskej a menovej únie a b</w:t>
      </w:r>
      <w:r w:rsidRPr="0022749B">
        <w:rPr>
          <w:rFonts w:ascii="Times New Roman" w:hAnsi="Times New Roman"/>
        </w:rPr>
        <w:t xml:space="preserve">ankovej únie. Počas SK PRES 2016 sme sa v tejto oblasti zamerali na zintenzívnenie diskusie o dlhodobých opatreniach potrebných na posilnenie fiškálneho piliera </w:t>
      </w:r>
      <w:r>
        <w:rPr>
          <w:rFonts w:ascii="Times New Roman" w:hAnsi="Times New Roman"/>
        </w:rPr>
        <w:t>hospodárskej a menovej únie</w:t>
      </w:r>
      <w:r w:rsidRPr="0022749B">
        <w:rPr>
          <w:rFonts w:ascii="Times New Roman" w:hAnsi="Times New Roman"/>
        </w:rPr>
        <w:t>.</w:t>
      </w:r>
    </w:p>
    <w:p w:rsidR="00573307" w:rsidRPr="0022749B" w:rsidP="00573307">
      <w:pPr>
        <w:pStyle w:val="ListParagraph"/>
        <w:numPr>
          <w:numId w:val="12"/>
        </w:numPr>
        <w:bidi w:val="0"/>
        <w:contextualSpacing w:val="0"/>
        <w:jc w:val="both"/>
        <w:rPr>
          <w:rFonts w:ascii="Times New Roman" w:hAnsi="Times New Roman" w:cs="Times New Roman"/>
        </w:rPr>
      </w:pPr>
      <w:r w:rsidRPr="0022749B">
        <w:rPr>
          <w:rFonts w:ascii="Times New Roman" w:hAnsi="Times New Roman" w:cs="Times New Roman"/>
          <w:b/>
        </w:rPr>
        <w:t>Dobudovanie bezpečnostnej únie a</w:t>
      </w:r>
      <w:r w:rsidRPr="0022749B">
        <w:rPr>
          <w:rFonts w:ascii="Times New Roman" w:hAnsi="Times New Roman" w:cs="Times New Roman"/>
        </w:rPr>
        <w:t xml:space="preserve"> </w:t>
      </w:r>
      <w:r w:rsidRPr="0022749B">
        <w:rPr>
          <w:rFonts w:ascii="Times New Roman" w:hAnsi="Times New Roman" w:cs="Times New Roman"/>
          <w:b/>
        </w:rPr>
        <w:t>Rozšírenie úloh novej Európskej prokuratúry</w:t>
      </w:r>
      <w:r>
        <w:rPr>
          <w:rFonts w:ascii="Times New Roman" w:hAnsi="Times New Roman" w:cs="Times New Roman"/>
          <w:b/>
        </w:rPr>
        <w:t xml:space="preserve">: </w:t>
      </w:r>
      <w:r w:rsidRPr="00937995">
        <w:rPr>
          <w:rFonts w:ascii="Times New Roman" w:hAnsi="Times New Roman" w:cs="Times New Roman"/>
        </w:rPr>
        <w:t>V rámci dobudovania</w:t>
      </w:r>
      <w:r w:rsidRPr="0022749B">
        <w:rPr>
          <w:rFonts w:ascii="Times New Roman" w:hAnsi="Times New Roman" w:cs="Times New Roman"/>
        </w:rPr>
        <w:t xml:space="preserve"> bezpečnostnej únie a boja proti terorizmu Európska komisia plánuje zverejniť </w:t>
      </w:r>
      <w:r>
        <w:rPr>
          <w:rFonts w:ascii="Times New Roman" w:hAnsi="Times New Roman" w:cs="Times New Roman"/>
        </w:rPr>
        <w:t xml:space="preserve">viacero návrhov </w:t>
      </w:r>
      <w:r w:rsidRPr="0022749B">
        <w:rPr>
          <w:rFonts w:ascii="Times New Roman" w:hAnsi="Times New Roman" w:cs="Times New Roman"/>
        </w:rPr>
        <w:t xml:space="preserve">(interoperabilita informačných systémov EÚ; cezhraničný prístup k elektronickým dôkazom, k finančným údajom; využitie výbušných prekurzorov). Zároveň by malo byť vydané aj oznámenie Európskej komisie o rozšírení právomoci Úradu európskej prokuratúry (EPPO) na oblasti boja proti terorizmu, ktorý ešte nezačal svoje pôsobenie (predpokladá sa v 2020 alebo 2021), preto pôjde o dlhodobú víziu Európskej komisie s perspektívou prijatia do 2025. </w:t>
      </w:r>
      <w:r w:rsidRPr="0022749B">
        <w:rPr>
          <w:rFonts w:ascii="Times New Roman" w:hAnsi="Times New Roman"/>
        </w:rPr>
        <w:t>SR vo všeobecnosti podporuje aktivity smerujúce k posilneniu bezpečnosti únie. Pokiaľ má SR záujem zotrvať</w:t>
      </w:r>
      <w:r>
        <w:rPr>
          <w:rFonts w:ascii="Times New Roman" w:hAnsi="Times New Roman"/>
        </w:rPr>
        <w:t xml:space="preserve"> v jadre EÚ, musí byť pripravená</w:t>
      </w:r>
      <w:r w:rsidRPr="0022749B">
        <w:rPr>
          <w:rFonts w:ascii="Times New Roman" w:hAnsi="Times New Roman"/>
        </w:rPr>
        <w:t xml:space="preserve"> na väčšie angažovanie sa a zdieľanie informácií aj v oblasti vnútornej bezpečnosti a spravodajských systémov. </w:t>
      </w:r>
    </w:p>
    <w:p w:rsidR="00573307" w:rsidRPr="0022749B" w:rsidP="00573307">
      <w:pPr>
        <w:pStyle w:val="ListParagraph"/>
        <w:numPr>
          <w:numId w:val="12"/>
        </w:numPr>
        <w:bidi w:val="0"/>
        <w:contextualSpacing w:val="0"/>
        <w:jc w:val="both"/>
        <w:rPr>
          <w:rFonts w:ascii="Times New Roman" w:hAnsi="Times New Roman" w:cs="Times New Roman"/>
        </w:rPr>
      </w:pPr>
      <w:r w:rsidRPr="0022749B">
        <w:rPr>
          <w:rFonts w:ascii="Times New Roman" w:hAnsi="Times New Roman" w:cs="Times New Roman"/>
          <w:b/>
        </w:rPr>
        <w:t>Dôveryhodná perspektíva rozšírenia</w:t>
      </w:r>
      <w:r w:rsidRPr="0022749B">
        <w:rPr>
          <w:rFonts w:ascii="Times New Roman" w:hAnsi="Times New Roman" w:cs="Times New Roman"/>
        </w:rPr>
        <w:t xml:space="preserve">: Európska komisia avizovala predstavenie návrhu Stratégie pre úspešný prístupový proces Srbska a Čiernej Hory, ktoré sú najaktívnejšie kandidátske krajiny západného Balkánu. Na jednej strane je to ocenenie postupu Srbska </w:t>
      </w:r>
      <w:r>
        <w:rPr>
          <w:rFonts w:ascii="Times New Roman" w:hAnsi="Times New Roman" w:cs="Times New Roman"/>
        </w:rPr>
        <w:br/>
      </w:r>
      <w:r w:rsidRPr="0022749B">
        <w:rPr>
          <w:rFonts w:ascii="Times New Roman" w:hAnsi="Times New Roman" w:cs="Times New Roman"/>
        </w:rPr>
        <w:t>a Čiernej Hory a na druhej strane by mohla stratégia predstavovať motiváciu pre pokrok aj ostatných krajín západného Balkánu v ich eurointegračnom úsilí. SR dlhodobo podporuje eurointegračn</w:t>
      </w:r>
      <w:r>
        <w:rPr>
          <w:rFonts w:ascii="Times New Roman" w:hAnsi="Times New Roman" w:cs="Times New Roman"/>
        </w:rPr>
        <w:t xml:space="preserve">é </w:t>
      </w:r>
      <w:r w:rsidRPr="0022749B">
        <w:rPr>
          <w:rFonts w:ascii="Times New Roman" w:hAnsi="Times New Roman" w:cs="Times New Roman"/>
        </w:rPr>
        <w:t>ambíci</w:t>
      </w:r>
      <w:r>
        <w:rPr>
          <w:rFonts w:ascii="Times New Roman" w:hAnsi="Times New Roman" w:cs="Times New Roman"/>
        </w:rPr>
        <w:t>e</w:t>
      </w:r>
      <w:r w:rsidRPr="0022749B">
        <w:rPr>
          <w:rFonts w:ascii="Times New Roman" w:hAnsi="Times New Roman" w:cs="Times New Roman"/>
        </w:rPr>
        <w:t xml:space="preserve"> týchto štátov. </w:t>
      </w:r>
    </w:p>
    <w:p w:rsidR="00573307" w:rsidRPr="0022749B" w:rsidP="00573307">
      <w:pPr>
        <w:pStyle w:val="ListParagraph"/>
        <w:numPr>
          <w:numId w:val="12"/>
        </w:numPr>
        <w:bidi w:val="0"/>
        <w:contextualSpacing w:val="0"/>
        <w:jc w:val="both"/>
        <w:rPr>
          <w:rFonts w:ascii="Times New Roman" w:hAnsi="Times New Roman" w:cs="Times New Roman"/>
        </w:rPr>
      </w:pPr>
      <w:r w:rsidRPr="0022749B">
        <w:rPr>
          <w:rFonts w:ascii="Times New Roman" w:hAnsi="Times New Roman" w:cs="Times New Roman"/>
          <w:b/>
        </w:rPr>
        <w:t>Agentúra EÚ pre kybernetickú bezpečnosť (ENISA):</w:t>
      </w:r>
      <w:r w:rsidRPr="0022749B">
        <w:t xml:space="preserve"> </w:t>
      </w:r>
      <w:r w:rsidRPr="0022749B">
        <w:rPr>
          <w:rFonts w:ascii="Times New Roman" w:hAnsi="Times New Roman" w:cs="Times New Roman"/>
        </w:rPr>
        <w:t xml:space="preserve">Návrh nariadenia k agentúre ENISA obsahuje relatívne ambicióznu zmenu súčasných úloh agentúry s doplnením jej permanentného mandátu. </w:t>
      </w:r>
      <w:r>
        <w:rPr>
          <w:rFonts w:ascii="Times New Roman" w:hAnsi="Times New Roman" w:cs="Times New Roman"/>
        </w:rPr>
        <w:t>P</w:t>
      </w:r>
      <w:r w:rsidRPr="0022749B">
        <w:rPr>
          <w:rFonts w:ascii="Times New Roman" w:hAnsi="Times New Roman" w:cs="Times New Roman"/>
        </w:rPr>
        <w:t>o novom by ENISA mala poskytovať členským štátom, inštitúciám EÚ</w:t>
      </w:r>
      <w:r>
        <w:rPr>
          <w:rFonts w:ascii="Times New Roman" w:hAnsi="Times New Roman" w:cs="Times New Roman"/>
        </w:rPr>
        <w:t>,</w:t>
      </w:r>
      <w:r w:rsidRPr="0022749B">
        <w:rPr>
          <w:rFonts w:ascii="Times New Roman" w:hAnsi="Times New Roman" w:cs="Times New Roman"/>
        </w:rPr>
        <w:t xml:space="preserve"> ale aj priemyslu podporu ohľadom implementácie smernice o bezpečnosti sietí a informačných systémov a tiež podporu ohľadom novej certifikačnej schémy IKT produktov a služieb. Reformovaná ENISA by mala mať silnejší poradný hlas pri tvorbe kybernetických politík a ich implementácii. Zároveň bude pomáhať pri zakladaní ISAC (informačných a analytických centier), organizovať každoročné paneurópske cvičenia týkajúce sa kybernetickej bezpečnosti a bude nápomocná pri tzv. operačnej spolupráci členských štátov, inštitúcií EÚ a pri krízovom riadení. ENISA bude okrem toho slúžiť ako centrálny informačný a znalostný kontaktný bod pre komunitu z prostredia kybernetickej bezpečnosti. </w:t>
      </w:r>
      <w:r>
        <w:rPr>
          <w:rFonts w:ascii="Times New Roman" w:hAnsi="Times New Roman" w:cs="Times New Roman"/>
        </w:rPr>
        <w:t>SR</w:t>
      </w:r>
      <w:r w:rsidRPr="0022749B">
        <w:rPr>
          <w:rFonts w:ascii="Times New Roman" w:hAnsi="Times New Roman" w:cs="Times New Roman"/>
        </w:rPr>
        <w:t xml:space="preserve"> vo všeobecnosti podporuje trvalý mandát agentúry ENISA.</w:t>
      </w:r>
    </w:p>
    <w:p w:rsidR="00573307" w:rsidP="00573307">
      <w:pPr>
        <w:pStyle w:val="ListParagraph"/>
        <w:numPr>
          <w:numId w:val="12"/>
        </w:numPr>
        <w:bidi w:val="0"/>
        <w:contextualSpacing w:val="0"/>
        <w:jc w:val="both"/>
        <w:rPr>
          <w:rFonts w:ascii="Times New Roman" w:hAnsi="Times New Roman" w:cs="Times New Roman"/>
        </w:rPr>
      </w:pPr>
      <w:r w:rsidRPr="0022749B">
        <w:rPr>
          <w:rFonts w:ascii="Times New Roman" w:hAnsi="Times New Roman" w:cs="Times New Roman"/>
          <w:b/>
        </w:rPr>
        <w:t>Kódex schengenských hraníc</w:t>
      </w:r>
      <w:r w:rsidRPr="0022749B">
        <w:rPr>
          <w:rFonts w:ascii="Times New Roman" w:hAnsi="Times New Roman" w:cs="Times New Roman"/>
        </w:rPr>
        <w:t xml:space="preserve">: Súčasťou návrhu opatrení </w:t>
      </w:r>
      <w:r>
        <w:rPr>
          <w:rFonts w:ascii="Times New Roman" w:hAnsi="Times New Roman" w:cs="Times New Roman"/>
        </w:rPr>
        <w:t>Európskej komisie</w:t>
      </w:r>
      <w:r w:rsidRPr="0022749B">
        <w:rPr>
          <w:rFonts w:ascii="Times New Roman" w:hAnsi="Times New Roman" w:cs="Times New Roman"/>
        </w:rPr>
        <w:t xml:space="preserve"> je aktualizácia Kódexu schengenských hraníc s cieľom prispôsobiť pravidlá potrebe reagovať na závažné ohrozenia verejného poriadku alebo vnútornej bezpečnosti a zaviesť posilnené procesné záruky, ktoré by zaručili, aby kontroly vnútorných hraníc zostali výnimkou – poslednou možnosťou – a použili sa len vtedy, keď sú potrebné a primerané. </w:t>
      </w:r>
      <w:r>
        <w:rPr>
          <w:rFonts w:ascii="Times New Roman" w:hAnsi="Times New Roman" w:cs="Times New Roman"/>
        </w:rPr>
        <w:t>SR</w:t>
      </w:r>
      <w:r w:rsidRPr="0022749B">
        <w:rPr>
          <w:rFonts w:ascii="Times New Roman" w:hAnsi="Times New Roman" w:cs="Times New Roman"/>
        </w:rPr>
        <w:t xml:space="preserve"> sa k zmene Schengenského kódexu stavia zdržanlivo (už teraz mali byť odstránené vnútorné kontroly, ktoré zaviedli niektoré členské štáty na svojich hraniciach). Uvedený návrh je mimoriadne citlivý a vyžaduje si konsenzus všetkých strán, pričom niektoré členské štáty sa k návrhu stavajú jednoznačne negatívne. </w:t>
      </w:r>
    </w:p>
    <w:p w:rsidR="00573307" w:rsidRPr="0022749B" w:rsidP="00573307">
      <w:pPr>
        <w:pStyle w:val="ListParagraph"/>
        <w:bidi w:val="0"/>
        <w:ind w:left="360"/>
        <w:jc w:val="both"/>
        <w:rPr>
          <w:rFonts w:ascii="Times New Roman" w:hAnsi="Times New Roman" w:cs="Times New Roman"/>
        </w:rPr>
      </w:pPr>
    </w:p>
    <w:p w:rsidR="00573307" w:rsidRPr="0022749B" w:rsidP="00573307">
      <w:pPr>
        <w:pStyle w:val="ListParagraph"/>
        <w:numPr>
          <w:numId w:val="12"/>
        </w:numPr>
        <w:bidi w:val="0"/>
        <w:contextualSpacing w:val="0"/>
        <w:jc w:val="both"/>
        <w:rPr>
          <w:rFonts w:ascii="Times New Roman" w:hAnsi="Times New Roman" w:cs="Times New Roman"/>
        </w:rPr>
      </w:pPr>
      <w:r w:rsidRPr="0022749B">
        <w:rPr>
          <w:rFonts w:ascii="Times New Roman" w:hAnsi="Times New Roman" w:cs="Times New Roman"/>
          <w:b/>
        </w:rPr>
        <w:t>Balík Európa v pohybe</w:t>
      </w:r>
      <w:r w:rsidRPr="0022749B">
        <w:rPr>
          <w:rFonts w:ascii="Times New Roman" w:hAnsi="Times New Roman" w:cs="Times New Roman"/>
        </w:rPr>
        <w:t xml:space="preserve">: Cieľom balíka opatrení je pomôcť odvetviu zachovať si konkurencieschopnosť v rámci sociálne spravodlivej transformácie smerom k čistej energii a elektronizácii. Sektor nákladnej dopravy v Európe na jednej strane zamestnáva až 5 miliónov osôb, no na druhej strane je jedným z hlavných zdrojom znečistenia (až štvrtina emisií skleníkových plynov pochádza z dopravy, z toho 70 percent emisií pochádza práve z cestnej dopravy). </w:t>
      </w:r>
      <w:r>
        <w:rPr>
          <w:rFonts w:ascii="Times New Roman" w:hAnsi="Times New Roman" w:cs="Times New Roman"/>
        </w:rPr>
        <w:t>SR</w:t>
      </w:r>
      <w:r w:rsidRPr="0022749B">
        <w:rPr>
          <w:rFonts w:ascii="Times New Roman" w:hAnsi="Times New Roman" w:cs="Times New Roman"/>
        </w:rPr>
        <w:t xml:space="preserve"> podporuje tie návrhy </w:t>
      </w:r>
      <w:r>
        <w:rPr>
          <w:rFonts w:ascii="Times New Roman" w:hAnsi="Times New Roman" w:cs="Times New Roman"/>
        </w:rPr>
        <w:t>Európskej komisie</w:t>
      </w:r>
      <w:r w:rsidRPr="0022749B">
        <w:rPr>
          <w:rFonts w:ascii="Times New Roman" w:hAnsi="Times New Roman" w:cs="Times New Roman"/>
        </w:rPr>
        <w:t xml:space="preserve">, ktoré prispejú k zabezpečeniu administratívnej spolupráce medzi členskými štátmi a zabránia zakladaniu tzv. „schránkových“ spoločností, alebo napomôžu cezhraničnému vymáhaniu priestupkov v prípade nezaplatenia mýta alebo elektronických diaľničných známok. Pravidlá pre vysielanie pracovníkov sa v sektore dopravy určia prostredníctvom špecifickej sektorálnej legislatívy (tzv. lex specialis), ktorá je súčasťou tohto Balíka. V tomto zmysle SR podporila kompromisnú dohodu Rady na znení smernice o vysielaní pracovníkov, ktorá sa však nevzťahuje na oblasť medzinárodnej dopravy, vrátane kabotáže. V budúcnosti bude SR pri diskusiách pri </w:t>
      </w:r>
      <w:r w:rsidRPr="00937995">
        <w:rPr>
          <w:rFonts w:ascii="Times New Roman" w:hAnsi="Times New Roman" w:cs="Times New Roman"/>
          <w:i/>
        </w:rPr>
        <w:t>lex specialis</w:t>
      </w:r>
      <w:r w:rsidRPr="0022749B">
        <w:rPr>
          <w:rFonts w:ascii="Times New Roman" w:hAnsi="Times New Roman" w:cs="Times New Roman"/>
        </w:rPr>
        <w:t xml:space="preserve"> okrem špecifických pravidiel vysielania požadovať predovšetkým zjednodušenie administratívnych pravidiel a zavedenie realistických opatrení najmä v oblasti týždenného či denného odpočinku</w:t>
      </w:r>
      <w:r>
        <w:rPr>
          <w:rFonts w:ascii="Times New Roman" w:hAnsi="Times New Roman" w:cs="Times New Roman"/>
        </w:rPr>
        <w:t>,</w:t>
      </w:r>
      <w:r w:rsidRPr="0022749B">
        <w:rPr>
          <w:rFonts w:ascii="Times New Roman" w:hAnsi="Times New Roman" w:cs="Times New Roman"/>
        </w:rPr>
        <w:t xml:space="preserve"> ako aj zjednodušené vykazovanie jázd. Z analýz vyplýva, že práve zvýšená byrokratická záťaž</w:t>
      </w:r>
      <w:r>
        <w:rPr>
          <w:rFonts w:ascii="Times New Roman" w:hAnsi="Times New Roman" w:cs="Times New Roman"/>
        </w:rPr>
        <w:t xml:space="preserve"> (</w:t>
      </w:r>
      <w:r w:rsidRPr="0022749B">
        <w:rPr>
          <w:rFonts w:ascii="Times New Roman" w:hAnsi="Times New Roman" w:cs="Times New Roman"/>
        </w:rPr>
        <w:t>a nie zmenené platové podmienky vys</w:t>
      </w:r>
      <w:r>
        <w:rPr>
          <w:rFonts w:ascii="Times New Roman" w:hAnsi="Times New Roman" w:cs="Times New Roman"/>
        </w:rPr>
        <w:t xml:space="preserve">ielaných pracovníkov v doprave - </w:t>
      </w:r>
      <w:r w:rsidRPr="0022749B">
        <w:rPr>
          <w:rFonts w:ascii="Times New Roman" w:hAnsi="Times New Roman" w:cs="Times New Roman"/>
        </w:rPr>
        <w:t>kamionistov), by boli pre malé a stredné firmy podnikajúce v oblasti medzinárodnej prepravy likvidačné.</w:t>
      </w:r>
    </w:p>
    <w:p w:rsidR="00573307" w:rsidRPr="0022749B" w:rsidP="00573307">
      <w:pPr>
        <w:pStyle w:val="ListParagraph"/>
        <w:bidi w:val="0"/>
        <w:ind w:left="360"/>
        <w:jc w:val="both"/>
        <w:rPr>
          <w:rFonts w:ascii="Times New Roman" w:hAnsi="Times New Roman" w:cs="Times New Roman"/>
        </w:rPr>
      </w:pPr>
    </w:p>
    <w:p w:rsidR="00EB5D45" w:rsidP="00573307">
      <w:pPr>
        <w:tabs>
          <w:tab w:val="left" w:pos="567"/>
        </w:tabs>
        <w:bidi w:val="0"/>
        <w:jc w:val="both"/>
        <w:rPr>
          <w:rFonts w:ascii="Times New Roman" w:hAnsi="Times New Roman"/>
        </w:rPr>
      </w:pPr>
    </w:p>
    <w:sectPr w:rsidSect="00EB5D45">
      <w:headerReference w:type="default" r:id="rId5"/>
      <w:headerReference w:type="firs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Deva Ideal Book">
    <w:altName w:val="Deva Ideal Book"/>
    <w:panose1 w:val="00000000000000000000"/>
    <w:charset w:val="00"/>
    <w:family w:val="swiss"/>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81D" w:rsidP="00EB5D45">
    <w:pPr>
      <w:pStyle w:val="Header"/>
      <w:tabs>
        <w:tab w:val="left" w:pos="1710"/>
      </w:tabs>
      <w:bidi w:val="0"/>
      <w:rPr>
        <w:rFonts w:ascii="Times New Roman" w:hAnsi="Times New Roman"/>
      </w:rPr>
    </w:pPr>
    <w:r>
      <w:rPr>
        <w:rFonts w:ascii="Times New Roman" w:hAnsi="Times New Roman"/>
      </w:rPr>
      <w:tab/>
      <w:tab/>
      <w:tab/>
      <w:tab/>
      <w:tab/>
      <w:tab/>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398" w:rsidRPr="00620E67" w:rsidP="00121398">
    <w:pPr>
      <w:pStyle w:val="Header"/>
      <w:bidi w:val="0"/>
      <w:rPr>
        <w:rFonts w:ascii="Times New Roman" w:hAnsi="Times New Roman"/>
      </w:rPr>
    </w:pPr>
    <w:r w:rsidRPr="00620E67">
      <w:rPr>
        <w:rFonts w:ascii="Times New Roman" w:hAnsi="Times New Roman"/>
      </w:rPr>
      <w:t xml:space="preserve">                             </w:t>
    </w:r>
    <w:r>
      <w:rPr>
        <w:rFonts w:ascii="Times New Roman" w:hAnsi="Times New Roman"/>
        <w:noProof/>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5" o:spid="_x0000_i2049" type="#_x0000_t75" style="width:23.45pt;height:26.6pt;visibility:visible" filled="f" stroked="f">
          <v:fill o:detectmouseclick="f"/>
          <v:imagedata r:id="rId1" o:title=""/>
          <o:lock v:ext="edit" aspectratio="t"/>
        </v:shape>
      </w:pict>
    </w:r>
  </w:p>
  <w:p w:rsidR="00121398" w:rsidRPr="00620E67" w:rsidP="00121398">
    <w:pPr>
      <w:tabs>
        <w:tab w:val="left" w:pos="567"/>
      </w:tabs>
      <w:bidi w:val="0"/>
      <w:rPr>
        <w:rFonts w:ascii="Times New Roman" w:hAnsi="Times New Roman"/>
        <w:b/>
      </w:rPr>
    </w:pPr>
    <w:r w:rsidRPr="00620E67">
      <w:rPr>
        <w:rFonts w:ascii="Times New Roman" w:hAnsi="Times New Roman"/>
        <w:b/>
      </w:rPr>
      <w:t>Výbor Národnej rady Slovenskej republiky</w:t>
    </w:r>
  </w:p>
  <w:p w:rsidR="00121398" w:rsidRPr="00620E67" w:rsidP="00121398">
    <w:pPr>
      <w:tabs>
        <w:tab w:val="left" w:pos="567"/>
      </w:tabs>
      <w:bidi w:val="0"/>
      <w:rPr>
        <w:rFonts w:ascii="Times New Roman" w:hAnsi="Times New Roman"/>
        <w:b/>
      </w:rPr>
    </w:pPr>
    <w:r w:rsidRPr="00620E67">
      <w:rPr>
        <w:rFonts w:ascii="Times New Roman" w:hAnsi="Times New Roman"/>
        <w:b/>
      </w:rPr>
      <w:tab/>
      <w:t xml:space="preserve">      pre európske záležitosti</w:t>
    </w:r>
  </w:p>
  <w:p w:rsidR="005D681D">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Letter"/>
      <w:lvlText w:val="%3)"/>
      <w:lvlJc w:val="left"/>
      <w:pPr>
        <w:tabs>
          <w:tab w:val="num" w:pos="1440"/>
        </w:tabs>
        <w:ind w:left="1440" w:hanging="360"/>
      </w:pPr>
      <w:rPr>
        <w:rFonts w:cs="Times New Roman"/>
        <w:rtl w:val="0"/>
        <w:cs w:val="0"/>
      </w:rPr>
    </w:lvl>
    <w:lvl w:ilvl="3">
      <w:start w:val="1"/>
      <w:numFmt w:val="lowerLetter"/>
      <w:lvlText w:val="%4)"/>
      <w:lvlJc w:val="left"/>
      <w:pPr>
        <w:tabs>
          <w:tab w:val="num" w:pos="1800"/>
        </w:tabs>
        <w:ind w:left="1800" w:hanging="360"/>
      </w:pPr>
      <w:rPr>
        <w:rFonts w:cs="Times New Roman"/>
        <w:rtl w:val="0"/>
        <w:cs w:val="0"/>
      </w:rPr>
    </w:lvl>
    <w:lvl w:ilvl="4">
      <w:start w:val="1"/>
      <w:numFmt w:val="lowerLetter"/>
      <w:lvlText w:val="%5)"/>
      <w:lvlJc w:val="left"/>
      <w:pPr>
        <w:tabs>
          <w:tab w:val="num" w:pos="2160"/>
        </w:tabs>
        <w:ind w:left="2160" w:hanging="360"/>
      </w:pPr>
      <w:rPr>
        <w:rFonts w:cs="Times New Roman"/>
        <w:rtl w:val="0"/>
        <w:cs w:val="0"/>
      </w:rPr>
    </w:lvl>
    <w:lvl w:ilvl="5">
      <w:start w:val="1"/>
      <w:numFmt w:val="lowerLetter"/>
      <w:lvlText w:val="%6)"/>
      <w:lvlJc w:val="left"/>
      <w:pPr>
        <w:tabs>
          <w:tab w:val="num" w:pos="2520"/>
        </w:tabs>
        <w:ind w:left="2520" w:hanging="360"/>
      </w:pPr>
      <w:rPr>
        <w:rFonts w:cs="Times New Roman"/>
        <w:rtl w:val="0"/>
        <w:cs w:val="0"/>
      </w:rPr>
    </w:lvl>
    <w:lvl w:ilvl="6">
      <w:start w:val="1"/>
      <w:numFmt w:val="lowerLetter"/>
      <w:lvlText w:val="%7)"/>
      <w:lvlJc w:val="left"/>
      <w:pPr>
        <w:tabs>
          <w:tab w:val="num" w:pos="2880"/>
        </w:tabs>
        <w:ind w:left="2880" w:hanging="360"/>
      </w:pPr>
      <w:rPr>
        <w:rFonts w:cs="Times New Roman"/>
        <w:rtl w:val="0"/>
        <w:cs w:val="0"/>
      </w:rPr>
    </w:lvl>
    <w:lvl w:ilvl="7">
      <w:start w:val="1"/>
      <w:numFmt w:val="lowerLetter"/>
      <w:lvlText w:val="%8)"/>
      <w:lvlJc w:val="left"/>
      <w:pPr>
        <w:tabs>
          <w:tab w:val="num" w:pos="3240"/>
        </w:tabs>
        <w:ind w:left="3240" w:hanging="360"/>
      </w:pPr>
      <w:rPr>
        <w:rFonts w:cs="Times New Roman"/>
        <w:rtl w:val="0"/>
        <w:cs w:val="0"/>
      </w:rPr>
    </w:lvl>
    <w:lvl w:ilvl="8">
      <w:start w:val="1"/>
      <w:numFmt w:val="lowerLetter"/>
      <w:lvlText w:val="%9)"/>
      <w:lvlJc w:val="left"/>
      <w:pPr>
        <w:tabs>
          <w:tab w:val="num" w:pos="3600"/>
        </w:tabs>
        <w:ind w:left="3600" w:hanging="360"/>
      </w:pPr>
      <w:rPr>
        <w:rFonts w:cs="Times New Roman"/>
        <w:rtl w:val="0"/>
        <w:cs w:val="0"/>
      </w:rPr>
    </w:lvl>
  </w:abstractNum>
  <w:abstractNum w:abstractNumId="1">
    <w:nsid w:val="01652F35"/>
    <w:multiLevelType w:val="hybridMultilevel"/>
    <w:tmpl w:val="C116E64C"/>
    <w:lvl w:ilvl="0">
      <w:start w:val="1"/>
      <w:numFmt w:val="decimal"/>
      <w:lvlText w:val="%1)"/>
      <w:lvlJc w:val="left"/>
      <w:pPr>
        <w:tabs>
          <w:tab w:val="num" w:pos="1324"/>
        </w:tabs>
        <w:ind w:left="1324" w:hanging="360"/>
      </w:pPr>
      <w:rPr>
        <w:rFonts w:cs="Times New Roman" w:hint="default"/>
        <w:rtl w:val="0"/>
        <w:cs w:val="0"/>
      </w:rPr>
    </w:lvl>
    <w:lvl w:ilvl="1">
      <w:start w:val="1"/>
      <w:numFmt w:val="lowerLetter"/>
      <w:lvlText w:val="%2."/>
      <w:lvlJc w:val="left"/>
      <w:pPr>
        <w:tabs>
          <w:tab w:val="num" w:pos="2044"/>
        </w:tabs>
        <w:ind w:left="2044" w:hanging="360"/>
      </w:pPr>
      <w:rPr>
        <w:rFonts w:cs="Times New Roman"/>
        <w:rtl w:val="0"/>
        <w:cs w:val="0"/>
      </w:rPr>
    </w:lvl>
    <w:lvl w:ilvl="2">
      <w:start w:val="1"/>
      <w:numFmt w:val="lowerRoman"/>
      <w:lvlText w:val="%3."/>
      <w:lvlJc w:val="right"/>
      <w:pPr>
        <w:tabs>
          <w:tab w:val="num" w:pos="2764"/>
        </w:tabs>
        <w:ind w:left="2764" w:hanging="180"/>
      </w:pPr>
      <w:rPr>
        <w:rFonts w:cs="Times New Roman"/>
        <w:rtl w:val="0"/>
        <w:cs w:val="0"/>
      </w:rPr>
    </w:lvl>
    <w:lvl w:ilvl="3">
      <w:start w:val="1"/>
      <w:numFmt w:val="decimal"/>
      <w:lvlText w:val="%4."/>
      <w:lvlJc w:val="left"/>
      <w:pPr>
        <w:tabs>
          <w:tab w:val="num" w:pos="3484"/>
        </w:tabs>
        <w:ind w:left="3484" w:hanging="360"/>
      </w:pPr>
      <w:rPr>
        <w:rFonts w:cs="Times New Roman"/>
        <w:rtl w:val="0"/>
        <w:cs w:val="0"/>
      </w:rPr>
    </w:lvl>
    <w:lvl w:ilvl="4">
      <w:start w:val="1"/>
      <w:numFmt w:val="lowerLetter"/>
      <w:lvlText w:val="%5."/>
      <w:lvlJc w:val="left"/>
      <w:pPr>
        <w:tabs>
          <w:tab w:val="num" w:pos="4204"/>
        </w:tabs>
        <w:ind w:left="4204" w:hanging="360"/>
      </w:pPr>
      <w:rPr>
        <w:rFonts w:cs="Times New Roman"/>
        <w:rtl w:val="0"/>
        <w:cs w:val="0"/>
      </w:rPr>
    </w:lvl>
    <w:lvl w:ilvl="5">
      <w:start w:val="1"/>
      <w:numFmt w:val="lowerRoman"/>
      <w:lvlText w:val="%6."/>
      <w:lvlJc w:val="right"/>
      <w:pPr>
        <w:tabs>
          <w:tab w:val="num" w:pos="4924"/>
        </w:tabs>
        <w:ind w:left="4924" w:hanging="180"/>
      </w:pPr>
      <w:rPr>
        <w:rFonts w:cs="Times New Roman"/>
        <w:rtl w:val="0"/>
        <w:cs w:val="0"/>
      </w:rPr>
    </w:lvl>
    <w:lvl w:ilvl="6">
      <w:start w:val="1"/>
      <w:numFmt w:val="decimal"/>
      <w:lvlText w:val="%7."/>
      <w:lvlJc w:val="left"/>
      <w:pPr>
        <w:tabs>
          <w:tab w:val="num" w:pos="5644"/>
        </w:tabs>
        <w:ind w:left="5644" w:hanging="360"/>
      </w:pPr>
      <w:rPr>
        <w:rFonts w:cs="Times New Roman"/>
        <w:rtl w:val="0"/>
        <w:cs w:val="0"/>
      </w:rPr>
    </w:lvl>
    <w:lvl w:ilvl="7">
      <w:start w:val="1"/>
      <w:numFmt w:val="lowerLetter"/>
      <w:lvlText w:val="%8."/>
      <w:lvlJc w:val="left"/>
      <w:pPr>
        <w:tabs>
          <w:tab w:val="num" w:pos="6364"/>
        </w:tabs>
        <w:ind w:left="6364" w:hanging="360"/>
      </w:pPr>
      <w:rPr>
        <w:rFonts w:cs="Times New Roman"/>
        <w:rtl w:val="0"/>
        <w:cs w:val="0"/>
      </w:rPr>
    </w:lvl>
    <w:lvl w:ilvl="8">
      <w:start w:val="1"/>
      <w:numFmt w:val="lowerRoman"/>
      <w:lvlText w:val="%9."/>
      <w:lvlJc w:val="right"/>
      <w:pPr>
        <w:tabs>
          <w:tab w:val="num" w:pos="7084"/>
        </w:tabs>
        <w:ind w:left="7084" w:hanging="180"/>
      </w:pPr>
      <w:rPr>
        <w:rFonts w:cs="Times New Roman"/>
        <w:rtl w:val="0"/>
        <w:cs w:val="0"/>
      </w:rPr>
    </w:lvl>
  </w:abstractNum>
  <w:abstractNum w:abstractNumId="2">
    <w:nsid w:val="08E20509"/>
    <w:multiLevelType w:val="hybridMultilevel"/>
    <w:tmpl w:val="B7AE060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9A07EBC"/>
    <w:multiLevelType w:val="hybridMultilevel"/>
    <w:tmpl w:val="3164385E"/>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F845DDA"/>
    <w:multiLevelType w:val="hybridMultilevel"/>
    <w:tmpl w:val="9A9CF756"/>
    <w:lvl w:ilvl="0">
      <w:start w:val="1"/>
      <w:numFmt w:val="bullet"/>
      <w:lvlText w:val="-"/>
      <w:lvlJc w:val="left"/>
      <w:pPr>
        <w:ind w:left="1080" w:hanging="360"/>
      </w:pPr>
      <w:rPr>
        <w:rFonts w:ascii="Times New Roman" w:eastAsia="Times New Roman" w:hAnsi="Times New Roman" w:hint="default"/>
        <w:b/>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nsid w:val="18E71B20"/>
    <w:multiLevelType w:val="hybridMultilevel"/>
    <w:tmpl w:val="51F495A0"/>
    <w:lvl w:ilvl="0">
      <w:start w:val="1"/>
      <w:numFmt w:val="upperLetter"/>
      <w:lvlText w:val="%1."/>
      <w:lvlJc w:val="left"/>
      <w:pPr>
        <w:tabs>
          <w:tab w:val="num" w:pos="1068"/>
        </w:tabs>
        <w:ind w:left="1068"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
    <w:nsid w:val="39D30ADF"/>
    <w:multiLevelType w:val="hybridMultilevel"/>
    <w:tmpl w:val="CB4A93B6"/>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4A8F149D"/>
    <w:multiLevelType w:val="hybridMultilevel"/>
    <w:tmpl w:val="F03AA8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C38391E"/>
    <w:multiLevelType w:val="hybridMultilevel"/>
    <w:tmpl w:val="D32CC6D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nsid w:val="54312DED"/>
    <w:multiLevelType w:val="hybridMultilevel"/>
    <w:tmpl w:val="A5C067D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
    <w:nsid w:val="58C84892"/>
    <w:multiLevelType w:val="hybridMultilevel"/>
    <w:tmpl w:val="AA54E45C"/>
    <w:lvl w:ilvl="0">
      <w:start w:val="1"/>
      <w:numFmt w:val="upperLetter"/>
      <w:lvlText w:val="%1."/>
      <w:lvlJc w:val="left"/>
      <w:pPr>
        <w:ind w:left="1120" w:hanging="410"/>
      </w:pPr>
      <w:rPr>
        <w:rFonts w:cs="Times New Roman"/>
        <w:b/>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11">
    <w:nsid w:val="6E492DD7"/>
    <w:multiLevelType w:val="hybridMultilevel"/>
    <w:tmpl w:val="CA5CAA14"/>
    <w:lvl w:ilvl="0">
      <w:start w:val="2"/>
      <w:numFmt w:val="lowerLetter"/>
      <w:lvlText w:val="%1)"/>
      <w:lvlJc w:val="left"/>
      <w:pPr>
        <w:ind w:left="1070" w:hanging="360"/>
      </w:pPr>
      <w:rPr>
        <w:rFonts w:cs="Times New Roman"/>
        <w:rtl w:val="0"/>
        <w:cs w:val="0"/>
      </w:rPr>
    </w:lvl>
    <w:lvl w:ilvl="1">
      <w:start w:val="1"/>
      <w:numFmt w:val="lowerLetter"/>
      <w:lvlText w:val="%2."/>
      <w:lvlJc w:val="left"/>
      <w:pPr>
        <w:ind w:left="7380" w:hanging="360"/>
      </w:pPr>
      <w:rPr>
        <w:rFonts w:cs="Times New Roman"/>
        <w:rtl w:val="0"/>
        <w:cs w:val="0"/>
      </w:rPr>
    </w:lvl>
    <w:lvl w:ilvl="2">
      <w:start w:val="1"/>
      <w:numFmt w:val="lowerRoman"/>
      <w:lvlText w:val="%3."/>
      <w:lvlJc w:val="right"/>
      <w:pPr>
        <w:ind w:left="8100" w:hanging="180"/>
      </w:pPr>
      <w:rPr>
        <w:rFonts w:cs="Times New Roman"/>
        <w:rtl w:val="0"/>
        <w:cs w:val="0"/>
      </w:rPr>
    </w:lvl>
    <w:lvl w:ilvl="3">
      <w:start w:val="1"/>
      <w:numFmt w:val="decimal"/>
      <w:lvlText w:val="%4."/>
      <w:lvlJc w:val="left"/>
      <w:pPr>
        <w:ind w:left="8820" w:hanging="360"/>
      </w:pPr>
      <w:rPr>
        <w:rFonts w:cs="Times New Roman"/>
        <w:rtl w:val="0"/>
        <w:cs w:val="0"/>
      </w:rPr>
    </w:lvl>
    <w:lvl w:ilvl="4">
      <w:start w:val="1"/>
      <w:numFmt w:val="lowerLetter"/>
      <w:lvlText w:val="%5."/>
      <w:lvlJc w:val="left"/>
      <w:pPr>
        <w:ind w:left="9540" w:hanging="360"/>
      </w:pPr>
      <w:rPr>
        <w:rFonts w:cs="Times New Roman"/>
        <w:rtl w:val="0"/>
        <w:cs w:val="0"/>
      </w:rPr>
    </w:lvl>
    <w:lvl w:ilvl="5">
      <w:start w:val="1"/>
      <w:numFmt w:val="lowerRoman"/>
      <w:lvlText w:val="%6."/>
      <w:lvlJc w:val="right"/>
      <w:pPr>
        <w:ind w:left="10260" w:hanging="180"/>
      </w:pPr>
      <w:rPr>
        <w:rFonts w:cs="Times New Roman"/>
        <w:rtl w:val="0"/>
        <w:cs w:val="0"/>
      </w:rPr>
    </w:lvl>
    <w:lvl w:ilvl="6">
      <w:start w:val="1"/>
      <w:numFmt w:val="decimal"/>
      <w:lvlText w:val="%7."/>
      <w:lvlJc w:val="left"/>
      <w:pPr>
        <w:ind w:left="10980" w:hanging="360"/>
      </w:pPr>
      <w:rPr>
        <w:rFonts w:cs="Times New Roman"/>
        <w:rtl w:val="0"/>
        <w:cs w:val="0"/>
      </w:rPr>
    </w:lvl>
    <w:lvl w:ilvl="7">
      <w:start w:val="1"/>
      <w:numFmt w:val="lowerLetter"/>
      <w:lvlText w:val="%8."/>
      <w:lvlJc w:val="left"/>
      <w:pPr>
        <w:ind w:left="11700" w:hanging="360"/>
      </w:pPr>
      <w:rPr>
        <w:rFonts w:cs="Times New Roman"/>
        <w:rtl w:val="0"/>
        <w:cs w:val="0"/>
      </w:rPr>
    </w:lvl>
    <w:lvl w:ilvl="8">
      <w:start w:val="1"/>
      <w:numFmt w:val="lowerRoman"/>
      <w:lvlText w:val="%9."/>
      <w:lvlJc w:val="right"/>
      <w:pPr>
        <w:ind w:left="12420" w:hanging="180"/>
      </w:pPr>
      <w:rPr>
        <w:rFonts w:cs="Times New Roman"/>
        <w:rtl w:val="0"/>
        <w:cs w:val="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 w:numId="10">
    <w:abstractNumId w:val="2"/>
  </w:num>
  <w:num w:numId="11">
    <w:abstractNumId w:val="7"/>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E65A6"/>
    <w:rsid w:val="0000154D"/>
    <w:rsid w:val="0000257F"/>
    <w:rsid w:val="00010A9E"/>
    <w:rsid w:val="0001451F"/>
    <w:rsid w:val="0002270F"/>
    <w:rsid w:val="000250D8"/>
    <w:rsid w:val="000250DF"/>
    <w:rsid w:val="00025D5C"/>
    <w:rsid w:val="00033CD7"/>
    <w:rsid w:val="00037A39"/>
    <w:rsid w:val="0004036C"/>
    <w:rsid w:val="00041F16"/>
    <w:rsid w:val="000A414B"/>
    <w:rsid w:val="000A6600"/>
    <w:rsid w:val="000B0BDA"/>
    <w:rsid w:val="000C4180"/>
    <w:rsid w:val="000E0941"/>
    <w:rsid w:val="000F1982"/>
    <w:rsid w:val="000F32E9"/>
    <w:rsid w:val="00100EB3"/>
    <w:rsid w:val="001163BA"/>
    <w:rsid w:val="00121398"/>
    <w:rsid w:val="00153D76"/>
    <w:rsid w:val="00155B2D"/>
    <w:rsid w:val="00156A1B"/>
    <w:rsid w:val="00156EEB"/>
    <w:rsid w:val="001A25A5"/>
    <w:rsid w:val="001A676F"/>
    <w:rsid w:val="001A6E86"/>
    <w:rsid w:val="001B4FCB"/>
    <w:rsid w:val="001C5668"/>
    <w:rsid w:val="001D0FFA"/>
    <w:rsid w:val="001D44AB"/>
    <w:rsid w:val="001D7CF0"/>
    <w:rsid w:val="001E21C0"/>
    <w:rsid w:val="001F6D16"/>
    <w:rsid w:val="00200727"/>
    <w:rsid w:val="00202772"/>
    <w:rsid w:val="00217C9B"/>
    <w:rsid w:val="00226D7F"/>
    <w:rsid w:val="0022749B"/>
    <w:rsid w:val="00234E61"/>
    <w:rsid w:val="002355E1"/>
    <w:rsid w:val="00236CBD"/>
    <w:rsid w:val="002600DC"/>
    <w:rsid w:val="00291D18"/>
    <w:rsid w:val="002A03D0"/>
    <w:rsid w:val="002A282B"/>
    <w:rsid w:val="002A4864"/>
    <w:rsid w:val="002B7D4F"/>
    <w:rsid w:val="002C514B"/>
    <w:rsid w:val="002C51D3"/>
    <w:rsid w:val="002F01E3"/>
    <w:rsid w:val="002F381F"/>
    <w:rsid w:val="00312B68"/>
    <w:rsid w:val="00316B30"/>
    <w:rsid w:val="003202F4"/>
    <w:rsid w:val="00331092"/>
    <w:rsid w:val="0034551D"/>
    <w:rsid w:val="00345ADF"/>
    <w:rsid w:val="00351C4E"/>
    <w:rsid w:val="00357C08"/>
    <w:rsid w:val="0037318F"/>
    <w:rsid w:val="0038318D"/>
    <w:rsid w:val="00387C29"/>
    <w:rsid w:val="00392FA9"/>
    <w:rsid w:val="00394568"/>
    <w:rsid w:val="003B394F"/>
    <w:rsid w:val="003D028A"/>
    <w:rsid w:val="003D2F5C"/>
    <w:rsid w:val="003E4B6F"/>
    <w:rsid w:val="003F3AB8"/>
    <w:rsid w:val="00444732"/>
    <w:rsid w:val="00446457"/>
    <w:rsid w:val="00457287"/>
    <w:rsid w:val="00460B9B"/>
    <w:rsid w:val="004844FC"/>
    <w:rsid w:val="004922D9"/>
    <w:rsid w:val="0049285C"/>
    <w:rsid w:val="004B471B"/>
    <w:rsid w:val="004B5C8B"/>
    <w:rsid w:val="004C761E"/>
    <w:rsid w:val="004D0EA0"/>
    <w:rsid w:val="004E0C1B"/>
    <w:rsid w:val="004E69A6"/>
    <w:rsid w:val="004F091A"/>
    <w:rsid w:val="004F52FF"/>
    <w:rsid w:val="0050464E"/>
    <w:rsid w:val="0050490A"/>
    <w:rsid w:val="005123F8"/>
    <w:rsid w:val="00536319"/>
    <w:rsid w:val="00543EF3"/>
    <w:rsid w:val="00547332"/>
    <w:rsid w:val="00573307"/>
    <w:rsid w:val="005736D0"/>
    <w:rsid w:val="00574591"/>
    <w:rsid w:val="005845D7"/>
    <w:rsid w:val="00590056"/>
    <w:rsid w:val="005913D2"/>
    <w:rsid w:val="005C065F"/>
    <w:rsid w:val="005D060A"/>
    <w:rsid w:val="005D5BD2"/>
    <w:rsid w:val="005D681D"/>
    <w:rsid w:val="005D76C1"/>
    <w:rsid w:val="005F26CF"/>
    <w:rsid w:val="005F369D"/>
    <w:rsid w:val="005F5C1A"/>
    <w:rsid w:val="00601148"/>
    <w:rsid w:val="00615089"/>
    <w:rsid w:val="00620E67"/>
    <w:rsid w:val="00623928"/>
    <w:rsid w:val="00635CB6"/>
    <w:rsid w:val="00641B1F"/>
    <w:rsid w:val="00641FA1"/>
    <w:rsid w:val="0064481B"/>
    <w:rsid w:val="006501C0"/>
    <w:rsid w:val="00652314"/>
    <w:rsid w:val="0065796F"/>
    <w:rsid w:val="00660430"/>
    <w:rsid w:val="0066631A"/>
    <w:rsid w:val="00667A68"/>
    <w:rsid w:val="006717EA"/>
    <w:rsid w:val="00671FD5"/>
    <w:rsid w:val="00676C0E"/>
    <w:rsid w:val="006876FF"/>
    <w:rsid w:val="006923A3"/>
    <w:rsid w:val="00696499"/>
    <w:rsid w:val="006B109E"/>
    <w:rsid w:val="006B355A"/>
    <w:rsid w:val="006B77E2"/>
    <w:rsid w:val="006B7F58"/>
    <w:rsid w:val="006D54E5"/>
    <w:rsid w:val="006D5C29"/>
    <w:rsid w:val="006D77D5"/>
    <w:rsid w:val="006E54D9"/>
    <w:rsid w:val="006F4279"/>
    <w:rsid w:val="0070034F"/>
    <w:rsid w:val="00712AC5"/>
    <w:rsid w:val="007216D6"/>
    <w:rsid w:val="00725C9C"/>
    <w:rsid w:val="00753488"/>
    <w:rsid w:val="007540FC"/>
    <w:rsid w:val="007610DB"/>
    <w:rsid w:val="00772F47"/>
    <w:rsid w:val="007918F3"/>
    <w:rsid w:val="007A2245"/>
    <w:rsid w:val="007D582A"/>
    <w:rsid w:val="007D72A3"/>
    <w:rsid w:val="007F21ED"/>
    <w:rsid w:val="007F5E77"/>
    <w:rsid w:val="008022A2"/>
    <w:rsid w:val="00810257"/>
    <w:rsid w:val="008136E6"/>
    <w:rsid w:val="00833F0F"/>
    <w:rsid w:val="00843155"/>
    <w:rsid w:val="00880BE5"/>
    <w:rsid w:val="00887420"/>
    <w:rsid w:val="008B0427"/>
    <w:rsid w:val="008C6E1E"/>
    <w:rsid w:val="008C7BC8"/>
    <w:rsid w:val="008D3577"/>
    <w:rsid w:val="00904E76"/>
    <w:rsid w:val="00931737"/>
    <w:rsid w:val="00937995"/>
    <w:rsid w:val="0096438D"/>
    <w:rsid w:val="00990BC5"/>
    <w:rsid w:val="009A586A"/>
    <w:rsid w:val="009B2E10"/>
    <w:rsid w:val="009C0114"/>
    <w:rsid w:val="009D1E03"/>
    <w:rsid w:val="009E245D"/>
    <w:rsid w:val="009E5ED3"/>
    <w:rsid w:val="009F20F4"/>
    <w:rsid w:val="00A012E2"/>
    <w:rsid w:val="00A56DC7"/>
    <w:rsid w:val="00A62058"/>
    <w:rsid w:val="00A7037E"/>
    <w:rsid w:val="00A70758"/>
    <w:rsid w:val="00A934E1"/>
    <w:rsid w:val="00AB58C1"/>
    <w:rsid w:val="00AC4886"/>
    <w:rsid w:val="00AF0BF3"/>
    <w:rsid w:val="00AF2FD1"/>
    <w:rsid w:val="00AF3FBA"/>
    <w:rsid w:val="00B461F5"/>
    <w:rsid w:val="00B52F8B"/>
    <w:rsid w:val="00B7749A"/>
    <w:rsid w:val="00B815C3"/>
    <w:rsid w:val="00B8598B"/>
    <w:rsid w:val="00B866F8"/>
    <w:rsid w:val="00B91B91"/>
    <w:rsid w:val="00B963B7"/>
    <w:rsid w:val="00BA0621"/>
    <w:rsid w:val="00BA3DB1"/>
    <w:rsid w:val="00BA4E60"/>
    <w:rsid w:val="00BB614A"/>
    <w:rsid w:val="00BC25BA"/>
    <w:rsid w:val="00BC26D5"/>
    <w:rsid w:val="00BC4F96"/>
    <w:rsid w:val="00BD3899"/>
    <w:rsid w:val="00BD6FA1"/>
    <w:rsid w:val="00BE32DB"/>
    <w:rsid w:val="00C00083"/>
    <w:rsid w:val="00C05B17"/>
    <w:rsid w:val="00C102BE"/>
    <w:rsid w:val="00C142B6"/>
    <w:rsid w:val="00C20D57"/>
    <w:rsid w:val="00C33B24"/>
    <w:rsid w:val="00C55D58"/>
    <w:rsid w:val="00C60865"/>
    <w:rsid w:val="00C73325"/>
    <w:rsid w:val="00C8024B"/>
    <w:rsid w:val="00C92829"/>
    <w:rsid w:val="00C92A79"/>
    <w:rsid w:val="00CA3C6C"/>
    <w:rsid w:val="00CC16D4"/>
    <w:rsid w:val="00CC54BF"/>
    <w:rsid w:val="00CE3E6B"/>
    <w:rsid w:val="00CE4235"/>
    <w:rsid w:val="00CF1F02"/>
    <w:rsid w:val="00CF2123"/>
    <w:rsid w:val="00CF664D"/>
    <w:rsid w:val="00CF6E54"/>
    <w:rsid w:val="00D018BD"/>
    <w:rsid w:val="00D01C77"/>
    <w:rsid w:val="00D0521F"/>
    <w:rsid w:val="00D17E66"/>
    <w:rsid w:val="00D21B8E"/>
    <w:rsid w:val="00D3423E"/>
    <w:rsid w:val="00D60B34"/>
    <w:rsid w:val="00D739E4"/>
    <w:rsid w:val="00DA32CC"/>
    <w:rsid w:val="00DB3762"/>
    <w:rsid w:val="00DD1118"/>
    <w:rsid w:val="00DD2889"/>
    <w:rsid w:val="00DD6BFA"/>
    <w:rsid w:val="00DE0ADC"/>
    <w:rsid w:val="00DE2C8E"/>
    <w:rsid w:val="00DE6434"/>
    <w:rsid w:val="00DE65A6"/>
    <w:rsid w:val="00DF288A"/>
    <w:rsid w:val="00DF3AFE"/>
    <w:rsid w:val="00E04E16"/>
    <w:rsid w:val="00E053F8"/>
    <w:rsid w:val="00E37A31"/>
    <w:rsid w:val="00E44D95"/>
    <w:rsid w:val="00E53F6D"/>
    <w:rsid w:val="00E545BF"/>
    <w:rsid w:val="00E7142E"/>
    <w:rsid w:val="00E812B9"/>
    <w:rsid w:val="00E83188"/>
    <w:rsid w:val="00E9324F"/>
    <w:rsid w:val="00E9613D"/>
    <w:rsid w:val="00EA1DAE"/>
    <w:rsid w:val="00EB5D45"/>
    <w:rsid w:val="00EB6C2B"/>
    <w:rsid w:val="00EB6F7A"/>
    <w:rsid w:val="00EC20A5"/>
    <w:rsid w:val="00ED24A9"/>
    <w:rsid w:val="00EE4D0C"/>
    <w:rsid w:val="00EE765A"/>
    <w:rsid w:val="00EF7BC5"/>
    <w:rsid w:val="00F04F51"/>
    <w:rsid w:val="00F22628"/>
    <w:rsid w:val="00F25777"/>
    <w:rsid w:val="00F2639C"/>
    <w:rsid w:val="00F2767A"/>
    <w:rsid w:val="00F43A3C"/>
    <w:rsid w:val="00F51B67"/>
    <w:rsid w:val="00F613CB"/>
    <w:rsid w:val="00F70DB4"/>
    <w:rsid w:val="00FA2720"/>
    <w:rsid w:val="00FA5919"/>
    <w:rsid w:val="00FA5A46"/>
    <w:rsid w:val="00FD46BE"/>
    <w:rsid w:val="00FE5A6C"/>
    <w:rsid w:val="00FE7DE2"/>
    <w:rsid w:val="00FF64F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5A6"/>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DE65A6"/>
    <w:pPr>
      <w:keepNext/>
      <w:spacing w:before="240" w:after="60"/>
      <w:jc w:val="left"/>
      <w:outlineLvl w:val="0"/>
    </w:pPr>
    <w:rPr>
      <w:rFonts w:ascii="Arial" w:hAnsi="Arial" w:cs="Arial"/>
      <w:b/>
      <w:bCs/>
      <w:kern w:val="32"/>
      <w:sz w:val="32"/>
      <w:szCs w:val="32"/>
    </w:rPr>
  </w:style>
  <w:style w:type="paragraph" w:styleId="Heading2">
    <w:name w:val="heading 2"/>
    <w:basedOn w:val="Normal"/>
    <w:next w:val="Normal"/>
    <w:link w:val="Nadpis2Char"/>
    <w:uiPriority w:val="99"/>
    <w:semiHidden/>
    <w:unhideWhenUsed/>
    <w:qFormat/>
    <w:rsid w:val="00DE65A6"/>
    <w:pPr>
      <w:keepNext/>
      <w:spacing w:before="240" w:after="60"/>
      <w:jc w:val="left"/>
      <w:outlineLvl w:val="1"/>
    </w:pPr>
    <w:rPr>
      <w:rFonts w:ascii="Arial" w:hAnsi="Arial" w:cs="Arial"/>
      <w:b/>
      <w:bCs/>
      <w:i/>
      <w:iCs/>
      <w:sz w:val="28"/>
      <w:szCs w:val="28"/>
    </w:rPr>
  </w:style>
  <w:style w:type="paragraph" w:styleId="Heading3">
    <w:name w:val="heading 3"/>
    <w:basedOn w:val="Normal"/>
    <w:next w:val="Normal"/>
    <w:link w:val="Nadpis3Char"/>
    <w:uiPriority w:val="9"/>
    <w:semiHidden/>
    <w:unhideWhenUsed/>
    <w:qFormat/>
    <w:rsid w:val="00725C9C"/>
    <w:pPr>
      <w:keepNext/>
      <w:keepLines/>
      <w:spacing w:before="200"/>
      <w:jc w:val="left"/>
      <w:outlineLvl w:val="2"/>
    </w:pPr>
    <w:rPr>
      <w:rFonts w:asciiTheme="majorHAnsi" w:eastAsiaTheme="majorEastAsia" w:hAnsiTheme="majorHAnsi"/>
      <w:b/>
      <w:bCs/>
      <w:color w:val="4F81BD" w:themeColor="accent1" w:themeShade="FF"/>
    </w:rPr>
  </w:style>
  <w:style w:type="paragraph" w:styleId="Heading5">
    <w:name w:val="heading 5"/>
    <w:basedOn w:val="Normal"/>
    <w:next w:val="Normal"/>
    <w:link w:val="Nadpis5Char"/>
    <w:uiPriority w:val="9"/>
    <w:semiHidden/>
    <w:unhideWhenUsed/>
    <w:qFormat/>
    <w:rsid w:val="007A2245"/>
    <w:pPr>
      <w:keepNext/>
      <w:keepLines/>
      <w:spacing w:before="200"/>
      <w:jc w:val="left"/>
      <w:outlineLvl w:val="4"/>
    </w:pPr>
    <w:rPr>
      <w:rFonts w:asciiTheme="majorHAnsi" w:eastAsiaTheme="majorEastAsia" w:hAnsiTheme="majorHAns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DE65A6"/>
    <w:rPr>
      <w:rFonts w:ascii="Arial" w:hAnsi="Arial" w:cs="Arial"/>
      <w:b/>
      <w:bCs/>
      <w:kern w:val="32"/>
      <w:sz w:val="32"/>
      <w:szCs w:val="32"/>
      <w:rtl w:val="0"/>
      <w:cs w:val="0"/>
      <w:lang w:val="x-none" w:eastAsia="sk-SK"/>
    </w:rPr>
  </w:style>
  <w:style w:type="character" w:customStyle="1" w:styleId="Nadpis2Char">
    <w:name w:val="Nadpis 2 Char"/>
    <w:basedOn w:val="DefaultParagraphFont"/>
    <w:link w:val="Heading2"/>
    <w:uiPriority w:val="99"/>
    <w:semiHidden/>
    <w:locked/>
    <w:rsid w:val="00DE65A6"/>
    <w:rPr>
      <w:rFonts w:ascii="Arial" w:hAnsi="Arial" w:cs="Arial"/>
      <w:b/>
      <w:bCs/>
      <w:i/>
      <w:iCs/>
      <w:sz w:val="28"/>
      <w:szCs w:val="28"/>
      <w:rtl w:val="0"/>
      <w:cs w:val="0"/>
      <w:lang w:val="x-none" w:eastAsia="sk-SK"/>
    </w:rPr>
  </w:style>
  <w:style w:type="character" w:customStyle="1" w:styleId="Nadpis3Char">
    <w:name w:val="Nadpis 3 Char"/>
    <w:basedOn w:val="DefaultParagraphFont"/>
    <w:link w:val="Heading3"/>
    <w:uiPriority w:val="9"/>
    <w:semiHidden/>
    <w:locked/>
    <w:rsid w:val="00725C9C"/>
    <w:rPr>
      <w:rFonts w:asciiTheme="majorHAnsi" w:eastAsiaTheme="majorEastAsia" w:hAnsiTheme="majorHAnsi" w:cs="Times New Roman"/>
      <w:b/>
      <w:bCs/>
      <w:color w:val="4F81BD" w:themeColor="accent1" w:themeShade="FF"/>
      <w:sz w:val="24"/>
      <w:szCs w:val="24"/>
      <w:rtl w:val="0"/>
      <w:cs w:val="0"/>
      <w:lang w:val="x-none" w:eastAsia="sk-SK"/>
    </w:rPr>
  </w:style>
  <w:style w:type="character" w:customStyle="1" w:styleId="Nadpis5Char">
    <w:name w:val="Nadpis 5 Char"/>
    <w:basedOn w:val="DefaultParagraphFont"/>
    <w:link w:val="Heading5"/>
    <w:uiPriority w:val="9"/>
    <w:semiHidden/>
    <w:locked/>
    <w:rsid w:val="007A2245"/>
    <w:rPr>
      <w:rFonts w:asciiTheme="majorHAnsi" w:eastAsiaTheme="majorEastAsia" w:hAnsiTheme="majorHAnsi" w:cs="Times New Roman"/>
      <w:color w:val="243F60" w:themeColor="accent1" w:themeShade="7F"/>
      <w:sz w:val="24"/>
      <w:szCs w:val="24"/>
      <w:rtl w:val="0"/>
      <w:cs w:val="0"/>
      <w:lang w:val="x-none" w:eastAsia="sk-SK"/>
    </w:rPr>
  </w:style>
  <w:style w:type="paragraph" w:styleId="BodyText">
    <w:name w:val="Body Text"/>
    <w:basedOn w:val="Normal"/>
    <w:link w:val="ZkladntextChar"/>
    <w:uiPriority w:val="99"/>
    <w:semiHidden/>
    <w:unhideWhenUsed/>
    <w:rsid w:val="00DE65A6"/>
    <w:pPr>
      <w:spacing w:after="120"/>
      <w:jc w:val="left"/>
    </w:pPr>
  </w:style>
  <w:style w:type="character" w:customStyle="1" w:styleId="ZkladntextChar">
    <w:name w:val="Základný text Char"/>
    <w:basedOn w:val="DefaultParagraphFont"/>
    <w:link w:val="BodyText"/>
    <w:uiPriority w:val="99"/>
    <w:semiHidden/>
    <w:locked/>
    <w:rsid w:val="00DE65A6"/>
    <w:rPr>
      <w:rFonts w:ascii="Times New Roman" w:hAnsi="Times New Roman" w:cs="Times New Roman"/>
      <w:sz w:val="24"/>
      <w:szCs w:val="24"/>
      <w:rtl w:val="0"/>
      <w:cs w:val="0"/>
      <w:lang w:val="x-none" w:eastAsia="sk-SK"/>
    </w:rPr>
  </w:style>
  <w:style w:type="paragraph" w:styleId="BalloonText">
    <w:name w:val="Balloon Text"/>
    <w:basedOn w:val="Normal"/>
    <w:link w:val="TextbublinyChar"/>
    <w:uiPriority w:val="99"/>
    <w:semiHidden/>
    <w:unhideWhenUsed/>
    <w:rsid w:val="000B0BD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0B0BDA"/>
    <w:rPr>
      <w:rFonts w:ascii="Tahoma" w:hAnsi="Tahoma" w:cs="Tahoma"/>
      <w:sz w:val="16"/>
      <w:szCs w:val="16"/>
      <w:rtl w:val="0"/>
      <w:cs w:val="0"/>
      <w:lang w:val="x-none" w:eastAsia="sk-SK"/>
    </w:rPr>
  </w:style>
  <w:style w:type="paragraph" w:styleId="Header">
    <w:name w:val="header"/>
    <w:basedOn w:val="Normal"/>
    <w:link w:val="HlavikaChar"/>
    <w:uiPriority w:val="99"/>
    <w:unhideWhenUsed/>
    <w:rsid w:val="00620E67"/>
    <w:pPr>
      <w:tabs>
        <w:tab w:val="center" w:pos="4536"/>
        <w:tab w:val="right" w:pos="9072"/>
      </w:tabs>
      <w:jc w:val="left"/>
    </w:pPr>
  </w:style>
  <w:style w:type="character" w:customStyle="1" w:styleId="HlavikaChar">
    <w:name w:val="Hlavička Char"/>
    <w:basedOn w:val="DefaultParagraphFont"/>
    <w:link w:val="Header"/>
    <w:uiPriority w:val="99"/>
    <w:locked/>
    <w:rsid w:val="00620E67"/>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620E67"/>
    <w:pPr>
      <w:tabs>
        <w:tab w:val="center" w:pos="4536"/>
        <w:tab w:val="right" w:pos="9072"/>
      </w:tabs>
      <w:jc w:val="left"/>
    </w:pPr>
  </w:style>
  <w:style w:type="character" w:customStyle="1" w:styleId="PtaChar">
    <w:name w:val="Päta Char"/>
    <w:basedOn w:val="DefaultParagraphFont"/>
    <w:link w:val="Footer"/>
    <w:uiPriority w:val="99"/>
    <w:locked/>
    <w:rsid w:val="00620E67"/>
    <w:rPr>
      <w:rFonts w:ascii="Times New Roman" w:hAnsi="Times New Roman" w:cs="Times New Roman"/>
      <w:sz w:val="24"/>
      <w:szCs w:val="24"/>
      <w:rtl w:val="0"/>
      <w:cs w:val="0"/>
      <w:lang w:val="x-none" w:eastAsia="sk-SK"/>
    </w:rPr>
  </w:style>
  <w:style w:type="paragraph" w:styleId="ListParagraph">
    <w:name w:val="List Paragraph"/>
    <w:aliases w:val="Bullet 1,Bullet Points,Dot pt,Indicator Text,LISTA,List Paragraph Char Char Char,List Paragraph à moi,List Paragraph1,Listaszerű bekezdés1,Listaszerű bekezdés2,Listaszerű bekezdés3,MAIN CONTENT,No Spacing1,Numbered Para 1,Odsek zoznamu4"/>
    <w:basedOn w:val="Normal"/>
    <w:link w:val="OdsekzoznamuChar"/>
    <w:uiPriority w:val="34"/>
    <w:qFormat/>
    <w:rsid w:val="00EB5D45"/>
    <w:pPr>
      <w:ind w:left="720"/>
      <w:contextualSpacing/>
      <w:jc w:val="left"/>
    </w:pPr>
    <w:rPr>
      <w:rFonts w:ascii="Arial" w:hAnsi="Arial" w:cs="Arial"/>
    </w:rPr>
  </w:style>
  <w:style w:type="paragraph" w:styleId="NoSpacing">
    <w:name w:val="No Spacing"/>
    <w:uiPriority w:val="1"/>
    <w:qFormat/>
    <w:rsid w:val="00652314"/>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paragraph" w:styleId="FootnoteText">
    <w:name w:val="footnote text"/>
    <w:basedOn w:val="Normal"/>
    <w:link w:val="TextpoznmkypodiarouChar"/>
    <w:uiPriority w:val="99"/>
    <w:rsid w:val="00D0521F"/>
    <w:pPr>
      <w:jc w:val="left"/>
    </w:pPr>
    <w:rPr>
      <w:sz w:val="20"/>
      <w:szCs w:val="20"/>
    </w:rPr>
  </w:style>
  <w:style w:type="character" w:customStyle="1" w:styleId="TextpoznmkypodiarouChar">
    <w:name w:val="Text poznámky pod čiarou Char"/>
    <w:basedOn w:val="DefaultParagraphFont"/>
    <w:link w:val="FootnoteText"/>
    <w:uiPriority w:val="99"/>
    <w:locked/>
    <w:rsid w:val="00D0521F"/>
    <w:rPr>
      <w:rFonts w:ascii="Times New Roman" w:hAnsi="Times New Roman" w:cs="Times New Roman"/>
      <w:sz w:val="20"/>
      <w:szCs w:val="20"/>
      <w:rtl w:val="0"/>
      <w:cs w:val="0"/>
      <w:lang w:val="x-none" w:eastAsia="sk-SK"/>
    </w:rPr>
  </w:style>
  <w:style w:type="character" w:styleId="FootnoteReference">
    <w:name w:val="footnote reference"/>
    <w:basedOn w:val="DefaultParagraphFont"/>
    <w:uiPriority w:val="99"/>
    <w:rsid w:val="00D0521F"/>
    <w:rPr>
      <w:rFonts w:cs="Times New Roman"/>
      <w:vertAlign w:val="superscript"/>
      <w:rtl w:val="0"/>
      <w:cs w:val="0"/>
    </w:rPr>
  </w:style>
  <w:style w:type="paragraph" w:customStyle="1" w:styleId="Default">
    <w:name w:val="Default"/>
    <w:uiPriority w:val="99"/>
    <w:rsid w:val="00EC20A5"/>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en-US" w:bidi="ar-SA"/>
    </w:rPr>
  </w:style>
  <w:style w:type="character" w:customStyle="1" w:styleId="OdsekzoznamuChar">
    <w:name w:val="Odsek zoznamu Char"/>
    <w:aliases w:val="Dot pt Char,Indicator Text Char,LISTA Char,List Paragraph Char Char Char Char,List Paragraph à moi Char,List Paragraph1 Char,Listaszerű bekezdés2 Char,Listaszerű bekezdés3 Char,No Spacing1 Char,Numbered Para 1 Char,Odsek zoznamu4 Char"/>
    <w:basedOn w:val="DefaultParagraphFont"/>
    <w:link w:val="ListParagraph"/>
    <w:uiPriority w:val="34"/>
    <w:qFormat/>
    <w:locked/>
    <w:rsid w:val="007918F3"/>
    <w:rPr>
      <w:rFonts w:ascii="Arial" w:hAnsi="Arial" w:cs="Arial"/>
      <w:sz w:val="24"/>
      <w:szCs w:val="24"/>
      <w:rtl w:val="0"/>
      <w:cs w:val="0"/>
      <w:lang w:val="x-none" w:eastAsia="sk-SK"/>
    </w:rPr>
  </w:style>
  <w:style w:type="paragraph" w:customStyle="1" w:styleId="Pa6">
    <w:name w:val="Pa6"/>
    <w:basedOn w:val="Default"/>
    <w:next w:val="Default"/>
    <w:uiPriority w:val="99"/>
    <w:rsid w:val="00573307"/>
    <w:pPr>
      <w:spacing w:line="241" w:lineRule="atLeast"/>
      <w:jc w:val="left"/>
    </w:pPr>
    <w:rPr>
      <w:rFonts w:ascii="Deva Ideal Book" w:hAnsi="Deva Ideal Book"/>
      <w:color w:val="auto"/>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DBEF2-33CB-4CD8-82DA-87B026E63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47</TotalTime>
  <Pages>6</Pages>
  <Words>2634</Words>
  <Characters>15014</Characters>
  <Application>Microsoft Office Word</Application>
  <DocSecurity>0</DocSecurity>
  <Lines>0</Lines>
  <Paragraphs>0</Paragraphs>
  <ScaleCrop>false</ScaleCrop>
  <Company>Kancelaria NR SR</Company>
  <LinksUpToDate>false</LinksUpToDate>
  <CharactersWithSpaces>17613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Korbeľová, Kristína, Bc.</dc:creator>
  <cp:lastModifiedBy>Uhnakova, Anna</cp:lastModifiedBy>
  <cp:revision>20</cp:revision>
  <cp:lastPrinted>2016-10-12T09:34:00Z</cp:lastPrinted>
  <dcterms:created xsi:type="dcterms:W3CDTF">2016-12-12T10:32:00Z</dcterms:created>
  <dcterms:modified xsi:type="dcterms:W3CDTF">2018-02-08T14:06:00Z</dcterms:modified>
</cp:coreProperties>
</file>