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14FB" w:rsidRPr="00B967AC" w:rsidP="00085834">
      <w:pPr>
        <w:tabs>
          <w:tab w:val="left" w:pos="567"/>
        </w:tabs>
      </w:pPr>
      <w:r w:rsidRPr="00B967AC">
        <w:tab/>
        <w:tab/>
        <w:tab/>
        <w:tab/>
        <w:tab/>
        <w:tab/>
        <w:tab/>
        <w:tab/>
        <w:tab/>
        <w:tab/>
      </w:r>
      <w:r w:rsidRPr="00B967AC" w:rsidR="00CC368D">
        <w:t>39</w:t>
      </w:r>
      <w:r w:rsidRPr="00B967AC" w:rsidR="009C331B">
        <w:t xml:space="preserve">. schôdza </w:t>
      </w:r>
      <w:r w:rsidRPr="00B967AC" w:rsidR="00B609E0">
        <w:t>výboru</w:t>
      </w:r>
    </w:p>
    <w:p w:rsidR="000C14FB" w:rsidRPr="00B967AC" w:rsidP="00085834">
      <w:pPr>
        <w:tabs>
          <w:tab w:val="left" w:pos="567"/>
        </w:tabs>
        <w:ind w:left="5664"/>
        <w:rPr>
          <w:b/>
        </w:rPr>
      </w:pPr>
      <w:r w:rsidRPr="00B967AC">
        <w:tab/>
        <w:t>CRD-</w:t>
      </w:r>
      <w:r w:rsidRPr="00B967AC" w:rsidR="00CC368D">
        <w:t>2133-</w:t>
      </w:r>
      <w:r w:rsidRPr="00B967AC" w:rsidR="00867D13">
        <w:t>4</w:t>
      </w:r>
      <w:r w:rsidRPr="00B967AC">
        <w:t xml:space="preserve">/2017-VEZ     </w:t>
      </w:r>
    </w:p>
    <w:p w:rsidR="000C0138" w:rsidRPr="00B967AC" w:rsidP="00AC2F2D">
      <w:pPr>
        <w:tabs>
          <w:tab w:val="left" w:pos="567"/>
        </w:tabs>
        <w:jc w:val="center"/>
        <w:rPr>
          <w:b/>
          <w:sz w:val="28"/>
          <w:szCs w:val="28"/>
          <w:highlight w:val="yellow"/>
        </w:rPr>
      </w:pPr>
    </w:p>
    <w:p w:rsidR="00AC2F2D" w:rsidRPr="00B967AC" w:rsidP="00AC2F2D">
      <w:pPr>
        <w:tabs>
          <w:tab w:val="left" w:pos="567"/>
        </w:tabs>
        <w:jc w:val="center"/>
        <w:rPr>
          <w:b/>
          <w:sz w:val="28"/>
          <w:szCs w:val="28"/>
        </w:rPr>
      </w:pPr>
      <w:r w:rsidRPr="00B967AC" w:rsidR="005E223E">
        <w:rPr>
          <w:b/>
          <w:sz w:val="28"/>
          <w:szCs w:val="28"/>
        </w:rPr>
        <w:t>106.</w:t>
      </w:r>
    </w:p>
    <w:p w:rsidR="00AC2F2D" w:rsidRPr="00B967AC" w:rsidP="00AC2F2D">
      <w:pPr>
        <w:tabs>
          <w:tab w:val="left" w:pos="567"/>
        </w:tabs>
        <w:jc w:val="center"/>
        <w:rPr>
          <w:b/>
          <w:i/>
        </w:rPr>
      </w:pPr>
    </w:p>
    <w:p w:rsidR="00AC2F2D" w:rsidRPr="00B967AC" w:rsidP="00AC2F2D">
      <w:pPr>
        <w:tabs>
          <w:tab w:val="left" w:pos="567"/>
        </w:tabs>
        <w:jc w:val="center"/>
        <w:rPr>
          <w:b/>
        </w:rPr>
      </w:pPr>
      <w:r w:rsidRPr="00B967AC">
        <w:rPr>
          <w:b/>
        </w:rPr>
        <w:t>U z n e s e n i e</w:t>
      </w:r>
    </w:p>
    <w:p w:rsidR="00AC2F2D" w:rsidRPr="00B967AC" w:rsidP="00AC2F2D">
      <w:pPr>
        <w:tabs>
          <w:tab w:val="left" w:pos="567"/>
        </w:tabs>
        <w:jc w:val="center"/>
        <w:rPr>
          <w:b/>
        </w:rPr>
      </w:pPr>
      <w:r w:rsidRPr="00B967AC">
        <w:rPr>
          <w:b/>
        </w:rPr>
        <w:t xml:space="preserve">Výboru Národnej rady Slovenskej republiky pre </w:t>
      </w:r>
      <w:r w:rsidRPr="00B967AC" w:rsidR="00D6125A">
        <w:rPr>
          <w:b/>
        </w:rPr>
        <w:t>európske</w:t>
      </w:r>
      <w:r w:rsidRPr="00B967AC">
        <w:rPr>
          <w:b/>
        </w:rPr>
        <w:t xml:space="preserve"> záležitosti</w:t>
      </w:r>
    </w:p>
    <w:p w:rsidR="00AC2F2D" w:rsidRPr="00B967AC" w:rsidP="00AC2F2D">
      <w:pPr>
        <w:tabs>
          <w:tab w:val="left" w:pos="567"/>
        </w:tabs>
        <w:jc w:val="center"/>
      </w:pPr>
      <w:r w:rsidRPr="00B967AC" w:rsidR="00CC368D">
        <w:t xml:space="preserve">zo 6. decembra </w:t>
      </w:r>
      <w:r w:rsidRPr="00B967AC">
        <w:t>2017</w:t>
      </w:r>
    </w:p>
    <w:p w:rsidR="00AC2F2D" w:rsidRPr="00B967AC" w:rsidP="00AC2F2D">
      <w:pPr>
        <w:tabs>
          <w:tab w:val="left" w:pos="567"/>
        </w:tabs>
        <w:jc w:val="center"/>
      </w:pPr>
      <w:r w:rsidRPr="00B967AC">
        <w:t>k</w:t>
      </w:r>
    </w:p>
    <w:p w:rsidR="00AC2F2D" w:rsidRPr="00B967AC" w:rsidP="00DB3171">
      <w:pPr>
        <w:tabs>
          <w:tab w:val="left" w:pos="567"/>
        </w:tabs>
        <w:jc w:val="both"/>
      </w:pPr>
      <w:r w:rsidRPr="00B967AC">
        <w:t>informácii o nových návrhoch právnych aktov EÚ a o predbežných stanoviskách predloženýc</w:t>
      </w:r>
      <w:r w:rsidRPr="00B967AC">
        <w:t>h v súlade s § 58a. ods. 8 rokovacieho poriadku Národnej rady Slovenskej republiky</w:t>
      </w:r>
    </w:p>
    <w:p w:rsidR="00AC2F2D" w:rsidRPr="00B967AC" w:rsidP="00AC2F2D">
      <w:pPr>
        <w:pStyle w:val="Heading2"/>
        <w:tabs>
          <w:tab w:val="left" w:pos="567"/>
        </w:tabs>
        <w:spacing w:before="0" w:after="0" w:line="240" w:lineRule="auto"/>
        <w:ind w:left="0" w:firstLine="708"/>
        <w:rPr>
          <w:rFonts w:ascii="Times New Roman" w:hAnsi="Times New Roman" w:cs="Times New Roman"/>
          <w:i w:val="0"/>
          <w:sz w:val="24"/>
          <w:szCs w:val="24"/>
        </w:rPr>
      </w:pPr>
    </w:p>
    <w:p w:rsidR="00AC2F2D" w:rsidRPr="00B967AC" w:rsidP="00AC2F2D">
      <w:pPr>
        <w:pStyle w:val="Heading2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967AC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</w:t>
      </w:r>
      <w:r w:rsidRPr="00B967AC" w:rsidR="00D6125A">
        <w:rPr>
          <w:rFonts w:ascii="Times New Roman" w:hAnsi="Times New Roman" w:cs="Times New Roman"/>
          <w:i w:val="0"/>
          <w:sz w:val="24"/>
          <w:szCs w:val="24"/>
        </w:rPr>
        <w:t>republiky</w:t>
      </w:r>
      <w:r w:rsidRPr="00B967AC">
        <w:rPr>
          <w:rFonts w:ascii="Times New Roman" w:hAnsi="Times New Roman" w:cs="Times New Roman"/>
          <w:i w:val="0"/>
          <w:sz w:val="24"/>
          <w:szCs w:val="24"/>
        </w:rPr>
        <w:t xml:space="preserve"> pre </w:t>
      </w:r>
      <w:r w:rsidRPr="00B967AC" w:rsidR="00D6125A">
        <w:rPr>
          <w:rFonts w:ascii="Times New Roman" w:hAnsi="Times New Roman" w:cs="Times New Roman"/>
          <w:i w:val="0"/>
          <w:sz w:val="24"/>
          <w:szCs w:val="24"/>
        </w:rPr>
        <w:t>európske</w:t>
      </w:r>
      <w:r w:rsidRPr="00B967AC">
        <w:rPr>
          <w:rFonts w:ascii="Times New Roman" w:hAnsi="Times New Roman" w:cs="Times New Roman"/>
          <w:i w:val="0"/>
          <w:sz w:val="24"/>
          <w:szCs w:val="24"/>
        </w:rPr>
        <w:t xml:space="preserve"> záležitosti</w:t>
      </w:r>
    </w:p>
    <w:p w:rsidR="00AC2F2D" w:rsidRPr="00B967AC" w:rsidP="00AC2F2D">
      <w:pPr>
        <w:rPr>
          <w:b/>
        </w:rPr>
      </w:pPr>
    </w:p>
    <w:p w:rsidR="000C14FB" w:rsidRPr="00B967AC" w:rsidP="00085834">
      <w:pPr>
        <w:numPr>
          <w:ilvl w:val="0"/>
          <w:numId w:val="34"/>
        </w:numPr>
        <w:jc w:val="both"/>
        <w:rPr>
          <w:b/>
        </w:rPr>
      </w:pPr>
      <w:r w:rsidRPr="00B967AC" w:rsidR="00AC2F2D">
        <w:rPr>
          <w:b/>
        </w:rPr>
        <w:t>berie na vedomie</w:t>
      </w:r>
    </w:p>
    <w:p w:rsidR="00AC6108" w:rsidRPr="00B967AC" w:rsidP="00AC6108">
      <w:pPr>
        <w:pStyle w:val="ListParagraph"/>
        <w:autoSpaceDN w:val="0"/>
        <w:spacing w:after="0" w:line="254" w:lineRule="auto"/>
        <w:ind w:left="0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</w:p>
    <w:p w:rsidR="00AC6108" w:rsidRPr="00B967AC" w:rsidP="00AC6108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B967AC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nariadenia Európskeho parlamentu a Rady o Agentúre EÚ pre kybernetickú bezpečnosť (ENISA), o zrušení nariadenia (EÚ) č. 526/2013 a o certifikácii kybernetickej bezpečnosti informačných a komunikačných technológií („akt o kybernetickej bezpečnosti“), </w:t>
      </w:r>
      <w:r w:rsidRPr="00B967AC">
        <w:rPr>
          <w:rFonts w:ascii="Times New Roman" w:hAnsi="Times New Roman"/>
          <w:b/>
          <w:color w:val="000000"/>
          <w:sz w:val="24"/>
          <w:szCs w:val="24"/>
          <w:lang w:val="sk-SK"/>
        </w:rPr>
        <w:t>KOM (2017) 477 a 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Európskeho parlamentu a Rady o mobilizácii Európskeho fondu na prispôsobenie sa globalizácii na základe žiadosti Talianska – EGF/2017/004 IT/Almaviva,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496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 Rade o finančných nástrojoch podporovaných zo všeobecného rozpočtu podľa článku 140 ods. 8 nariadenia o finančných pravidlách k 31. decembru 2016,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535;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nariadenia Európskeho parlamentu a Rady, ktorým sa mení nariadenie (EÚ) č. 1093/2010, ktorým sa zriaďuje Európsky orgán dohľadu (Európsky orgán pre bankovníctvo); nariadenie (EÚ) č. 1094/2010, ktorým sa zriaďuje Európsky orgán dohľadu (Európsky orgán pre poisťovníctvo a dôchodkové poistenie zamestnancov); nariadenie (EÚ) č. 1095/2010, ktorým sa zriaďuje Európsky orgán dohľadu (Európsky orgán pre cenné papiere a trhy); nariadenie (EÚ) č. 345/2013 o európskych fondoch rizikového kapitálu; nariadenie (EÚ) č. 346/2013 o európskych fondoch sociálneho podnikania; nariadenie (EÚ) č. 600/2014 o trhoch s finančnými nástrojmi; nariadenie (EÚ) 2015/760 o európskych dlhodobých investičných fondoch; nariadenie (EÚ) 2016/1011 o indexoch používaných ako referenčné hodnoty vo finančných nástrojoch a finančných zmluvách alebo na meranie výkonnosti investičných fondov; a nariadenie (EÚ) 2017/1129 o prospekte, ktorý sa má uverejniť pri verejnej ponuke cenných papierov alebo ich prijatí na obchodovanie na regulovanom trhu,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536;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smernice Európskeho parlamentu a Rady, ktorou sa mení smernica 2014/65/EÚ o trhoch s finančnými nástrojmi a smernica 2009/138/ES o začatí a vykonávaní poistenia a zaistenia (Solventnosť II),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537;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>Návrh nariadenia Európskeho parlamentu a Rady, ktorým sa mení nariadenie (EÚ) č. 1092/2010 o makroprudenciálnom dohľade Európskej únie nad finančným systémom a o zriadení Európ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skeho výboru pre systémové riziká,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538;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Zmenu prerokúvaného návrhu nariadenia, ktorým sa mení nariadenie (EÚ) č. 1095/2010, ktorým sa zriaďuje Európsky orgán dohľadu (Európsky orgán pre cenné papiere a trhy) a ktorým sa mení nariadenie (EÚ) č. 648/2012, pokiaľ ide o postupy udeľovania povolení a orgány zúčastňujúce sa na udeľovaní povolení centrálnym protistranám a požiadavky na uznanie centrálnej protistrany z tretej krajiny (návrh Komisie EMIR II),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539;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Oznámenie Komisie Európskemu parlamentu, Rade, Európskej centrálnej banke, Európskemu hospodárskemu a sociálnemu výboru a výboru regiónov - Posilnenie integrovaného dohľadu s cieľom posilniť úniu kapitálových trhov a finančnú integráciu v meniacom sa prostredí,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542;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>Návrh vykonávacieho rozhodnutia Rady, ktorým sa mení vykonávacie rozhodnutie 2012/232/EÚ, ktorým sa Rumunsku udeľuje povolenie uplatňovať opatrenia odchylné od článku 26 ods. 1 písm. a) a článku 168 smernice 2006/112/ES o spoločnom systéme dane z pridanej hodnoty,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543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nariadenia Európskeho parlamentu a Rady o štatistike prepravy tovaru po vnútrozemských vodných cestách (kodifikované znenie),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545;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>Správu Komisie Európskemu parlamentu a Rade - Hodnotenie nariadenia Európskeho parlamentu a Rady (EÚ) č. 652/2014, ktorým sa stanovuje hospodárenie s výdavkami týkajúcimi sa potravinového reťazca, zdravia a dobrých životných podmienok zvierat, ako aj zdravia rastlín a rastlinného rozmnožovacieho materiálu a ktorým sa menia smernice Rady 98/56/ES, 2000/29/ES a 2008/90/ES, nariadenia Európskeho parlamentu a Rady (ES) č. 178/2002, (ES) č. 882/2004 a (ES) č. 396/2005, smernica Európskeho parlamentu a Rady 2009/128/ES a nariadenie Európskeho parlamentu a Rady (ES) č. 1107/2009 a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 zrušujú rozhodnutia Rady 66/399/EHS, 76/894/EHS a 2009/470/ES, v polovici trvania,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546;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Oznámenie Komisie Európskemu parlamentu a Rade Spravodlivý a efektívny daňový systém v EÚ pre digitálny jednotný trh,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547;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nariadenia Európskeho parlamentu a Rady o právach a povinnostiach cestujúcich v železničnej preprave (prepracované znenie),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548;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 Rade - Desiatu finančnú správu Komisie Európskemu parlamentu a Rade o Európskom poľnohospodárskom fonde pre rozvoj vidieka (EPFRV) rozpočtový rok 2016,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554;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>Oznámenie Komisie Európskemu parlamentu, Rade, Európskemu hospodárskemu a sociálnemu výboru a Výboru regiónov - Boj proti nezákonnému obsahu na internete Zvyšovanie zodpovednosti on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line platforiem,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555;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Rady, ktorým sa vypovedá Dohoda o partnerstve v sektore rybolovu medzi Európskym spoločenstvom a Komorským zväzom prijatá nariadením Rady (ES) č. 1563/2006 z 5. októbra 2006,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556 a predbežné sta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Odporúčanie rozhodnutia Rady, ktorým sa Európska komisia poveruje rokovať so štátmi CARIFORUM-u o dohode na ochranu zemepisných označení na základe článku 145 dohody o hospodárskom partnerstve medzi štátmi CARIFORUM-u a EÚ,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557;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Oznámenie Komisie Európskemu parlamentu, Rade, Európskemu hospodárskemu a sociálnemu výboru a Výboru regiónov o realizácii európskej migračnej agendy,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558;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>Návrh rozhodnutia Európskeho parlamentu a Rady o poskytnutí ďalšej makrofinančnej pomoci Gruzíns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ku,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559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Oznámenie Komisie Európskemu parlamentu podľa článku 294 ods. 6 Zmluvy o fungovaní Európskej únie o pozícii Rady k prijatiu smernice Európskeho parlamentu a Rady, ktorou sa mení rámcové rozhodnutie Rady 2004/757/SVV s cieľom zahrnúť nové psychoaktívne látky do vymedzenia pojmu „droga“ a ktorou sa zrušuje rozhodnutie Rady 2005/387/SVV,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560;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vykonávacieho rozhodnutia Rady, ktorým sa Holandskému kráľovstvu povoľuje uplatňovať osobitné opatrenie odchyľujúce sa od článku 193 smernice 2006/112/ES o spoločnom systéme dane z pridanej hodnoty,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561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odporúčania Rady týkajúci sa európskeho rámca pre kvalitnú a účinnú učňovskú prípravu,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563;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pozícii, ktorá sa má v mene Európskej únie prijať na zasadnutí Výboru pre pridruženie v zložení pre otázky obchodu zriadenom Dohodou o pridružení medzi Európskou úniou a Európskym spoločenstvom pre atómovú energiu a ich členskými štátmi na jednej strane a Moldavskou republikou na strane druhej, pokiaľ ide o komplexný plán, ktorý predložila Moldavská republika v súvislosti s vykonávaním dohody v oblasti verejného obstarávania,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564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nariadenia Európskeho parlamentu a Rady, ktorým sa mení nariadenie EÚ č. 1303/2013, pokiaľ ide o zmeny zdrojov na hospodársku, sociálnu a územnú súdržnosť a zdrojov na cieľ Investovanie do rastu a zamestnanosti a na cieľ Európska územná spolupráca,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565;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Oznámenie Komisie Európskemu parlamentu, Rade a Európskemu hospodárskemu  a sociálnemu výboru o opatreniach nadväzujúcich na akčný plán v oblasti DPH - K jednotnému priestoru EÚ v oblasti DPH – čas konať,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566;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nariadenia Rady, ktorým sa mení nariadenie (EÚ) č. 904/2010, pokiaľ ide o certifikovanú zdaniteľnú osobu,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567;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vykonávacieho nariadenia Rady, ktorým sa mení vykonávacie nariadenie (EÚ) č. 282/2011, pokiaľ ide o určité oslobodenie od dane pri transakciách v rámci Spoločenstva,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8;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 w:rsidR="00CC368D">
        <w:rPr>
          <w:rFonts w:ascii="Times New Roman" w:hAnsi="Times New Roman"/>
          <w:sz w:val="24"/>
          <w:szCs w:val="24"/>
          <w:lang w:val="sk-SK"/>
        </w:rPr>
        <w:t>Návrh s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mernice Rady, ktorou sa mení smernica 2006/112/ES, pokiaľ ide o harmonizáciu a zjednodušenie určitých pravidiel v systéme dane z pridanej hodnoty, a ktorou sa zavádza konečný systém zdaňovania obchodu medzi členskými štátmi,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569;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Oznámenie Komisie Európskemu parlamentu a Rade o ochrane a posilňovaní schengenského priestoru,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570;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>Návrh nariadenia Európskeho parlamentu a Rady, ktorým sa mení nariadenie (EÚ) 2016/399, pokiaľ ide o pravidlá vzťahujúce sa na dočasné obnovenie kont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roly vnútorných hraníc,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571;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Oznámenie Komisie Európskemu parlamentu, Rade, Európskemu hospodárskemu a sociálnemu výboru a Výboru regiónov za fungujúce a prínosné verejné obstarávanie v Európe,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572;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>Oznámenie Komisie Európskemu parlam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entu, Rade, Európskemu hospodárskemu a sociálnemu výboru a Výboru regiónov - Napomáhanie investovaniu prostredníctvom dobrovoľného ex ante posúdenia aspektov týkajúcich sa verejného obstarávania v súvislosti s veľkými projektmi v oblasti infraštruktúry,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M (2017) 573;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>Návrh rozhodnutia Rady o pozícii, ktorá sa má prijať v mene Európskej únie v Podvýbore pre clá zriadenom Dohodou o pridružení medzi Európskou úniou a Európskym spoločenstvom pre atómovú energiu a ich členskými štátmi na jednej strane a Gruzínskom na strane druhej, pokiaľ ide o nahradenie protokolu I k uvedenej dohode týkajúceho sa vymedzenia pojmu „výrobky s pôvodom“ a metód administratívnej spolupráce novým protokolom, ktorý odkazuje na Regionálny dohovor o paneuro-stredomorských preferenčnýc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h pravidlách pôvodu,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574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pozícii, ktorá sa má prijať v mene Európskej únie v Spoločnom výbore EHP k zmene Protokolu 31 k Dohode o EHP (Prípravná akcia Únie týkajúca sa výskumu v oblasti obrany),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582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pozícii, ktorá sa má prijať v mene Európskej únie vo Výbore pre obchod v súvislosti so zmenou prílohy XII k Dohode o obchode medzi Európskou úniou a jej členskými štátmi na jednej strane a Kolumbiou a Peru na strane druhej, v ktorej sa stanovuje zoznam kolumbijských obstarávateľských subjektov v súlade s ustanoveniami hlavy VI („Verejné obstarávanie“),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 xml:space="preserve">KOM (2017) 584 a predbežné stanovisko; 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 Rade - Tretia výročná správa o vykonávaní dohody o obchode medzi EÚ a Kolumbiou,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585;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parlamentu, Rade, Európskemu hospodárskemu a sociálnemu výboru a Výboru regiónov - Hodnotenie v polovici trvania v súvislosti s tretím programom v oblasti zdravia na roky 2014 – 2020 v rámci nariadenia (EÚ) č. 282/2014 o ustanovení tretieho akčného programu pre Úniu v oblasti zdravia (2014 – 2020),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586;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 Rade o národných akčných plánoch členských štátov a o pokroku vo vykonávaní smernice 2009/128/ES o udržateľnom používaní pesticídov,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587;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 Rade - Hodnotenie nariadenia Európskeho parlamentu a Rady (EÚ, EURATOM) č. 883/2013 z 11. septembra 2013 o vyšetrovaniach vykonávaných Európskym úradom pre boj proti podvodom (OLAF), ktorým sa zrušuje nariadenie Európskeho parlamentu a Rady (ES) č. 1073/1999 a nariadenie Rady (Euratom) č. 1074/1999,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589;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 Rade o posúdení európskej normy pre elektronickú fakturáciu podľa smernice 2014/55/EÚ,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590;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 Rade o jednotnom mechanizme dohľadu zriadenom v súlade s nariadením (EÚ) č. 1024/2013,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591;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pozícii, ktorá sa má prijať v mene Európskej únie v rámci zmiešaného výboru zriadeného Dohovorom o zjednodušení formalít pri preprave tovaru z 20. mája 1987, pokiaľ ide o návrhy zmien tohto dohovoru,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593;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>Správu Komisie o činnosti výbo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rov počas roka 2016,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594;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uzavretí dohody vo forme výmeny listov medzi Európskou úniou a Nórskym kráľovstvom, ktorá sa týka dodatočných obchodných preferencií pri poľnohospodárskych výrobkoch,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595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podpísaní dohody v mene Európskej únie, ktorá má formu výmeny listov medzi Európskou úniou a Nórskym kráľovstvom a ktorá sa týka dodatočných obchodných preferencií pri poľnohospodárskych výrobkoch,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596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Rade a Európskemu parlamentu - Tridsiata piata výročná správa Komisie Rade a Európskemu parlamentu o antidumpingových, antisubvenčných a ochranných opatreniach EÚ (2016),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598;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 finančných príspevkoch, ktoré majú členské štáty uhradiť na financovanie Európskeho rozvojového fondu, vrátane tretej splátky na rok 2017,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599;</w:t>
      </w:r>
    </w:p>
    <w:p w:rsidR="00CC368D" w:rsidRPr="00B967AC" w:rsidP="00CC368D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pozícii, ktorá sa má prijať v mene Európskej únie v príslušných výboroch Európskej hospodárskej komisie Organizácie Spojených národov, pokiaľ ide o návrhy na zmeny predpisov OSN č. 12, 14, 16, 17, 43, 44, 46, 48, 49, 110, 121, 129 a 134, globálnych technických predpisov OSN č. 6 a 15, rokovacieho poriadku fóra WP.29 a všeobecných usmernení týkajúcich sa postupov OSN pri tvorbe predpisov a prechodných ustanovení v predpisoch OSN a pokiaľ ide o návrhy na tri nové predpisy OSN, jeden nový globálny technický predpis OSN a návrh novej spoločnej rezolúcie,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602 a predbežné stanovisko;</w:t>
      </w:r>
    </w:p>
    <w:p w:rsidR="008C2EF9" w:rsidRPr="00B967AC" w:rsidP="008C2EF9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Rady, ktorým sa určuje pozícia, ktorá sa má v mene Európskej únie zaujať na dvadsiatom riadnom zasadnutí zmluvných strán Barcelonského dohovoru o ochrane životného prostredia a pobrežných oblastí Stredozemného mora vo vzťahu k návrhu na zmenu prílohy II k Protokolu o osobitne chránených oblastiach a biologickej rozmanitosti v Stredomorí,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603 a predbežné stanovisko;</w:t>
      </w:r>
    </w:p>
    <w:p w:rsidR="004A2583" w:rsidRPr="00B967AC" w:rsidP="00CC368D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 Rade podľa článku 29 ods. 3 nariadenia (EÚ) 2015/2365 z 25. novembra 2015 o transparentnosti transakcií financovania prostredníctvom cenných papierov a opätovného použitia a o zmene nariadenia (EÚ) č. 648/2012,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604;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uzavretí v mene Európskej únie Dohovoru Rady Európy o predchádzaní terorizmu (CETS č. 196,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606 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uzavretí v mene Európskej únie Dodatkového protokolu k Dohovoru Rady Európy o predchádzaní terorizmu (CETS č. 217),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607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pozícii, ktorá sa má prijať v mene Európskej únie v spoločnom výbore zriadenom Dohovorom o spoločnom tranzitnom režime z 20. mája 1987, pokiaľ ide o návrh zmien uvedeného dohovoru,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609;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 Rade o prvom každoročnom preskúmaní fungovania štítu na ochranu osobných údajov medzi EÚ a USA,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611;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Oznámenie Komisie Európskemu parlamentu, Rade, Európskemu hospodárskemu a sociálnemu výboru a Výboru regiónov - Akčný plán na podporu ochrany verejných priestorov,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612;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Európskeho parlamentu a Rady o mobilizácii Európskeho fondu na prispôsobenie sa globalizácii na základe žiadosti Grécka – EGF/2017/003 GR/Attica retail,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613 a predbežné stanovisko;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 Rade - Výročná správa o vykonávaní dohody o voľnom obchode medzi Európskou úniou a Kórejskou republikou,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614;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Opravný list Č. 1 k návrhu rozpočtu na rok 2018 - Aktualizácia odhadovaných potrieb týkajúcich sa poľnohospodárskych výdavkov a iné úpravy (rezerva pre Fond solidarity Európskej únie, agentúry a administratívne výdavky),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615;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 Rade o vykonávaní programov Galileo a EGNOS a o činnosti Agentúry pre európsky GNSS,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616;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parlamentu, Rade, Európskemu hospodárskemu a sociálnemu výboru a Výboru regiónov - Hodnotenie programu Copernicus v polovici trvania (2014 – 2020),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617;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Európskeho parlamentu a Rady o mobilizácii Európskeho fondu na prispôsobenie sa globalizácii v nadväznosti na žiadosť Fínska – EGF/2017/005 FI/Retail,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618 a predbežné stanovisko;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nariadenia Rady, ktorým sa stanovujú produkčné odvody a koeficient potrebný na výpočet dodatočného odvodu v sektore cukru za hospodársky rok 1999/2000 a ktorým sa stanovujú produkčné odvody v sektore cukru za hospodársky rok 2000/2001,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619 a predbežné stanovisko;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>Návrh rozhodnutia Rady o podpise v mene Únie a predbežnom vykonávaní zmeny 1 memoranda o spolupráci NAT-I-9406 medzi Spojenými štátmi americkými a Európskou úniou,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 xml:space="preserve"> KOM (2017) 620 a predbežné stanovisko;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uzavretí v mene Európskej únie Dohody medzi Európskou úniou a Nórskym kráľovstvom o administratívnej spolupráci, boji proti podvodom a vymáhaní pohľadávok v oblasti dane z pridanej hodnoty,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621;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Oznámenie Komisie Rade - Európsky rozvojový fond (ERF): prognózy záväzkov, platieb a príspevkov členských štátov na roky 2017, 2018, 2019 a nezáväzná predpoveď na roky 2020 – 2021,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622;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Oznámenie Komisie Európskemu parlamentu, Rade, Európskemu hospodárskemu a sociálnemu výboru, Výboru regiónov a Európskej investičnej banke - Silnejšie a obnovené strategické partnerstvo s najvzdialenejšími regiónmi EÚ,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623;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 podpise v mene Európskej únie Dohody medzi Európskou úniou a Nórskym kráľovstvom o administratívnej spolupráci, boji proti podvodom a vymáhaní pohľadávok v oblasti dane z pridanej hodnoty,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624;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 rozhodnutia Rady o finančných príspevkoch, ktoré majú členské štáty uhradiť na financovanie Európskeho rozvojového fondu, vrátane stropu na rok 2019, ročnej sumy na rok 2018 a prvej splátky na rok 2018 a orientačnej a nezáväznej predpovede očakávaných ročných súm na roky 2020 a 2021,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625 a predbežné stanovisko;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 Rade - Situácia v oblasti liekov na pediatrické použitie v EÚ – Desať rokov uplatňovania nariadenia EÚ o liekoch na pediatrické použitie,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626;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rozhodnutia Rady o pozícii, ktorá sa má zaujať v mene Európskej únie na tridsiatom siedmom zasadnutí Stáleho výboru pre Dohovor o ochrane európskych voľne žijúcich organizmov a prírodných stanovíšť, so zreteľom na zmenu jeho prílohy II, </w:t>
      </w:r>
      <w:r w:rsidRPr="00B967AC">
        <w:rPr>
          <w:rFonts w:ascii="Times New Roman" w:hAnsi="Times New Roman"/>
          <w:b/>
          <w:color w:val="000000"/>
          <w:sz w:val="24"/>
          <w:szCs w:val="24"/>
          <w:lang w:val="sk-SK"/>
        </w:rPr>
        <w:t>KOM (2017) 628 a predbežné stanovisko;</w:t>
      </w:r>
    </w:p>
    <w:p w:rsidR="004A2583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Správu Komisie Európskemu parlamentu a Rade o predpisoch prijatých menovacím orgánom každej inštitúcie na účely vykonávania služobného poriadku,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632;</w:t>
      </w:r>
    </w:p>
    <w:p w:rsidR="00B967AC" w:rsidRPr="00B967AC" w:rsidP="00B967AC">
      <w:pPr>
        <w:pStyle w:val="ListParagraph"/>
        <w:numPr>
          <w:ilvl w:val="0"/>
          <w:numId w:val="4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Oznámenie Komisie Európskemu parlamentu podľa článku 294 ods. 6 Zmluvy o fungovaní Európskej únie o pozícii Rady k prijatiu nariadenia Európskeho parlamentu a Rady o udržateľnom riadení vonkajších rybárskych flotíl, ktorým sa zrušuje nariadenie Rady (ES) č. 1006/2008,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633;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Zmenený návrh smernice Európskeho parlamentu a Rady o určitých aspektoch týkajúcich sa zmlúv o </w:t>
      </w:r>
      <w:r w:rsidRPr="00B967AC">
        <w:rPr>
          <w:rFonts w:ascii="Times New Roman" w:hAnsi="Times New Roman"/>
          <w:strike/>
          <w:sz w:val="24"/>
          <w:szCs w:val="24"/>
          <w:lang w:val="sk-SK"/>
        </w:rPr>
        <w:t>online a iných predajoch tovaru na diaľku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 predaji tovaru, ktorou sa mení nariadenie Európskeho parlamentu a Rady (ES) č. 2006/2004 a smernica Európskeho parlamentu a Rady 2009/22/ES a zrušuje smernica Európskeho parlamentu a Rady 1999/44/ES,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637;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Odporúčanie Komisie k profesionalizácii verejného obstarávania - Budovanie architektúry profesionalizácie verejného obstarávania,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C (2017) 6654;</w:t>
      </w:r>
    </w:p>
    <w:p w:rsidR="004A2583" w:rsidRPr="00B967AC" w:rsidP="004A2583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Stanovisko Komisie k odporúčaniu Európskej centrálnej banky prijať rozhodnutie Európskeho parlamentu a Rady, ktorým sa mení článok 22 Štatútu Európskeho systému centrálnych bánk a Európskej centrálnej banky,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C (2017) 6810;</w:t>
      </w:r>
    </w:p>
    <w:p w:rsidR="004A2583" w:rsidRPr="00B967AC" w:rsidP="00671DC7">
      <w:pPr>
        <w:pStyle w:val="ListParagraph"/>
        <w:numPr>
          <w:ilvl w:val="0"/>
          <w:numId w:val="43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Korigendum k delegovanému nariadeniu Komisie (EÚ) 2016/341 zo 17. decembra 2015, ktorým sa dopĺňa nariadenie Európskeho parlamentu a Rady (EÚ) č. 952/2013, pokiaľ ide o prechodné pravidlá pre určité ustanovenia Colného kódexu Únie, keď príslušné elektronické systémy ešte nie sú funkčné, a ktorým sa mení delegované nariadenie (EÚ) 2015/2446 (Úradný vestník Európskej únie L 69 z 15. marca 2016),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C (2017) 7094;</w:t>
      </w:r>
    </w:p>
    <w:p w:rsidR="004A2583" w:rsidRPr="00B967AC" w:rsidP="00034C15">
      <w:pPr>
        <w:pStyle w:val="ListParagraph"/>
        <w:autoSpaceDN w:val="0"/>
        <w:spacing w:after="0" w:line="254" w:lineRule="auto"/>
        <w:ind w:left="0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</w:p>
    <w:p w:rsidR="0001560B" w:rsidRPr="00B967AC" w:rsidP="00DB3171">
      <w:pPr>
        <w:jc w:val="both"/>
        <w:rPr>
          <w:b/>
          <w:bCs/>
        </w:rPr>
      </w:pPr>
    </w:p>
    <w:p w:rsidR="00252073" w:rsidRPr="00B967AC" w:rsidP="008C2EF9">
      <w:pPr>
        <w:numPr>
          <w:ilvl w:val="0"/>
          <w:numId w:val="34"/>
        </w:numPr>
        <w:rPr>
          <w:b/>
        </w:rPr>
      </w:pPr>
      <w:r w:rsidRPr="00B967AC">
        <w:rPr>
          <w:b/>
        </w:rPr>
        <w:t>žiada v súlade s § 58a ods. 3 písm. f) rokovacieho poriadku</w:t>
      </w:r>
    </w:p>
    <w:p w:rsidR="00252073" w:rsidRPr="00B967AC" w:rsidP="00252073">
      <w:pPr>
        <w:rPr>
          <w:b/>
        </w:rPr>
      </w:pPr>
    </w:p>
    <w:p w:rsidR="00CB7981" w:rsidRPr="00B967AC" w:rsidP="00CB7981">
      <w:pPr>
        <w:pStyle w:val="ListParagraph"/>
        <w:numPr>
          <w:ilvl w:val="0"/>
          <w:numId w:val="42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B967AC">
        <w:rPr>
          <w:rFonts w:ascii="Times New Roman" w:hAnsi="Times New Roman"/>
          <w:b/>
          <w:sz w:val="24"/>
          <w:szCs w:val="24"/>
          <w:lang w:val="sk-SK"/>
        </w:rPr>
        <w:t xml:space="preserve">Výbor Národnej rady Slovenskej republiky pre financie a rozpočet </w:t>
      </w:r>
      <w:r w:rsidRPr="00B967AC">
        <w:rPr>
          <w:rFonts w:ascii="Times New Roman" w:hAnsi="Times New Roman"/>
          <w:sz w:val="24"/>
          <w:szCs w:val="24"/>
          <w:lang w:val="sk-SK"/>
        </w:rPr>
        <w:t>o </w:t>
      </w:r>
      <w:r w:rsidRPr="00B967AC" w:rsidR="0001560B">
        <w:rPr>
          <w:rFonts w:ascii="Times New Roman" w:hAnsi="Times New Roman"/>
          <w:sz w:val="24"/>
          <w:szCs w:val="24"/>
          <w:lang w:val="sk-SK"/>
        </w:rPr>
        <w:t>stanovisk</w:t>
      </w:r>
      <w:r w:rsidRPr="00B967AC" w:rsidR="008C2EF9">
        <w:rPr>
          <w:rFonts w:ascii="Times New Roman" w:hAnsi="Times New Roman"/>
          <w:sz w:val="24"/>
          <w:szCs w:val="24"/>
          <w:lang w:val="sk-SK"/>
        </w:rPr>
        <w:t>o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 k:</w:t>
      </w:r>
    </w:p>
    <w:p w:rsidR="00CB7981" w:rsidRPr="00B967AC" w:rsidP="00CB7981">
      <w:pPr>
        <w:pStyle w:val="ListParagraph"/>
        <w:numPr>
          <w:ilvl w:val="0"/>
          <w:numId w:val="45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 w:rsidR="008C2EF9">
        <w:rPr>
          <w:rFonts w:ascii="Times New Roman" w:hAnsi="Times New Roman"/>
          <w:sz w:val="24"/>
          <w:szCs w:val="24"/>
          <w:lang w:val="sk-SK"/>
        </w:rPr>
        <w:t>návrhu s</w:t>
      </w:r>
      <w:r w:rsidRPr="00B967AC">
        <w:rPr>
          <w:rFonts w:ascii="Times New Roman" w:hAnsi="Times New Roman"/>
          <w:sz w:val="24"/>
          <w:szCs w:val="24"/>
          <w:lang w:val="sk-SK"/>
        </w:rPr>
        <w:t xml:space="preserve">mernice Rady, ktorou sa mení smernica 2006/112/ES, pokiaľ ide o harmonizáciu a zjednodušenie určitých pravidiel v systéme dane z pridanej hodnoty, a ktorou sa zavádza konečný systém zdaňovania obchodu medzi členskými štátmi,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569;</w:t>
      </w:r>
    </w:p>
    <w:p w:rsidR="00CB7981" w:rsidRPr="00B967AC" w:rsidP="00CB7981">
      <w:pPr>
        <w:pStyle w:val="ListParagraph"/>
        <w:numPr>
          <w:ilvl w:val="0"/>
          <w:numId w:val="45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návrhu vykonávacieho nariadenia Rady, ktorým sa mení vykonávacie nariadenie (EÚ) č. 282/2011, pokiaľ ide o určité oslobodenie od dane pri transakciách v rámci Spoločenstva,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568;</w:t>
      </w:r>
    </w:p>
    <w:p w:rsidR="00CB7981" w:rsidRPr="00B967AC" w:rsidP="00CB7981">
      <w:pPr>
        <w:pStyle w:val="ListParagraph"/>
        <w:numPr>
          <w:ilvl w:val="0"/>
          <w:numId w:val="45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návrhu nariadenia Rady, ktorým sa mení nariadenie (EÚ) č. 904/2010, pokiaľ ide o certifikovanú zdaniteľnú osobu,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567;</w:t>
      </w:r>
    </w:p>
    <w:p w:rsidR="009B7B54" w:rsidRPr="00B967AC" w:rsidP="009B7B54">
      <w:pPr>
        <w:pStyle w:val="ListParagraph"/>
        <w:numPr>
          <w:ilvl w:val="0"/>
          <w:numId w:val="45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návrhu nariadenia Európskeho parlamentu a Rady, ktorým sa mení nariadenie (EÚ) č. 1093/2010, ktorým sa zriaďuje Európsky orgán dohľadu (Európsky orgán pre bankovníctvo); nariadenie (EÚ) č. 1094/2010, ktorým sa zriaďuje Európsky orgán dohľadu (Európsky orgán pre poisťovníctvo a dôchodkové poistenie zamestnancov); nariadenie (EÚ) č. 1095/2010, ktorým sa zriaďuje Európsky orgán dohľadu (Európsky orgán pre cenné papiere a trhy); nariadenie (EÚ) č. 345/2013 o európskych fondoch rizikového kapitálu; nariadenie (EÚ) č. 346/2013 o európskych fondoch sociálneho podnikania; nariadenie (EÚ) č. 600/2014 o trhoch s finančnými nástrojmi; nariadenie (EÚ) 2015/760 o európskych dlhodobých investičných fondoch; nariadenie (EÚ) 2016/1011 o indexoch používaných ako referenčné hodnoty vo finančných nástrojoch a finančných zmluvách alebo na meranie výkonnosti investičných fondov; a nariadenie (EÚ) 2017/1129 o prospekte, ktorý sa má uverejniť pri verejnej ponuke cenných papierov alebo ich prijatí na obchodovanie na regulovanom trhu,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536;</w:t>
      </w:r>
    </w:p>
    <w:p w:rsidR="009B7B54" w:rsidRPr="00B967AC" w:rsidP="009B7B54">
      <w:pPr>
        <w:pStyle w:val="ListParagraph"/>
        <w:numPr>
          <w:ilvl w:val="0"/>
          <w:numId w:val="45"/>
        </w:numPr>
        <w:autoSpaceDN w:val="0"/>
        <w:spacing w:after="0" w:line="254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B967AC">
        <w:rPr>
          <w:rFonts w:ascii="Times New Roman" w:hAnsi="Times New Roman"/>
          <w:sz w:val="24"/>
          <w:szCs w:val="24"/>
          <w:lang w:val="sk-SK"/>
        </w:rPr>
        <w:t xml:space="preserve">návrhu nariadenia Európskeho parlamentu a Rady, ktorým sa mení nariadenie (EÚ) č. 1092/2010 o makroprudenciálnom dohľade Európskej únie nad finančným systémom a o zriadení Európskeho výboru pre systémové riziká, </w:t>
      </w:r>
      <w:r w:rsidRPr="00B967AC">
        <w:rPr>
          <w:rFonts w:ascii="Times New Roman" w:hAnsi="Times New Roman"/>
          <w:b/>
          <w:sz w:val="24"/>
          <w:szCs w:val="24"/>
          <w:lang w:val="sk-SK"/>
        </w:rPr>
        <w:t>KOM (2017) 538;</w:t>
      </w:r>
    </w:p>
    <w:p w:rsidR="008C2EF9" w:rsidRPr="00B967AC" w:rsidP="009B7B54">
      <w:pPr>
        <w:pStyle w:val="ListParagraph"/>
        <w:autoSpaceDN w:val="0"/>
        <w:spacing w:after="0" w:line="254" w:lineRule="auto"/>
        <w:ind w:left="1145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</w:p>
    <w:p w:rsidR="005B3441" w:rsidRPr="00B967AC" w:rsidP="005B3441">
      <w:pPr>
        <w:numPr>
          <w:ilvl w:val="0"/>
          <w:numId w:val="42"/>
        </w:numPr>
        <w:jc w:val="both"/>
        <w:rPr>
          <w:b/>
        </w:rPr>
      </w:pPr>
      <w:r w:rsidRPr="00B967AC" w:rsidR="008C2EF9">
        <w:rPr>
          <w:b/>
        </w:rPr>
        <w:t xml:space="preserve">Výbor Národnej rady Slovenskej republiky pre hospodárske záležitosti </w:t>
      </w:r>
      <w:r w:rsidRPr="00B967AC" w:rsidR="008C2EF9">
        <w:t>o stanovisko k</w:t>
      </w:r>
      <w:r w:rsidRPr="00B967AC">
        <w:t xml:space="preserve"> </w:t>
      </w:r>
      <w:r w:rsidRPr="00B967AC" w:rsidR="008C2EF9">
        <w:t xml:space="preserve">návrhu nariadenia Európskeho parlamentu a Rady o právach a povinnostiach cestujúcich v železničnej preprave (prepracované znenie), </w:t>
      </w:r>
      <w:r w:rsidRPr="00B967AC" w:rsidR="008C2EF9">
        <w:rPr>
          <w:b/>
        </w:rPr>
        <w:t>KOM (2017) 548;</w:t>
      </w:r>
    </w:p>
    <w:p w:rsidR="005B3441" w:rsidRPr="00B967AC" w:rsidP="005B3441">
      <w:pPr>
        <w:ind w:left="1068"/>
        <w:jc w:val="both"/>
        <w:rPr>
          <w:b/>
        </w:rPr>
      </w:pPr>
    </w:p>
    <w:p w:rsidR="009B7B54" w:rsidRPr="00B967AC" w:rsidP="005B3441">
      <w:pPr>
        <w:numPr>
          <w:ilvl w:val="0"/>
          <w:numId w:val="42"/>
        </w:numPr>
        <w:jc w:val="both"/>
        <w:rPr>
          <w:b/>
        </w:rPr>
      </w:pPr>
      <w:r w:rsidRPr="00B967AC">
        <w:rPr>
          <w:b/>
        </w:rPr>
        <w:t xml:space="preserve">Výbor Národnej rady Slovenskej republiky pre obranu a bezpečnosť </w:t>
      </w:r>
      <w:r w:rsidRPr="00B967AC" w:rsidR="008C2EF9">
        <w:t>o stanovisko k</w:t>
      </w:r>
      <w:r w:rsidRPr="00B967AC" w:rsidR="005B3441">
        <w:t xml:space="preserve"> </w:t>
      </w:r>
      <w:r w:rsidRPr="00B967AC">
        <w:rPr>
          <w:color w:val="000000"/>
        </w:rPr>
        <w:t xml:space="preserve">návrhu nariadenia Európskeho parlamentu a Rady o Agentúre EÚ pre kybernetickú bezpečnosť (ENISA), o zrušení nariadenia (EÚ) č. 526/2013 a o certifikácii kybernetickej bezpečnosti informačných a komunikačných technológií („akt o kybernetickej bezpečnosti“), </w:t>
      </w:r>
      <w:r w:rsidRPr="00B967AC">
        <w:rPr>
          <w:b/>
          <w:color w:val="000000"/>
        </w:rPr>
        <w:t>KOM (2017) 477;</w:t>
      </w:r>
    </w:p>
    <w:p w:rsidR="009B7B54" w:rsidRPr="00B967AC" w:rsidP="00034C15">
      <w:pPr>
        <w:pStyle w:val="ListParagraph"/>
        <w:autoSpaceDN w:val="0"/>
        <w:spacing w:after="0" w:line="254" w:lineRule="auto"/>
        <w:ind w:left="0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</w:p>
    <w:p w:rsidR="008C2EF9" w:rsidRPr="00B967AC" w:rsidP="008C2EF9"/>
    <w:p w:rsidR="00252073" w:rsidRPr="00B967AC" w:rsidP="005B3441">
      <w:pPr>
        <w:numPr>
          <w:ilvl w:val="0"/>
          <w:numId w:val="34"/>
        </w:numPr>
        <w:ind w:left="709" w:hanging="283"/>
        <w:jc w:val="both"/>
        <w:rPr>
          <w:b/>
        </w:rPr>
      </w:pPr>
      <w:r w:rsidRPr="00B967AC" w:rsidR="00034C15">
        <w:rPr>
          <w:b/>
        </w:rPr>
        <w:t>b</w:t>
      </w:r>
      <w:r w:rsidRPr="00B967AC" w:rsidR="00DB3171">
        <w:rPr>
          <w:b/>
        </w:rPr>
        <w:t xml:space="preserve">erie na vedomie </w:t>
      </w:r>
      <w:r w:rsidRPr="00B967AC" w:rsidR="00DB3171">
        <w:t>stanoviská výborov v súlade s § 58a ods. 3</w:t>
      </w:r>
      <w:r w:rsidRPr="00B967AC" w:rsidR="005B3441">
        <w:t xml:space="preserve"> písm. f) rokovacieho  </w:t>
      </w:r>
      <w:r w:rsidRPr="00B967AC" w:rsidR="00DB3171">
        <w:t>poriadku</w:t>
      </w:r>
      <w:r w:rsidRPr="00B967AC">
        <w:t xml:space="preserve"> </w:t>
      </w:r>
    </w:p>
    <w:p w:rsidR="006F6DF3" w:rsidRPr="00B967AC" w:rsidP="006F6DF3"/>
    <w:p w:rsidR="005B3441" w:rsidRPr="00B967AC" w:rsidP="005B3441">
      <w:pPr>
        <w:tabs>
          <w:tab w:val="left" w:pos="1134"/>
        </w:tabs>
        <w:ind w:left="1068" w:hanging="360"/>
        <w:jc w:val="both"/>
        <w:rPr>
          <w:b/>
        </w:rPr>
      </w:pPr>
      <w:r w:rsidRPr="00B967AC" w:rsidR="009B7B54">
        <w:rPr>
          <w:b/>
        </w:rPr>
        <w:t>1.</w:t>
      </w:r>
      <w:r w:rsidRPr="00B967AC">
        <w:rPr>
          <w:b/>
        </w:rPr>
        <w:tab/>
      </w:r>
      <w:r w:rsidRPr="00B967AC" w:rsidR="006F6DF3">
        <w:rPr>
          <w:b/>
        </w:rPr>
        <w:t>s</w:t>
      </w:r>
      <w:r w:rsidRPr="00B967AC" w:rsidR="0001560B">
        <w:rPr>
          <w:b/>
        </w:rPr>
        <w:t>tanovisko</w:t>
      </w:r>
      <w:r w:rsidRPr="00B967AC" w:rsidR="006F6DF3">
        <w:rPr>
          <w:b/>
        </w:rPr>
        <w:t xml:space="preserve"> Výboru Národnej rady Slovenskej republiky pre </w:t>
      </w:r>
      <w:r w:rsidRPr="00B967AC" w:rsidR="0001560B">
        <w:rPr>
          <w:b/>
        </w:rPr>
        <w:t xml:space="preserve">financie a rozpočet </w:t>
      </w:r>
      <w:r w:rsidRPr="00B967AC" w:rsidR="0001560B">
        <w:t>k</w:t>
      </w:r>
      <w:r w:rsidRPr="00B967AC">
        <w:rPr>
          <w:b/>
        </w:rPr>
        <w:t xml:space="preserve"> </w:t>
      </w:r>
      <w:r w:rsidRPr="00B967AC" w:rsidR="006F6DF3">
        <w:t xml:space="preserve">návrhu </w:t>
      </w:r>
      <w:r w:rsidRPr="00B967AC" w:rsidR="0001560B">
        <w:t xml:space="preserve">nariadenia Európskeho parlamentu a Rady o dovoze tovaru kultúrneho charakteru, </w:t>
      </w:r>
      <w:r w:rsidRPr="00B967AC" w:rsidR="0001560B">
        <w:rPr>
          <w:b/>
        </w:rPr>
        <w:t>KOM (2017) 375;</w:t>
      </w:r>
    </w:p>
    <w:p w:rsidR="0001560B" w:rsidRPr="00B967AC" w:rsidP="005B3441">
      <w:pPr>
        <w:tabs>
          <w:tab w:val="left" w:pos="1134"/>
        </w:tabs>
        <w:ind w:left="1068" w:hanging="360"/>
        <w:jc w:val="both"/>
      </w:pPr>
      <w:r w:rsidRPr="00B967AC" w:rsidR="005B3441">
        <w:rPr>
          <w:b/>
        </w:rPr>
        <w:t>2.</w:t>
        <w:tab/>
      </w:r>
      <w:r w:rsidRPr="00B967AC" w:rsidR="00E663E9">
        <w:rPr>
          <w:b/>
        </w:rPr>
        <w:t>stanovisk</w:t>
      </w:r>
      <w:r w:rsidRPr="00B967AC" w:rsidR="00903765">
        <w:rPr>
          <w:b/>
        </w:rPr>
        <w:t>o</w:t>
      </w:r>
      <w:r w:rsidRPr="00B967AC" w:rsidR="00E663E9">
        <w:rPr>
          <w:b/>
        </w:rPr>
        <w:t xml:space="preserve"> Výboru Národnej rady Slovenskej republiky </w:t>
      </w:r>
      <w:r w:rsidRPr="00B967AC" w:rsidR="00273A5F">
        <w:rPr>
          <w:b/>
        </w:rPr>
        <w:t xml:space="preserve">pre </w:t>
      </w:r>
      <w:r w:rsidRPr="00B967AC">
        <w:rPr>
          <w:b/>
        </w:rPr>
        <w:t xml:space="preserve">verejnú správu </w:t>
      </w:r>
      <w:r w:rsidRPr="00B967AC" w:rsidR="008C2EF9">
        <w:rPr>
          <w:b/>
        </w:rPr>
        <w:t xml:space="preserve">a regionálny </w:t>
      </w:r>
      <w:r w:rsidRPr="00B967AC">
        <w:rPr>
          <w:b/>
        </w:rPr>
        <w:t xml:space="preserve">rozvoj </w:t>
      </w:r>
      <w:r w:rsidRPr="00B967AC">
        <w:t>k</w:t>
      </w:r>
      <w:r w:rsidRPr="00B967AC" w:rsidR="00273A5F">
        <w:rPr>
          <w:b/>
        </w:rPr>
        <w:t xml:space="preserve"> </w:t>
      </w:r>
      <w:r w:rsidRPr="00B967AC">
        <w:t xml:space="preserve">návrhu nariadenia Európskeho parlamentu a Rady o európskej iniciatíve občanov, </w:t>
      </w:r>
      <w:r w:rsidRPr="00B967AC">
        <w:rPr>
          <w:b/>
        </w:rPr>
        <w:t>KOM (2017) 482;</w:t>
      </w:r>
    </w:p>
    <w:p w:rsidR="0001560B" w:rsidRPr="00B967AC" w:rsidP="000133EA">
      <w:pPr>
        <w:jc w:val="both"/>
        <w:rPr>
          <w:b/>
        </w:rPr>
      </w:pPr>
    </w:p>
    <w:p w:rsidR="000133EA" w:rsidRPr="00B967AC" w:rsidP="000133EA">
      <w:pPr>
        <w:jc w:val="both"/>
        <w:rPr>
          <w:b/>
        </w:rPr>
      </w:pPr>
    </w:p>
    <w:p w:rsidR="00034C15" w:rsidRPr="00B967AC" w:rsidP="00034C15">
      <w:pPr>
        <w:numPr>
          <w:ilvl w:val="0"/>
          <w:numId w:val="34"/>
        </w:numPr>
        <w:rPr>
          <w:b/>
        </w:rPr>
      </w:pPr>
      <w:r w:rsidRPr="00B967AC">
        <w:rPr>
          <w:b/>
        </w:rPr>
        <w:t>ukladá</w:t>
      </w:r>
    </w:p>
    <w:p w:rsidR="00252073" w:rsidRPr="00B967AC" w:rsidP="00034C15"/>
    <w:p w:rsidR="00252073" w:rsidRPr="00B967AC" w:rsidP="00034C15">
      <w:pPr>
        <w:ind w:firstLine="708"/>
        <w:rPr>
          <w:b/>
        </w:rPr>
      </w:pPr>
      <w:r w:rsidRPr="00B967AC" w:rsidR="00DB3171">
        <w:rPr>
          <w:b/>
        </w:rPr>
        <w:t>predsedovi výboru</w:t>
      </w:r>
    </w:p>
    <w:p w:rsidR="00034C15" w:rsidRPr="00B967AC" w:rsidP="00252073">
      <w:pPr>
        <w:ind w:left="708"/>
        <w:rPr>
          <w:b/>
        </w:rPr>
      </w:pPr>
    </w:p>
    <w:p w:rsidR="00252073" w:rsidRPr="00B967AC" w:rsidP="00034C15">
      <w:pPr>
        <w:ind w:firstLine="709"/>
        <w:jc w:val="both"/>
      </w:pPr>
      <w:r w:rsidRPr="00B967AC" w:rsidR="00DB3171">
        <w:t>informovať o prijatom uznesení predsedu Národnej rady Slovenskej republiky, príslušných predsedov výborov Národnej rady Slovenskej republiky a príslušných členov vlády Slovenskej republiky.</w:t>
      </w:r>
    </w:p>
    <w:p w:rsidR="00252073" w:rsidRPr="00B967AC" w:rsidP="00034C15">
      <w:pPr>
        <w:ind w:firstLine="709"/>
        <w:jc w:val="both"/>
      </w:pPr>
    </w:p>
    <w:p w:rsidR="000147DB" w:rsidRPr="00B967AC" w:rsidP="00252073">
      <w:pPr>
        <w:jc w:val="both"/>
      </w:pPr>
    </w:p>
    <w:p w:rsidR="000147DB" w:rsidRPr="00B967AC" w:rsidP="00252073">
      <w:pPr>
        <w:jc w:val="both"/>
      </w:pPr>
    </w:p>
    <w:p w:rsidR="00034C15" w:rsidRPr="00B967AC" w:rsidP="00252073">
      <w:pPr>
        <w:jc w:val="both"/>
      </w:pPr>
    </w:p>
    <w:p w:rsidR="005B3441" w:rsidRPr="00B967AC" w:rsidP="00252073">
      <w:pPr>
        <w:jc w:val="both"/>
      </w:pPr>
    </w:p>
    <w:p w:rsidR="005B3441" w:rsidRPr="00B967AC" w:rsidP="00252073">
      <w:pPr>
        <w:jc w:val="both"/>
      </w:pPr>
    </w:p>
    <w:p w:rsidR="00034C15" w:rsidRPr="00B967AC" w:rsidP="00252073">
      <w:pPr>
        <w:jc w:val="both"/>
      </w:pPr>
    </w:p>
    <w:p w:rsidR="00034C15" w:rsidRPr="00B967AC" w:rsidP="00252073">
      <w:pPr>
        <w:jc w:val="both"/>
      </w:pPr>
    </w:p>
    <w:p w:rsidR="00252073" w:rsidRPr="00B967AC" w:rsidP="00252073">
      <w:pPr>
        <w:jc w:val="both"/>
      </w:pPr>
    </w:p>
    <w:p w:rsidR="00252073" w:rsidRPr="00B967AC" w:rsidP="00252073">
      <w:pPr>
        <w:tabs>
          <w:tab w:val="left" w:pos="567"/>
        </w:tabs>
        <w:jc w:val="both"/>
        <w:rPr>
          <w:b/>
        </w:rPr>
      </w:pPr>
      <w:r w:rsidRPr="00B967AC">
        <w:rPr>
          <w:b/>
        </w:rPr>
        <w:t xml:space="preserve">         </w:t>
        <w:tab/>
        <w:tab/>
        <w:t xml:space="preserve">Edita Pfundtner </w:t>
        <w:tab/>
        <w:tab/>
        <w:tab/>
        <w:tab/>
        <w:tab/>
        <w:t xml:space="preserve">     </w:t>
        <w:tab/>
        <w:tab/>
        <w:t>Ľuboš Blaha</w:t>
      </w:r>
    </w:p>
    <w:p w:rsidR="00252073" w:rsidRPr="00B967AC" w:rsidP="00252073">
      <w:pPr>
        <w:tabs>
          <w:tab w:val="left" w:pos="567"/>
        </w:tabs>
        <w:ind w:firstLine="708"/>
        <w:jc w:val="both"/>
      </w:pPr>
      <w:r w:rsidRPr="00B967AC">
        <w:rPr>
          <w:b/>
        </w:rPr>
        <w:t xml:space="preserve"> Jozef Viskupič</w:t>
      </w:r>
      <w:r w:rsidRPr="00B967AC">
        <w:tab/>
        <w:tab/>
        <w:tab/>
        <w:tab/>
        <w:tab/>
        <w:t xml:space="preserve">   </w:t>
        <w:tab/>
        <w:t xml:space="preserve">         predseda výboru  </w:t>
      </w:r>
    </w:p>
    <w:p w:rsidR="00AC2F2D" w:rsidRPr="00B967AC" w:rsidP="000133EA">
      <w:pPr>
        <w:jc w:val="both"/>
        <w:rPr>
          <w:b/>
        </w:rPr>
      </w:pPr>
      <w:r w:rsidRPr="00B967AC" w:rsidR="00252073">
        <w:t xml:space="preserve">                 overovateľ</w:t>
      </w:r>
      <w:r w:rsidRPr="00B967AC" w:rsidR="000133EA">
        <w:t xml:space="preserve">  </w:t>
      </w:r>
    </w:p>
    <w:p w:rsidR="007B77ED" w:rsidP="00085834">
      <w:pPr>
        <w:tabs>
          <w:tab w:val="left" w:pos="567"/>
        </w:tabs>
        <w:jc w:val="both"/>
      </w:pPr>
      <w:r w:rsidRPr="00B967AC" w:rsidR="000C14FB">
        <w:t xml:space="preserve"> </w:t>
      </w:r>
    </w:p>
    <w:p w:rsidR="00B967AC" w:rsidRPr="00B967AC" w:rsidP="00085834">
      <w:pPr>
        <w:tabs>
          <w:tab w:val="left" w:pos="567"/>
        </w:tabs>
        <w:jc w:val="both"/>
      </w:pPr>
    </w:p>
    <w:sectPr w:rsidSect="007500B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20" w:gutter="0"/>
      <w:cols w:space="708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603DF9" w:rsidR="00603DF9">
      <w:rPr>
        <w:noProof/>
        <w:lang w:val="sk-SK"/>
      </w:rPr>
      <w:t>7</w:t>
    </w:r>
    <w:r>
      <w:fldChar w:fldCharType="end"/>
    </w:r>
  </w:p>
  <w:p w:rsidR="009E5BB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0">
    <w:pPr>
      <w:pStyle w:val="Footer"/>
      <w:jc w:val="right"/>
    </w:pPr>
  </w:p>
  <w:p w:rsidR="009E5BB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Header"/>
    </w:pPr>
  </w:p>
  <w:p w:rsidR="009E5B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 w:rsidRPr="00620E67" w:rsidP="004D2ED0">
    <w:pPr>
      <w:pStyle w:val="Header"/>
    </w:pPr>
    <w:r w:rsidRPr="00620E67">
      <w:t xml:space="preserve">                          </w:t>
    </w:r>
    <w:r>
      <w:t xml:space="preserve">  </w:t>
    </w:r>
    <w:r w:rsidRPr="00620E67">
      <w:t xml:space="preserve">   </w:t>
    </w:r>
    <w:r>
      <w:t xml:space="preserve">    </w:t>
    </w: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height:26.15pt;visibility:visible;width:23.06pt" filled="f" stroked="f">
          <v:fill o:detectmouseclick="f"/>
          <v:imagedata r:id="rId1" o:title=""/>
          <o:lock v:ext="edit" aspectratio="t"/>
        </v:shape>
      </w:pict>
    </w:r>
  </w:p>
  <w:p w:rsidR="009E5BBF" w:rsidRPr="00620E67" w:rsidP="004D2ED0">
    <w:pPr>
      <w:tabs>
        <w:tab w:val="left" w:pos="567"/>
      </w:tabs>
      <w:rPr>
        <w:b/>
      </w:rPr>
    </w:pPr>
    <w:r w:rsidRPr="00620E67">
      <w:rPr>
        <w:b/>
      </w:rPr>
      <w:t>Výbor Národnej rady Slovenskej republiky</w:t>
    </w:r>
  </w:p>
  <w:p w:rsidR="009E5BBF" w:rsidRPr="00620E67" w:rsidP="004D2ED0">
    <w:pPr>
      <w:tabs>
        <w:tab w:val="left" w:pos="567"/>
      </w:tabs>
      <w:rPr>
        <w:b/>
      </w:rPr>
    </w:pPr>
    <w:r>
      <w:rPr>
        <w:b/>
      </w:rPr>
      <w:tab/>
      <w:t xml:space="preserve">     </w:t>
    </w:r>
    <w:r w:rsidRPr="00620E67">
      <w:rPr>
        <w:b/>
      </w:rPr>
      <w:t>pre európske záležitosti</w:t>
    </w:r>
  </w:p>
  <w:p w:rsidR="009E5B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b/>
        <w:color w:val="00000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5C18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Gothic" w:hint="default"/>
        <w:b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1018BA5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Calibri" w:hAnsi="Times New Roman" w:cs="Times New Roman" w:hint="default"/>
        <w:b/>
        <w:bCs/>
        <w:sz w:val="24"/>
        <w:szCs w:val="24"/>
        <w:lang w:val="sk-SK" w:eastAsia="sk-SK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lang w:val="sk-SK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Times New Roman" w:hAnsi="Times New Roman" w:cs="Times New Roman" w:hint="default"/>
        <w:b/>
        <w:bCs/>
        <w:sz w:val="24"/>
        <w:szCs w:val="24"/>
        <w:lang w:val="sk-SK" w:eastAsia="sk-SK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44D1D05"/>
    <w:multiLevelType w:val="hybridMultilevel"/>
    <w:tmpl w:val="0546AD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CA1A66"/>
    <w:multiLevelType w:val="hybridMultilevel"/>
    <w:tmpl w:val="CCC8AD1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828C3"/>
    <w:multiLevelType w:val="hybridMultilevel"/>
    <w:tmpl w:val="DA00C5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E43995"/>
    <w:multiLevelType w:val="hybridMultilevel"/>
    <w:tmpl w:val="EABA8D92"/>
    <w:lvl w:ilvl="0">
      <w:start w:val="4"/>
      <w:numFmt w:val="bullet"/>
      <w:lvlText w:val="-"/>
      <w:lvlJc w:val="left"/>
      <w:pPr>
        <w:ind w:left="2139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1">
    <w:nsid w:val="15286364"/>
    <w:multiLevelType w:val="hybridMultilevel"/>
    <w:tmpl w:val="9EE2D7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A2D65"/>
    <w:multiLevelType w:val="hybridMultilevel"/>
    <w:tmpl w:val="880482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92D7D"/>
    <w:multiLevelType w:val="hybridMultilevel"/>
    <w:tmpl w:val="C6F097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128A0"/>
    <w:multiLevelType w:val="hybridMultilevel"/>
    <w:tmpl w:val="59D6E47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814DB1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03DF6"/>
    <w:multiLevelType w:val="hybridMultilevel"/>
    <w:tmpl w:val="4B9E553C"/>
    <w:lvl w:ilvl="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B087D55"/>
    <w:multiLevelType w:val="hybridMultilevel"/>
    <w:tmpl w:val="4AA63E44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2D9C0480"/>
    <w:multiLevelType w:val="hybridMultilevel"/>
    <w:tmpl w:val="880482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30202"/>
    <w:multiLevelType w:val="hybridMultilevel"/>
    <w:tmpl w:val="5F6C0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40916"/>
    <w:multiLevelType w:val="hybridMultilevel"/>
    <w:tmpl w:val="4D5C100C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DE25533"/>
    <w:multiLevelType w:val="multilevel"/>
    <w:tmpl w:val="1B02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Gothic" w:hint="default"/>
        <w:b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E724A1B"/>
    <w:multiLevelType w:val="multilevel"/>
    <w:tmpl w:val="F00E10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60774"/>
    <w:multiLevelType w:val="hybridMultilevel"/>
    <w:tmpl w:val="3B0C85C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63633"/>
    <w:multiLevelType w:val="hybridMultilevel"/>
    <w:tmpl w:val="12E89B3C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C2C7A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95722"/>
    <w:multiLevelType w:val="hybridMultilevel"/>
    <w:tmpl w:val="C92ACB2A"/>
    <w:lvl w:ilvl="0">
      <w:start w:val="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F7B6566"/>
    <w:multiLevelType w:val="multilevel"/>
    <w:tmpl w:val="5C18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Gothic" w:hint="default"/>
        <w:b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2792C0A"/>
    <w:multiLevelType w:val="hybridMultilevel"/>
    <w:tmpl w:val="D55E08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F0532"/>
    <w:multiLevelType w:val="hybridMultilevel"/>
    <w:tmpl w:val="EF8C606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AD70D1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A0463"/>
    <w:multiLevelType w:val="hybridMultilevel"/>
    <w:tmpl w:val="D55E08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33F7E"/>
    <w:multiLevelType w:val="hybridMultilevel"/>
    <w:tmpl w:val="27FE9EF0"/>
    <w:lvl w:ilvl="0">
      <w:start w:val="4"/>
      <w:numFmt w:val="decimal"/>
      <w:lvlText w:val="%1."/>
      <w:lvlJc w:val="left"/>
      <w:pPr>
        <w:ind w:left="14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3">
    <w:nsid w:val="64D33A45"/>
    <w:multiLevelType w:val="hybridMultilevel"/>
    <w:tmpl w:val="185E22EA"/>
    <w:lvl w:ilvl="0">
      <w:start w:val="1"/>
      <w:numFmt w:val="decimal"/>
      <w:lvlText w:val="%1."/>
      <w:lvlJc w:val="left"/>
      <w:pPr>
        <w:ind w:left="136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>
    <w:nsid w:val="64F31B8D"/>
    <w:multiLevelType w:val="hybridMultilevel"/>
    <w:tmpl w:val="48DEC1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03393B"/>
    <w:multiLevelType w:val="hybridMultilevel"/>
    <w:tmpl w:val="880482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A3E99"/>
    <w:multiLevelType w:val="hybridMultilevel"/>
    <w:tmpl w:val="EC9A949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E7604"/>
    <w:multiLevelType w:val="hybridMultilevel"/>
    <w:tmpl w:val="A28EB024"/>
    <w:lvl w:ilvl="0">
      <w:start w:val="1"/>
      <w:numFmt w:val="decimal"/>
      <w:lvlText w:val="%1."/>
      <w:lvlJc w:val="left"/>
      <w:pPr>
        <w:ind w:left="1505" w:hanging="360"/>
      </w:pPr>
    </w:lvl>
    <w:lvl w:ilvl="1" w:tentative="1">
      <w:start w:val="1"/>
      <w:numFmt w:val="lowerLetter"/>
      <w:lvlText w:val="%2."/>
      <w:lvlJc w:val="left"/>
      <w:pPr>
        <w:ind w:left="2225" w:hanging="360"/>
      </w:pPr>
    </w:lvl>
    <w:lvl w:ilvl="2" w:tentative="1">
      <w:start w:val="1"/>
      <w:numFmt w:val="lowerRoman"/>
      <w:lvlText w:val="%3."/>
      <w:lvlJc w:val="right"/>
      <w:pPr>
        <w:ind w:left="2945" w:hanging="180"/>
      </w:pPr>
    </w:lvl>
    <w:lvl w:ilvl="3" w:tentative="1">
      <w:start w:val="1"/>
      <w:numFmt w:val="decimal"/>
      <w:lvlText w:val="%4."/>
      <w:lvlJc w:val="left"/>
      <w:pPr>
        <w:ind w:left="3665" w:hanging="360"/>
      </w:pPr>
    </w:lvl>
    <w:lvl w:ilvl="4" w:tentative="1">
      <w:start w:val="1"/>
      <w:numFmt w:val="lowerLetter"/>
      <w:lvlText w:val="%5."/>
      <w:lvlJc w:val="left"/>
      <w:pPr>
        <w:ind w:left="4385" w:hanging="360"/>
      </w:pPr>
    </w:lvl>
    <w:lvl w:ilvl="5" w:tentative="1">
      <w:start w:val="1"/>
      <w:numFmt w:val="lowerRoman"/>
      <w:lvlText w:val="%6."/>
      <w:lvlJc w:val="right"/>
      <w:pPr>
        <w:ind w:left="5105" w:hanging="180"/>
      </w:pPr>
    </w:lvl>
    <w:lvl w:ilvl="6" w:tentative="1">
      <w:start w:val="1"/>
      <w:numFmt w:val="decimal"/>
      <w:lvlText w:val="%7."/>
      <w:lvlJc w:val="left"/>
      <w:pPr>
        <w:ind w:left="5825" w:hanging="360"/>
      </w:pPr>
    </w:lvl>
    <w:lvl w:ilvl="7" w:tentative="1">
      <w:start w:val="1"/>
      <w:numFmt w:val="lowerLetter"/>
      <w:lvlText w:val="%8."/>
      <w:lvlJc w:val="left"/>
      <w:pPr>
        <w:ind w:left="6545" w:hanging="360"/>
      </w:pPr>
    </w:lvl>
    <w:lvl w:ilvl="8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8">
    <w:nsid w:val="6AE06F43"/>
    <w:multiLevelType w:val="multilevel"/>
    <w:tmpl w:val="1B02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Gothic" w:hint="default"/>
        <w:b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E14536A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943BB5"/>
    <w:multiLevelType w:val="hybridMultilevel"/>
    <w:tmpl w:val="D55E08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3550F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957868"/>
    <w:multiLevelType w:val="hybridMultilevel"/>
    <w:tmpl w:val="B51219EE"/>
    <w:lvl w:ilvl="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>
    <w:nsid w:val="758C5682"/>
    <w:multiLevelType w:val="hybridMultilevel"/>
    <w:tmpl w:val="D55E08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10271"/>
    <w:multiLevelType w:val="hybridMultilevel"/>
    <w:tmpl w:val="BB507BB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35C6F"/>
    <w:multiLevelType w:val="hybridMultilevel"/>
    <w:tmpl w:val="D55E08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38"/>
  </w:num>
  <w:num w:numId="10">
    <w:abstractNumId w:val="19"/>
  </w:num>
  <w:num w:numId="11">
    <w:abstractNumId w:val="21"/>
  </w:num>
  <w:num w:numId="12">
    <w:abstractNumId w:val="32"/>
  </w:num>
  <w:num w:numId="13">
    <w:abstractNumId w:val="27"/>
  </w:num>
  <w:num w:numId="14">
    <w:abstractNumId w:val="39"/>
  </w:num>
  <w:num w:numId="15">
    <w:abstractNumId w:val="12"/>
  </w:num>
  <w:num w:numId="16">
    <w:abstractNumId w:val="35"/>
  </w:num>
  <w:num w:numId="17">
    <w:abstractNumId w:val="18"/>
  </w:num>
  <w:num w:numId="18">
    <w:abstractNumId w:val="40"/>
  </w:num>
  <w:num w:numId="19">
    <w:abstractNumId w:val="31"/>
  </w:num>
  <w:num w:numId="20">
    <w:abstractNumId w:val="45"/>
  </w:num>
  <w:num w:numId="21">
    <w:abstractNumId w:val="7"/>
  </w:num>
  <w:num w:numId="22">
    <w:abstractNumId w:val="28"/>
  </w:num>
  <w:num w:numId="23">
    <w:abstractNumId w:val="26"/>
  </w:num>
  <w:num w:numId="24">
    <w:abstractNumId w:val="15"/>
  </w:num>
  <w:num w:numId="25">
    <w:abstractNumId w:val="30"/>
  </w:num>
  <w:num w:numId="26">
    <w:abstractNumId w:val="25"/>
  </w:num>
  <w:num w:numId="27">
    <w:abstractNumId w:val="41"/>
  </w:num>
  <w:num w:numId="28">
    <w:abstractNumId w:val="43"/>
  </w:num>
  <w:num w:numId="29">
    <w:abstractNumId w:val="37"/>
  </w:num>
  <w:num w:numId="30">
    <w:abstractNumId w:val="36"/>
  </w:num>
  <w:num w:numId="31">
    <w:abstractNumId w:val="8"/>
  </w:num>
  <w:num w:numId="32">
    <w:abstractNumId w:val="44"/>
  </w:num>
  <w:num w:numId="33">
    <w:abstractNumId w:val="23"/>
  </w:num>
  <w:num w:numId="34">
    <w:abstractNumId w:val="24"/>
  </w:num>
  <w:num w:numId="35">
    <w:abstractNumId w:val="29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10"/>
  </w:num>
  <w:num w:numId="41">
    <w:abstractNumId w:val="16"/>
  </w:num>
  <w:num w:numId="42">
    <w:abstractNumId w:val="9"/>
  </w:num>
  <w:num w:numId="43">
    <w:abstractNumId w:val="22"/>
  </w:num>
  <w:num w:numId="44">
    <w:abstractNumId w:val="14"/>
  </w:num>
  <w:num w:numId="45">
    <w:abstractNumId w:val="42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MS Gothic" w:hAnsi="Cambria" w:cs="Times New Roman"/>
      <w:b/>
      <w:bCs/>
      <w:color w:val="DDDDD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MS Gothic" w:hint="default"/>
      <w:b/>
      <w:bCs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Calibri" w:hAnsi="Times New Roman" w:cs="Times New Roman" w:hint="default"/>
      <w:bCs/>
      <w:sz w:val="24"/>
      <w:szCs w:val="24"/>
      <w:lang w:val="sk-SK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  <w:lang w:val="sk-SK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/>
      <w:bCs/>
      <w:sz w:val="24"/>
      <w:szCs w:val="24"/>
      <w:lang w:val="sk-SK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  <w:color w:val="000000"/>
      <w:sz w:val="24"/>
      <w:szCs w:val="24"/>
      <w:lang w:val="sk-SK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Calibri" w:hAnsi="Times New Roman" w:cs="Times New Roman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libri" w:hAnsi="Times New Roman" w:cs="Times New Roman" w:hint="default"/>
      <w:sz w:val="24"/>
      <w:szCs w:val="24"/>
      <w:lang w:val="sk-SK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character" w:customStyle="1" w:styleId="HlavikaChar">
    <w:name w:val="Hlavička Char"/>
    <w:uiPriority w:val="99"/>
    <w:rPr>
      <w:lang w:val="cs-CZ"/>
    </w:rPr>
  </w:style>
  <w:style w:type="character" w:customStyle="1" w:styleId="PtaChar">
    <w:name w:val="Päta Char"/>
    <w:uiPriority w:val="99"/>
    <w:rPr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5F5F5F"/>
      <w:u w:val="single"/>
    </w:rPr>
  </w:style>
  <w:style w:type="character" w:customStyle="1" w:styleId="Nadpis3Char">
    <w:name w:val="Nadpis 3 Char"/>
    <w:rPr>
      <w:rFonts w:ascii="Cambria" w:eastAsia="MS Gothic" w:hAnsi="Cambria" w:cs="Times New Roman"/>
      <w:b/>
      <w:bCs/>
      <w:color w:val="DDDDDD"/>
      <w:sz w:val="24"/>
      <w:szCs w:val="24"/>
    </w:rPr>
  </w:style>
  <w:style w:type="character" w:styleId="FollowedHyperlink">
    <w:name w:val="FollowedHyperlink"/>
    <w:rPr>
      <w:color w:val="919191"/>
      <w:u w:val="single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Footer">
    <w:name w:val="foot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  <w:lang w:val="cs-CZ"/>
    </w:rPr>
  </w:style>
  <w:style w:type="paragraph" w:styleId="ListParagraph">
    <w:name w:val="List Paragraph"/>
    <w:basedOn w:val="Normal"/>
    <w:qFormat/>
    <w:pPr>
      <w:spacing w:before="0" w:after="200" w:line="276" w:lineRule="auto"/>
      <w:ind w:left="720" w:right="0" w:firstLine="0"/>
    </w:pPr>
    <w:rPr>
      <w:rFonts w:ascii="Calibri" w:eastAsia="Calibri" w:hAnsi="Calibri" w:cs="Times New Roman"/>
      <w:sz w:val="22"/>
      <w:szCs w:val="22"/>
      <w:lang w:val="cs-CZ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0"/>
      <w:szCs w:val="20"/>
      <w:lang w:val="en-US"/>
    </w:rPr>
  </w:style>
  <w:style w:type="paragraph" w:customStyle="1" w:styleId="statut">
    <w:name w:val="statut"/>
    <w:basedOn w:val="Normal"/>
    <w:rsid w:val="00363A12"/>
    <w:pPr>
      <w:suppressAutoHyphens w:val="0"/>
      <w:jc w:val="center"/>
    </w:pPr>
    <w:rPr>
      <w:lang w:eastAsia="sk-SK"/>
    </w:rPr>
  </w:style>
  <w:style w:type="table" w:styleId="TableGrid">
    <w:name w:val="Table Grid"/>
    <w:basedOn w:val="TableNormal"/>
    <w:rsid w:val="006B33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0F17-8860-4BB3-8395-52ED9296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8</Pages>
  <Words>3455</Words>
  <Characters>19700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Uhnakova, Anna</cp:lastModifiedBy>
  <cp:revision>30</cp:revision>
  <cp:lastPrinted>2020-02-12T09:59:00Z</cp:lastPrinted>
  <dcterms:created xsi:type="dcterms:W3CDTF">2017-10-19T06:55:00Z</dcterms:created>
  <dcterms:modified xsi:type="dcterms:W3CDTF">2020-02-12T10:02:00Z</dcterms:modified>
</cp:coreProperties>
</file>