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5CEC" w:rsidRPr="005F6D5F" w:rsidP="00C05CEC">
      <w:pPr>
        <w:bidi w:val="0"/>
        <w:spacing w:after="0"/>
        <w:rPr>
          <w:rFonts w:ascii="Arial" w:hAnsi="Arial" w:cs="Arial"/>
          <w:b/>
          <w:sz w:val="20"/>
          <w:szCs w:val="20"/>
        </w:rPr>
      </w:pPr>
      <w:r w:rsidRPr="005F6D5F"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C05CEC" w:rsidRPr="005F6D5F" w:rsidP="00C05CEC">
      <w:pPr>
        <w:bidi w:val="0"/>
        <w:spacing w:after="0"/>
        <w:rPr>
          <w:rFonts w:ascii="Arial" w:hAnsi="Arial" w:cs="Arial"/>
          <w:b/>
          <w:sz w:val="20"/>
          <w:szCs w:val="20"/>
        </w:rPr>
      </w:pPr>
      <w:r w:rsidRPr="005F6D5F"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C05CEC" w:rsidRPr="005F6D5F" w:rsidP="00C05CEC">
      <w:pPr>
        <w:bidi w:val="0"/>
        <w:spacing w:after="0"/>
        <w:rPr>
          <w:rFonts w:ascii="Arial" w:hAnsi="Arial" w:cs="Arial"/>
          <w:i/>
          <w:sz w:val="20"/>
          <w:szCs w:val="20"/>
        </w:rPr>
      </w:pPr>
    </w:p>
    <w:p w:rsidR="00C05CEC" w:rsidRPr="005F6D5F" w:rsidP="00C05CEC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C05CEC" w:rsidRPr="005F6D5F" w:rsidP="00C05CEC">
      <w:pPr>
        <w:bidi w:val="0"/>
        <w:spacing w:after="0"/>
        <w:rPr>
          <w:rFonts w:ascii="Arial" w:hAnsi="Arial" w:cs="Arial"/>
          <w:sz w:val="20"/>
          <w:szCs w:val="20"/>
        </w:rPr>
      </w:pPr>
      <w:r w:rsidRPr="005F6D5F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34. schôdza výboru                                                                                                           </w:t>
      </w:r>
    </w:p>
    <w:p w:rsidR="00C05CEC" w:rsidRPr="005F6D5F" w:rsidP="00C05CEC">
      <w:pPr>
        <w:bidi w:val="0"/>
        <w:spacing w:after="0"/>
        <w:rPr>
          <w:rFonts w:ascii="Arial" w:hAnsi="Arial" w:cs="Arial"/>
          <w:sz w:val="20"/>
          <w:szCs w:val="20"/>
        </w:rPr>
      </w:pPr>
      <w:r w:rsidRPr="005F6D5F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CRD-2281/2017</w:t>
      </w:r>
    </w:p>
    <w:p w:rsidR="00C05CEC" w:rsidRPr="005F6D5F" w:rsidP="00C05CEC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C05CEC" w:rsidRPr="005F6D5F" w:rsidP="00C05CEC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C05CEC" w:rsidRPr="005F6D5F" w:rsidP="00C05CEC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F6D5F">
        <w:rPr>
          <w:rFonts w:ascii="Arial" w:hAnsi="Arial" w:cs="Arial"/>
          <w:b/>
          <w:sz w:val="20"/>
          <w:szCs w:val="20"/>
        </w:rPr>
        <w:t>72</w:t>
      </w:r>
    </w:p>
    <w:p w:rsidR="00C05CEC" w:rsidRPr="005F6D5F" w:rsidP="00C05CEC">
      <w:pPr>
        <w:bidi w:val="0"/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 w:rsidRPr="005F6D5F"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C05CEC" w:rsidRPr="005F6D5F" w:rsidP="00C05CEC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F6D5F"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C05CEC" w:rsidRPr="005F6D5F" w:rsidP="00C05CEC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F6D5F"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C05CEC" w:rsidRPr="005F6D5F" w:rsidP="00C05CEC">
      <w:pPr>
        <w:bidi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C05CEC" w:rsidRPr="005F6D5F" w:rsidP="00C05CEC">
      <w:pPr>
        <w:bidi w:val="0"/>
        <w:spacing w:after="0"/>
        <w:jc w:val="center"/>
        <w:rPr>
          <w:rFonts w:ascii="Arial" w:hAnsi="Arial" w:cs="Arial"/>
          <w:sz w:val="20"/>
          <w:szCs w:val="20"/>
        </w:rPr>
      </w:pPr>
      <w:r w:rsidRPr="005F6D5F">
        <w:rPr>
          <w:rFonts w:ascii="Arial" w:hAnsi="Arial" w:cs="Arial"/>
          <w:sz w:val="20"/>
          <w:szCs w:val="20"/>
        </w:rPr>
        <w:t>z 28. novembra 2017</w:t>
      </w:r>
    </w:p>
    <w:p w:rsidR="00C05CEC" w:rsidRPr="005F6D5F" w:rsidP="00C05CEC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C05CEC" w:rsidRPr="005F6D5F" w:rsidP="00C05CEC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C05CEC" w:rsidRPr="005F6D5F" w:rsidP="00C05CEC">
      <w:pPr>
        <w:bidi w:val="0"/>
        <w:jc w:val="both"/>
        <w:rPr>
          <w:rFonts w:ascii="Arial" w:hAnsi="Arial" w:cs="Arial"/>
          <w:bCs/>
          <w:i/>
          <w:sz w:val="20"/>
          <w:szCs w:val="20"/>
        </w:rPr>
      </w:pPr>
      <w:r w:rsidRPr="005F6D5F">
        <w:rPr>
          <w:rFonts w:ascii="Arial" w:hAnsi="Arial" w:cs="Arial"/>
          <w:sz w:val="20"/>
          <w:szCs w:val="20"/>
        </w:rPr>
        <w:t>k</w:t>
      </w:r>
      <w:r w:rsidRPr="005F6D5F" w:rsidR="0076693C">
        <w:rPr>
          <w:rFonts w:ascii="Arial" w:hAnsi="Arial" w:cs="Arial"/>
          <w:sz w:val="20"/>
          <w:szCs w:val="20"/>
        </w:rPr>
        <w:t> uzneseniu Výboru NR SR pre ľudské práva a národnostné menšiny z 23. novembra 2017 č. 68</w:t>
      </w:r>
      <w:r w:rsidRPr="005F6D5F">
        <w:rPr>
          <w:rFonts w:ascii="Arial" w:hAnsi="Arial" w:cs="Arial"/>
          <w:sz w:val="20"/>
          <w:szCs w:val="20"/>
        </w:rPr>
        <w:t xml:space="preserve"> </w:t>
      </w:r>
    </w:p>
    <w:p w:rsidR="00C05CEC" w:rsidRPr="005F6D5F" w:rsidP="00C05CEC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C05CEC" w:rsidRPr="005F6D5F" w:rsidP="00C05CEC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F6D5F">
        <w:rPr>
          <w:rFonts w:ascii="Arial" w:hAnsi="Arial" w:cs="Arial"/>
          <w:i/>
          <w:sz w:val="20"/>
          <w:szCs w:val="20"/>
        </w:rPr>
        <w:tab/>
      </w:r>
      <w:r w:rsidRPr="005F6D5F"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C05CEC" w:rsidRPr="005F6D5F" w:rsidP="00C05CEC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F6D5F"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C05CEC" w:rsidRPr="005F6D5F" w:rsidP="00C05CEC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C05CEC" w:rsidRPr="005F6D5F" w:rsidP="00C05CEC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C05CEC" w:rsidRPr="005F6D5F" w:rsidP="0076693C">
      <w:pPr>
        <w:bidi w:val="0"/>
        <w:jc w:val="both"/>
        <w:rPr>
          <w:rFonts w:ascii="Arial" w:hAnsi="Arial" w:cs="Arial"/>
          <w:b/>
          <w:spacing w:val="20"/>
          <w:sz w:val="20"/>
          <w:szCs w:val="20"/>
        </w:rPr>
      </w:pPr>
      <w:r w:rsidRPr="005F6D5F" w:rsidR="0076693C">
        <w:rPr>
          <w:rFonts w:ascii="Arial" w:hAnsi="Arial" w:cs="Arial"/>
          <w:b/>
          <w:spacing w:val="110"/>
          <w:sz w:val="20"/>
          <w:szCs w:val="20"/>
        </w:rPr>
        <w:t>pozmeňuje</w:t>
      </w:r>
    </w:p>
    <w:p w:rsidR="00C05CEC" w:rsidRPr="005F6D5F" w:rsidP="00C05CEC">
      <w:pPr>
        <w:bidi w:val="0"/>
        <w:spacing w:after="0"/>
        <w:jc w:val="both"/>
        <w:rPr>
          <w:rFonts w:ascii="Arial" w:hAnsi="Arial" w:cs="Arial"/>
          <w:spacing w:val="110"/>
          <w:sz w:val="20"/>
          <w:szCs w:val="20"/>
        </w:rPr>
      </w:pPr>
    </w:p>
    <w:p w:rsidR="0076693C" w:rsidRPr="005F6D5F" w:rsidP="00C05CEC">
      <w:pPr>
        <w:bidi w:val="0"/>
        <w:jc w:val="both"/>
        <w:rPr>
          <w:rFonts w:ascii="Arial" w:hAnsi="Arial" w:cs="Arial"/>
          <w:sz w:val="20"/>
          <w:szCs w:val="20"/>
        </w:rPr>
      </w:pPr>
      <w:r w:rsidRPr="005F6D5F" w:rsidR="00C05CEC">
        <w:rPr>
          <w:rFonts w:ascii="Arial" w:hAnsi="Arial" w:cs="Arial"/>
          <w:sz w:val="20"/>
          <w:szCs w:val="20"/>
        </w:rPr>
        <w:t>s</w:t>
      </w:r>
      <w:r w:rsidRPr="005F6D5F">
        <w:rPr>
          <w:rFonts w:ascii="Arial" w:hAnsi="Arial" w:cs="Arial"/>
          <w:sz w:val="20"/>
          <w:szCs w:val="20"/>
        </w:rPr>
        <w:t xml:space="preserve">voje uznesenie z 23. novembra 2017 č. 68 k tlači 704 nasledovne: </w:t>
      </w:r>
    </w:p>
    <w:p w:rsidR="005F6D5F" w:rsidRPr="005F6D5F" w:rsidP="005F6D5F">
      <w:pPr>
        <w:bidi w:val="0"/>
        <w:jc w:val="both"/>
        <w:rPr>
          <w:rFonts w:ascii="Arial" w:hAnsi="Arial" w:cs="Arial"/>
          <w:b/>
          <w:bCs/>
          <w:sz w:val="20"/>
          <w:szCs w:val="20"/>
        </w:rPr>
      </w:pPr>
      <w:r w:rsidRPr="005F6D5F">
        <w:rPr>
          <w:rFonts w:ascii="Arial" w:hAnsi="Arial" w:cs="Arial"/>
          <w:b/>
          <w:bCs/>
          <w:sz w:val="20"/>
          <w:szCs w:val="20"/>
        </w:rPr>
        <w:t xml:space="preserve">a)  Bod č. 17 prílohy citovaného uznesenia znie: </w:t>
      </w:r>
    </w:p>
    <w:p w:rsidR="005F6D5F" w:rsidRPr="005F6D5F" w:rsidP="005F6D5F">
      <w:pPr>
        <w:bidi w:val="0"/>
        <w:jc w:val="both"/>
        <w:rPr>
          <w:rFonts w:ascii="Arial" w:hAnsi="Arial" w:cs="Arial"/>
          <w:sz w:val="20"/>
          <w:szCs w:val="20"/>
        </w:rPr>
      </w:pPr>
      <w:r w:rsidRPr="005F6D5F">
        <w:rPr>
          <w:rFonts w:ascii="Arial" w:hAnsi="Arial" w:cs="Arial"/>
          <w:sz w:val="20"/>
          <w:szCs w:val="20"/>
        </w:rPr>
        <w:t>17. V čl. I § 35 ods. 1 sa slová „</w:t>
      </w:r>
      <w:r w:rsidRPr="005F6D5F">
        <w:rPr>
          <w:rFonts w:ascii="Arial" w:hAnsi="Arial" w:cs="Arial"/>
          <w:bCs/>
          <w:sz w:val="20"/>
          <w:szCs w:val="20"/>
        </w:rPr>
        <w:t>na</w:t>
      </w:r>
      <w:r w:rsidRPr="005F6D5F">
        <w:rPr>
          <w:rFonts w:ascii="Arial" w:hAnsi="Arial" w:cs="Arial"/>
          <w:sz w:val="20"/>
          <w:szCs w:val="20"/>
        </w:rPr>
        <w:t xml:space="preserve"> území Európskej únie“ nahrádzajú slovami „na území členského štátu“.</w:t>
      </w:r>
    </w:p>
    <w:p w:rsidR="005F6D5F" w:rsidRPr="005F6D5F" w:rsidP="005F6D5F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5F6D5F">
        <w:rPr>
          <w:rFonts w:ascii="Arial" w:hAnsi="Arial" w:cs="Arial"/>
          <w:sz w:val="20"/>
          <w:szCs w:val="20"/>
        </w:rPr>
        <w:t>Legislatívno-technická úprava, ktorou sa rozširuje územie, na ktorom možno poveriť zástupcu, aj o štáty Európskeho hospodárskeho priestoru.</w:t>
      </w:r>
    </w:p>
    <w:p w:rsidR="005F6D5F" w:rsidRPr="005F6D5F" w:rsidP="005F6D5F">
      <w:pPr>
        <w:bidi w:val="0"/>
        <w:jc w:val="both"/>
        <w:rPr>
          <w:rFonts w:ascii="Arial" w:hAnsi="Arial" w:cs="Arial"/>
          <w:b/>
          <w:bCs/>
          <w:sz w:val="20"/>
          <w:szCs w:val="20"/>
        </w:rPr>
      </w:pPr>
      <w:r w:rsidRPr="005F6D5F">
        <w:rPr>
          <w:rFonts w:ascii="Arial" w:hAnsi="Arial" w:cs="Arial"/>
          <w:b/>
          <w:bCs/>
          <w:sz w:val="20"/>
          <w:szCs w:val="20"/>
        </w:rPr>
        <w:t xml:space="preserve">b) Bod č. 27 prílohy citovaného uznesenia znie: </w:t>
      </w:r>
    </w:p>
    <w:p w:rsidR="005F6D5F" w:rsidRPr="005F6D5F" w:rsidP="005F6D5F">
      <w:pPr>
        <w:bidi w:val="0"/>
        <w:jc w:val="both"/>
        <w:rPr>
          <w:rFonts w:ascii="Arial" w:hAnsi="Arial" w:cs="Arial"/>
          <w:sz w:val="20"/>
          <w:szCs w:val="20"/>
        </w:rPr>
      </w:pPr>
      <w:r w:rsidRPr="005F6D5F">
        <w:rPr>
          <w:rFonts w:ascii="Arial" w:hAnsi="Arial" w:cs="Arial"/>
          <w:sz w:val="20"/>
          <w:szCs w:val="20"/>
        </w:rPr>
        <w:t xml:space="preserve">27. V čl. I § 72 ods. 1 sa slová „príslušnému orgánu z iného členského štátu“ nahrádzajú slovami „orgánu členského štátu príslušného na plnenie úloh na účely trestného konania“, slová „príslušný orgán </w:t>
      </w:r>
      <w:r w:rsidRPr="005F6D5F">
        <w:rPr>
          <w:rFonts w:ascii="Arial" w:hAnsi="Arial" w:cs="Arial"/>
          <w:bCs/>
          <w:sz w:val="20"/>
          <w:szCs w:val="20"/>
        </w:rPr>
        <w:t>iného</w:t>
      </w:r>
      <w:r w:rsidRPr="005F6D5F">
        <w:rPr>
          <w:rFonts w:ascii="Arial" w:hAnsi="Arial" w:cs="Arial"/>
          <w:sz w:val="20"/>
          <w:szCs w:val="20"/>
        </w:rPr>
        <w:t xml:space="preserve"> členského štátu“ sa nahrádzajú slovami „orgán členského štátu príslušný na plnenie úloh na účely trestného konania“ a slová „takémuto príslušnému orgánu“ sa nahrádzajú slovami „takémuto orgánu“.</w:t>
      </w:r>
    </w:p>
    <w:p w:rsidR="005F6D5F" w:rsidRPr="005F6D5F" w:rsidP="005F6D5F">
      <w:pPr>
        <w:bidi w:val="0"/>
        <w:rPr>
          <w:rFonts w:ascii="Arial" w:hAnsi="Arial" w:cs="Arial"/>
          <w:b/>
          <w:bCs/>
          <w:sz w:val="20"/>
          <w:szCs w:val="20"/>
        </w:rPr>
      </w:pPr>
      <w:r w:rsidRPr="005F6D5F">
        <w:rPr>
          <w:rFonts w:ascii="Arial" w:hAnsi="Arial" w:cs="Arial"/>
          <w:b/>
          <w:bCs/>
          <w:sz w:val="20"/>
          <w:szCs w:val="20"/>
        </w:rPr>
        <w:t>c) Bod č. 64 prílohy citovaného uznesenia znie:</w:t>
      </w:r>
    </w:p>
    <w:p w:rsidR="005F6D5F" w:rsidRPr="005F6D5F" w:rsidP="005F6D5F">
      <w:pPr>
        <w:bidi w:val="0"/>
        <w:spacing w:after="0"/>
        <w:rPr>
          <w:rFonts w:ascii="Arial" w:hAnsi="Arial" w:cs="Arial"/>
          <w:sz w:val="20"/>
          <w:szCs w:val="20"/>
        </w:rPr>
      </w:pPr>
      <w:r w:rsidRPr="005F6D5F">
        <w:rPr>
          <w:rFonts w:ascii="Arial" w:hAnsi="Arial" w:cs="Arial"/>
          <w:sz w:val="20"/>
          <w:szCs w:val="20"/>
        </w:rPr>
        <w:t>64. V čl. VII sa za bod 1 vkladá nový bod 2, ktorý znie:</w:t>
      </w:r>
    </w:p>
    <w:p w:rsidR="005F6D5F" w:rsidRPr="005F6D5F" w:rsidP="005F6D5F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 w:rsidRPr="005F6D5F">
        <w:rPr>
          <w:rFonts w:ascii="Arial" w:hAnsi="Arial" w:cs="Arial"/>
          <w:sz w:val="20"/>
          <w:szCs w:val="20"/>
        </w:rPr>
        <w:t>2. V § 92b ods. 1 a § 93a ods. 2 až 4 sa vypúšťajú slová „a informovania“.</w:t>
      </w:r>
    </w:p>
    <w:p w:rsidR="005F6D5F" w:rsidRPr="005F6D5F" w:rsidP="005F6D5F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F6D5F" w:rsidRPr="005F6D5F" w:rsidP="005F6D5F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 w:rsidRPr="005F6D5F">
        <w:rPr>
          <w:rFonts w:ascii="Arial" w:hAnsi="Arial" w:cs="Arial"/>
          <w:sz w:val="20"/>
          <w:szCs w:val="20"/>
        </w:rPr>
        <w:t>Bod 2 sa označuje ako bod 3.</w:t>
      </w:r>
    </w:p>
    <w:p w:rsidR="005F6D5F" w:rsidRPr="005F6D5F" w:rsidP="005F6D5F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5F6D5F">
        <w:rPr>
          <w:rFonts w:ascii="Arial" w:hAnsi="Arial" w:cs="Arial"/>
          <w:sz w:val="20"/>
          <w:szCs w:val="20"/>
        </w:rPr>
        <w:t>Legislatívno-technická úprava súvisiaca vecne s novelizačným bodom 1 v tomto článku. Vypustenie daných slov je nevyhnutné na dosiahnutie správnej harmonizácie zákona o bankách s nariadením 2016/679.</w:t>
      </w:r>
    </w:p>
    <w:p w:rsidR="0076693C" w:rsidRPr="005F6D5F" w:rsidP="00C05CEC">
      <w:pPr>
        <w:bidi w:val="0"/>
        <w:jc w:val="both"/>
        <w:rPr>
          <w:rFonts w:ascii="Arial" w:hAnsi="Arial" w:cs="Arial"/>
          <w:b/>
          <w:sz w:val="20"/>
          <w:szCs w:val="20"/>
        </w:rPr>
      </w:pPr>
      <w:r w:rsidRPr="005F6D5F" w:rsidR="005F6D5F">
        <w:rPr>
          <w:rFonts w:ascii="Arial" w:hAnsi="Arial" w:cs="Arial"/>
          <w:b/>
          <w:sz w:val="20"/>
          <w:szCs w:val="20"/>
        </w:rPr>
        <w:t xml:space="preserve">d) </w:t>
      </w:r>
      <w:r w:rsidRPr="005F6D5F" w:rsidR="00922B14">
        <w:rPr>
          <w:rFonts w:ascii="Arial" w:hAnsi="Arial" w:cs="Arial"/>
          <w:b/>
          <w:sz w:val="20"/>
          <w:szCs w:val="20"/>
        </w:rPr>
        <w:t>B</w:t>
      </w:r>
      <w:r w:rsidRPr="005F6D5F">
        <w:rPr>
          <w:rFonts w:ascii="Arial" w:hAnsi="Arial" w:cs="Arial"/>
          <w:b/>
          <w:sz w:val="20"/>
          <w:szCs w:val="20"/>
        </w:rPr>
        <w:t xml:space="preserve">od č. 68 </w:t>
      </w:r>
      <w:r w:rsidRPr="005F6D5F" w:rsidR="005F6D5F">
        <w:rPr>
          <w:rFonts w:ascii="Arial" w:hAnsi="Arial" w:cs="Arial"/>
          <w:b/>
          <w:sz w:val="20"/>
          <w:szCs w:val="20"/>
        </w:rPr>
        <w:t xml:space="preserve">prílohy </w:t>
      </w:r>
      <w:r w:rsidRPr="005F6D5F" w:rsidR="00922B14">
        <w:rPr>
          <w:rFonts w:ascii="Arial" w:hAnsi="Arial" w:cs="Arial"/>
          <w:b/>
          <w:sz w:val="20"/>
          <w:szCs w:val="20"/>
        </w:rPr>
        <w:t xml:space="preserve">citovaného uznesenia znie: </w:t>
      </w:r>
      <w:r w:rsidRPr="005F6D5F">
        <w:rPr>
          <w:rFonts w:ascii="Arial" w:hAnsi="Arial" w:cs="Arial"/>
          <w:b/>
          <w:sz w:val="20"/>
          <w:szCs w:val="20"/>
        </w:rPr>
        <w:t xml:space="preserve"> </w:t>
      </w:r>
    </w:p>
    <w:p w:rsidR="00922B14" w:rsidRPr="005F6D5F" w:rsidP="00922B14">
      <w:pPr>
        <w:bidi w:val="0"/>
        <w:spacing w:after="0" w:line="240" w:lineRule="auto"/>
        <w:jc w:val="both"/>
        <w:rPr>
          <w:rFonts w:ascii="Arial" w:eastAsia="Calibri" w:hAnsi="Arial" w:cs="Arial" w:hint="default"/>
          <w:sz w:val="20"/>
          <w:szCs w:val="20"/>
        </w:rPr>
      </w:pPr>
      <w:r w:rsidRPr="005F6D5F">
        <w:rPr>
          <w:rFonts w:ascii="Arial" w:eastAsia="Calibri" w:hAnsi="Arial" w:cs="Arial" w:hint="default"/>
          <w:sz w:val="20"/>
          <w:szCs w:val="20"/>
        </w:rPr>
        <w:t>„</w:t>
      </w:r>
      <w:r w:rsidRPr="005F6D5F">
        <w:rPr>
          <w:rFonts w:ascii="Arial" w:eastAsia="Calibri" w:hAnsi="Arial" w:cs="Arial" w:hint="default"/>
          <w:sz w:val="20"/>
          <w:szCs w:val="20"/>
        </w:rPr>
        <w:t>68. Za č</w:t>
      </w:r>
      <w:r w:rsidRPr="005F6D5F">
        <w:rPr>
          <w:rFonts w:ascii="Arial" w:eastAsia="Calibri" w:hAnsi="Arial" w:cs="Arial" w:hint="default"/>
          <w:sz w:val="20"/>
          <w:szCs w:val="20"/>
        </w:rPr>
        <w:t>lá</w:t>
      </w:r>
      <w:r w:rsidRPr="005F6D5F">
        <w:rPr>
          <w:rFonts w:ascii="Arial" w:eastAsia="Calibri" w:hAnsi="Arial" w:cs="Arial" w:hint="default"/>
          <w:sz w:val="20"/>
          <w:szCs w:val="20"/>
        </w:rPr>
        <w:t>nok VIII sa vkladá</w:t>
      </w:r>
      <w:r w:rsidRPr="005F6D5F">
        <w:rPr>
          <w:rFonts w:ascii="Arial" w:eastAsia="Calibri" w:hAnsi="Arial" w:cs="Arial" w:hint="default"/>
          <w:sz w:val="20"/>
          <w:szCs w:val="20"/>
        </w:rPr>
        <w:t xml:space="preserve"> nový</w:t>
      </w:r>
      <w:r w:rsidRPr="005F6D5F">
        <w:rPr>
          <w:rFonts w:ascii="Arial" w:eastAsia="Calibri" w:hAnsi="Arial" w:cs="Arial" w:hint="default"/>
          <w:sz w:val="20"/>
          <w:szCs w:val="20"/>
        </w:rPr>
        <w:t xml:space="preserve"> č</w:t>
      </w:r>
      <w:r w:rsidRPr="005F6D5F">
        <w:rPr>
          <w:rFonts w:ascii="Arial" w:eastAsia="Calibri" w:hAnsi="Arial" w:cs="Arial" w:hint="default"/>
          <w:sz w:val="20"/>
          <w:szCs w:val="20"/>
        </w:rPr>
        <w:t>lá</w:t>
      </w:r>
      <w:r w:rsidRPr="005F6D5F">
        <w:rPr>
          <w:rFonts w:ascii="Arial" w:eastAsia="Calibri" w:hAnsi="Arial" w:cs="Arial" w:hint="default"/>
          <w:sz w:val="20"/>
          <w:szCs w:val="20"/>
        </w:rPr>
        <w:t>nok IX, ktorý</w:t>
      </w:r>
      <w:r w:rsidRPr="005F6D5F">
        <w:rPr>
          <w:rFonts w:ascii="Arial" w:eastAsia="Calibri" w:hAnsi="Arial" w:cs="Arial" w:hint="default"/>
          <w:sz w:val="20"/>
          <w:szCs w:val="20"/>
        </w:rPr>
        <w:t xml:space="preserve"> znie:</w:t>
      </w:r>
    </w:p>
    <w:p w:rsidR="00922B14" w:rsidRPr="005F6D5F" w:rsidP="00922B14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922B14" w:rsidRPr="005F6D5F" w:rsidP="00685F25">
      <w:pPr>
        <w:bidi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sk-SK"/>
        </w:rPr>
      </w:pPr>
      <w:r w:rsidRPr="005F6D5F" w:rsidR="00685F25">
        <w:rPr>
          <w:rFonts w:ascii="Arial" w:hAnsi="Arial" w:cs="Arial"/>
          <w:sz w:val="20"/>
          <w:szCs w:val="20"/>
          <w:lang w:eastAsia="sk-SK"/>
        </w:rPr>
        <w:t>„Čl. IX</w:t>
      </w:r>
    </w:p>
    <w:p w:rsidR="00922B14" w:rsidRPr="005F6D5F" w:rsidP="00922B14">
      <w:pPr>
        <w:bidi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sk-SK"/>
        </w:rPr>
      </w:pPr>
      <w:r w:rsidRPr="005F6D5F">
        <w:rPr>
          <w:rFonts w:ascii="Arial" w:hAnsi="Arial" w:cs="Arial"/>
          <w:sz w:val="20"/>
          <w:szCs w:val="20"/>
          <w:lang w:eastAsia="sk-SK"/>
        </w:rPr>
        <w:t>Zákon č. 586/2003 Z. z. o advokácii a o zmene a doplnení zákona č. 455/1991 Zb. o živnostenskom podnikaní (živnostenský zákon) v znení neskorších predpisov v znení zákona Národnej rady Slovenskej republiky č. 8/2005 Z. z., zákona Národnej rady Slovenskej republiky č. 327/2005 Z. z., zákona Národnej rady Slovenskej republiky č. 331/2007 Z. z., zákona Národnej rady Slovenskej republiky č. 297/2008 Z. z., zákona Národnej rady Slovenskej republiky č. 451/2008 Z. z., zákona Národnej rady Slovenskej republiky č. 304/2009 Z. z., zákona Národnej rady Slovenskej republiky č. 136/2010 Z. z., zákona Národnej rady Slovenskej republiky č. 332/2011 Z. z., zákona Národnej rady Slovenskej republiky č. 335/2012 Z. z., zákona Národnej rady Slovenskej republiky č. 339/2013 Z. z., zákona Národnej rady Slovenskej republiky č. 440/2015 Z. z., zákona Národnej rady Slovenskej republiky č. 125/2016 Z. z. sa mení a dopĺňa takto:</w:t>
      </w:r>
    </w:p>
    <w:p w:rsidR="00922B14" w:rsidRPr="005F6D5F" w:rsidP="00922B14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</w:p>
    <w:p w:rsidR="00922B14" w:rsidRPr="005F6D5F" w:rsidP="00922B14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F6D5F">
        <w:rPr>
          <w:rFonts w:ascii="Arial" w:hAnsi="Arial" w:cs="Arial"/>
          <w:sz w:val="20"/>
          <w:szCs w:val="20"/>
          <w:lang w:eastAsia="sk-SK"/>
        </w:rPr>
        <w:t>1. V § 18 odseky 6 a 7 znejú:</w:t>
      </w:r>
    </w:p>
    <w:p w:rsidR="00922B14" w:rsidRPr="005F6D5F" w:rsidP="00685F25">
      <w:pPr>
        <w:bidi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sk-SK"/>
        </w:rPr>
      </w:pPr>
      <w:r w:rsidRPr="005F6D5F">
        <w:rPr>
          <w:rFonts w:ascii="Arial" w:hAnsi="Arial" w:cs="Arial"/>
          <w:sz w:val="20"/>
          <w:szCs w:val="20"/>
          <w:lang w:eastAsia="sk-SK"/>
        </w:rPr>
        <w:t>„(6) Advokát spracúva osobné údaje klientov a iných fyzických osôb v rozsahu nevyhnutnom na účely výkonu advokácie v súlade s týmto zákonom a s osobitným predpisom.</w:t>
      </w:r>
      <w:r w:rsidRPr="005F6D5F">
        <w:rPr>
          <w:rFonts w:ascii="Arial" w:hAnsi="Arial" w:cs="Arial"/>
          <w:sz w:val="20"/>
          <w:szCs w:val="20"/>
          <w:vertAlign w:val="superscript"/>
          <w:lang w:eastAsia="sk-SK"/>
        </w:rPr>
        <w:t>12b</w:t>
      </w:r>
      <w:r w:rsidRPr="005F6D5F">
        <w:rPr>
          <w:rFonts w:ascii="Arial" w:hAnsi="Arial" w:cs="Arial"/>
          <w:sz w:val="20"/>
          <w:szCs w:val="20"/>
          <w:lang w:eastAsia="sk-SK"/>
        </w:rPr>
        <w:t>) Advokát má pri spracúvaní osobných údajov v zmysle prvej vety tohto odseku  postavenie prevádzkovateľa podľa osobitného predpisu.</w:t>
      </w:r>
      <w:r w:rsidRPr="005F6D5F">
        <w:rPr>
          <w:rFonts w:ascii="Arial" w:hAnsi="Arial" w:cs="Arial"/>
          <w:sz w:val="20"/>
          <w:szCs w:val="20"/>
          <w:vertAlign w:val="superscript"/>
          <w:lang w:eastAsia="sk-SK"/>
        </w:rPr>
        <w:t>12c</w:t>
      </w:r>
      <w:r w:rsidRPr="005F6D5F">
        <w:rPr>
          <w:rFonts w:ascii="Arial" w:hAnsi="Arial" w:cs="Arial"/>
          <w:sz w:val="20"/>
          <w:szCs w:val="20"/>
          <w:lang w:eastAsia="sk-SK"/>
        </w:rPr>
        <w:t>)</w:t>
      </w:r>
    </w:p>
    <w:p w:rsidR="00922B14" w:rsidRPr="005F6D5F" w:rsidP="00685F25">
      <w:pPr>
        <w:bidi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sk-SK"/>
        </w:rPr>
      </w:pPr>
      <w:r w:rsidRPr="005F6D5F">
        <w:rPr>
          <w:rFonts w:ascii="Arial" w:hAnsi="Arial" w:cs="Arial"/>
          <w:sz w:val="20"/>
          <w:szCs w:val="20"/>
          <w:lang w:eastAsia="sk-SK"/>
        </w:rPr>
        <w:t>(7) Advokát je oprávnený získavať a spracúvať osobné údaje nevyhnutné na účely výkonu advokácie kopírovaním, skenovaním alebo iným zaznamenávaním úradných dokladov na nosič informácií bez súhlasu dotknutej osoby.“.</w:t>
      </w:r>
    </w:p>
    <w:p w:rsidR="00922B14" w:rsidRPr="005F6D5F" w:rsidP="00922B14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922B14" w:rsidRPr="005F6D5F" w:rsidP="00922B14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F6D5F">
        <w:rPr>
          <w:rFonts w:ascii="Arial" w:hAnsi="Arial" w:cs="Arial"/>
          <w:sz w:val="20"/>
          <w:szCs w:val="20"/>
          <w:lang w:eastAsia="sk-SK"/>
        </w:rPr>
        <w:t>Poznámky pod čiarou k odkazu 12b a 12c znejú:</w:t>
      </w:r>
    </w:p>
    <w:p w:rsidR="00922B14" w:rsidRPr="005F6D5F" w:rsidP="00922B14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922B14" w:rsidRPr="005F6D5F" w:rsidP="00922B14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F6D5F">
        <w:rPr>
          <w:rFonts w:ascii="Arial" w:hAnsi="Arial" w:cs="Arial"/>
          <w:sz w:val="20"/>
          <w:szCs w:val="20"/>
          <w:lang w:eastAsia="sk-SK"/>
        </w:rPr>
        <w:t>„</w:t>
      </w:r>
      <w:r w:rsidRPr="005F6D5F">
        <w:rPr>
          <w:rFonts w:ascii="Arial" w:hAnsi="Arial" w:cs="Arial"/>
          <w:sz w:val="20"/>
          <w:szCs w:val="20"/>
          <w:vertAlign w:val="superscript"/>
          <w:lang w:eastAsia="sk-SK"/>
        </w:rPr>
        <w:t>12b</w:t>
      </w:r>
      <w:r w:rsidRPr="005F6D5F">
        <w:rPr>
          <w:rFonts w:ascii="Arial" w:hAnsi="Arial" w:cs="Arial"/>
          <w:sz w:val="20"/>
          <w:szCs w:val="20"/>
          <w:lang w:eastAsia="sk-SK"/>
        </w:rPr>
        <w:t>) Nariadenie Európskeho parlamentu a Rady (EÚ) 2016/679 z 27. apríla 2016 o ochrane fyzických osôb pri spracúvaní osobných údajov a o voľnom pohybe takýchto údajov, ktorým sa zrušuje smernica 95/46/ES (všeobecné nariadenie o ochrane údajov).</w:t>
      </w:r>
    </w:p>
    <w:p w:rsidR="00922B14" w:rsidRPr="005F6D5F" w:rsidP="00922B14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F6D5F">
        <w:rPr>
          <w:rFonts w:ascii="Arial" w:hAnsi="Arial" w:cs="Arial"/>
          <w:sz w:val="20"/>
          <w:szCs w:val="20"/>
          <w:vertAlign w:val="superscript"/>
          <w:lang w:eastAsia="sk-SK"/>
        </w:rPr>
        <w:t>12c</w:t>
      </w:r>
      <w:r w:rsidRPr="005F6D5F">
        <w:rPr>
          <w:rFonts w:ascii="Arial" w:hAnsi="Arial" w:cs="Arial"/>
          <w:sz w:val="20"/>
          <w:szCs w:val="20"/>
          <w:lang w:eastAsia="sk-SK"/>
        </w:rPr>
        <w:t>) Čl. 4 ods. 7 (EÚ) 2016/679.“.</w:t>
      </w:r>
    </w:p>
    <w:p w:rsidR="00922B14" w:rsidRPr="005F6D5F" w:rsidP="00922B14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922B14" w:rsidRPr="005F6D5F" w:rsidP="00922B14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922B14" w:rsidRPr="005F6D5F" w:rsidP="00922B14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F6D5F">
        <w:rPr>
          <w:rFonts w:ascii="Arial" w:hAnsi="Arial" w:cs="Arial"/>
          <w:sz w:val="20"/>
          <w:szCs w:val="20"/>
          <w:lang w:eastAsia="sk-SK"/>
        </w:rPr>
        <w:t>2. § 18 sa dopĺňa odsekmi 8 a 9, ktoré znejú:</w:t>
      </w:r>
    </w:p>
    <w:p w:rsidR="00922B14" w:rsidRPr="005F6D5F" w:rsidP="00685F25">
      <w:pPr>
        <w:bidi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sk-SK"/>
        </w:rPr>
      </w:pPr>
      <w:r w:rsidRPr="005F6D5F">
        <w:rPr>
          <w:rFonts w:ascii="Arial" w:hAnsi="Arial" w:cs="Arial"/>
          <w:sz w:val="20"/>
          <w:szCs w:val="20"/>
          <w:lang w:eastAsia="sk-SK"/>
        </w:rPr>
        <w:t>„(8) Advokát nemá povinnosť poskytnúť informácie o spracúvaní osobných údajov, umožniť prístup alebo prenosnosť osobných údajov podľa osobitného predpisu,</w:t>
      </w:r>
      <w:r w:rsidRPr="005F6D5F">
        <w:rPr>
          <w:rFonts w:ascii="Arial" w:hAnsi="Arial" w:cs="Arial"/>
          <w:sz w:val="20"/>
          <w:szCs w:val="20"/>
          <w:vertAlign w:val="superscript"/>
          <w:lang w:eastAsia="sk-SK"/>
        </w:rPr>
        <w:t>12d</w:t>
      </w:r>
      <w:r w:rsidRPr="005F6D5F">
        <w:rPr>
          <w:rFonts w:ascii="Arial" w:hAnsi="Arial" w:cs="Arial"/>
          <w:sz w:val="20"/>
          <w:szCs w:val="20"/>
          <w:lang w:eastAsia="sk-SK"/>
        </w:rPr>
        <w:t>) ak by to mohlo viesť k porušeniu povinnosti advokáta zachovávať mlčanlivosť podľa tohto zákona.</w:t>
      </w:r>
    </w:p>
    <w:p w:rsidR="00922B14" w:rsidRPr="005F6D5F" w:rsidP="00685F25">
      <w:pPr>
        <w:bidi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sk-SK"/>
        </w:rPr>
      </w:pPr>
      <w:r w:rsidRPr="005F6D5F">
        <w:rPr>
          <w:rFonts w:ascii="Arial" w:hAnsi="Arial" w:cs="Arial"/>
          <w:sz w:val="20"/>
          <w:szCs w:val="20"/>
          <w:lang w:eastAsia="sk-SK"/>
        </w:rPr>
        <w:t>(9) Komora uznesením môže upraviť ďalšie práva a povinnosti komory, advokátov a dotknutých osôb prijatím kódexu správania podľa osobitného predpisu.</w:t>
      </w:r>
      <w:r w:rsidRPr="005F6D5F">
        <w:rPr>
          <w:rFonts w:ascii="Arial" w:hAnsi="Arial" w:cs="Arial"/>
          <w:sz w:val="20"/>
          <w:szCs w:val="20"/>
          <w:vertAlign w:val="superscript"/>
          <w:lang w:eastAsia="sk-SK"/>
        </w:rPr>
        <w:t>12e</w:t>
      </w:r>
      <w:r w:rsidRPr="005F6D5F">
        <w:rPr>
          <w:rFonts w:ascii="Arial" w:hAnsi="Arial" w:cs="Arial"/>
          <w:sz w:val="20"/>
          <w:szCs w:val="20"/>
          <w:lang w:eastAsia="sk-SK"/>
        </w:rPr>
        <w:t>)“.</w:t>
      </w:r>
    </w:p>
    <w:p w:rsidR="00922B14" w:rsidRPr="005F6D5F" w:rsidP="00922B14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922B14" w:rsidRPr="005F6D5F" w:rsidP="00922B14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922B14" w:rsidRPr="005F6D5F" w:rsidP="00922B14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F6D5F">
        <w:rPr>
          <w:rFonts w:ascii="Arial" w:hAnsi="Arial" w:cs="Arial"/>
          <w:sz w:val="20"/>
          <w:szCs w:val="20"/>
          <w:lang w:eastAsia="sk-SK"/>
        </w:rPr>
        <w:t>Poznámky pod čiarou k odkazom 12d a 12e znejú:</w:t>
      </w:r>
    </w:p>
    <w:p w:rsidR="00922B14" w:rsidRPr="005F6D5F" w:rsidP="00922B14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F6D5F">
        <w:rPr>
          <w:rFonts w:ascii="Arial" w:hAnsi="Arial" w:cs="Arial"/>
          <w:sz w:val="20"/>
          <w:szCs w:val="20"/>
          <w:lang w:eastAsia="sk-SK"/>
        </w:rPr>
        <w:t>„</w:t>
      </w:r>
      <w:r w:rsidRPr="005F6D5F">
        <w:rPr>
          <w:rFonts w:ascii="Arial" w:hAnsi="Arial" w:cs="Arial"/>
          <w:sz w:val="20"/>
          <w:szCs w:val="20"/>
          <w:vertAlign w:val="superscript"/>
          <w:lang w:eastAsia="sk-SK"/>
        </w:rPr>
        <w:t>12d</w:t>
      </w:r>
      <w:r w:rsidRPr="005F6D5F">
        <w:rPr>
          <w:rFonts w:ascii="Arial" w:hAnsi="Arial" w:cs="Arial"/>
          <w:sz w:val="20"/>
          <w:szCs w:val="20"/>
          <w:lang w:eastAsia="sk-SK"/>
        </w:rPr>
        <w:t>) Čl. 14 ods. 5 písm. d), čl. 15 ods.  4 a čl. 20 ods. 4  (EÚ) 2016/679.</w:t>
      </w:r>
    </w:p>
    <w:p w:rsidR="00922B14" w:rsidRPr="005F6D5F" w:rsidP="00922B14">
      <w:pPr>
        <w:bidi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F6D5F">
        <w:rPr>
          <w:rFonts w:ascii="Arial" w:hAnsi="Arial" w:cs="Arial"/>
          <w:sz w:val="20"/>
          <w:szCs w:val="20"/>
          <w:vertAlign w:val="superscript"/>
          <w:lang w:eastAsia="sk-SK"/>
        </w:rPr>
        <w:t xml:space="preserve"> 12e</w:t>
      </w:r>
      <w:r w:rsidRPr="005F6D5F">
        <w:rPr>
          <w:rFonts w:ascii="Arial" w:hAnsi="Arial" w:cs="Arial"/>
          <w:sz w:val="20"/>
          <w:szCs w:val="20"/>
          <w:lang w:eastAsia="sk-SK"/>
        </w:rPr>
        <w:t>) Čl. 23, čl. 40 a čl. 90 (EÚ) 2016/679.“.</w:t>
      </w:r>
    </w:p>
    <w:p w:rsidR="00922B14" w:rsidRPr="005F6D5F" w:rsidP="00C05CEC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922B14" w:rsidRPr="005F6D5F" w:rsidP="00922B14">
      <w:pPr>
        <w:bidi w:val="0"/>
        <w:ind w:left="3402"/>
        <w:jc w:val="both"/>
        <w:rPr>
          <w:rFonts w:ascii="Arial" w:hAnsi="Arial" w:cs="Arial"/>
          <w:sz w:val="20"/>
          <w:szCs w:val="20"/>
        </w:rPr>
      </w:pPr>
      <w:r w:rsidRPr="005F6D5F">
        <w:rPr>
          <w:rFonts w:ascii="Arial" w:hAnsi="Arial" w:cs="Arial"/>
          <w:sz w:val="20"/>
          <w:szCs w:val="20"/>
        </w:rPr>
        <w:t>V súlade s nariadením Európskeho parlamentu a Rady (EÚ) 2016/679 z 27. apríla 2016 o ochrane fyzických osôb pri spracúvaní osobných údajov a o voľnom pohybe takýchto údajov, ktorým sa zrušuje smernica 95/46/ES (všeobecné nariadenie o ochrane údajov) sa navrhuje osobitne upraviť možnosti rešpektovanie povinnosti profesijnej mlčanlivosti a osobitnej úpravy ochrany práv tretích osôb v právnom postavení klienta.“</w:t>
      </w:r>
    </w:p>
    <w:p w:rsidR="00922B14" w:rsidRPr="005F6D5F" w:rsidP="00C05CEC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685F25" w:rsidRPr="005F6D5F" w:rsidP="00C05CEC">
      <w:pPr>
        <w:bidi w:val="0"/>
        <w:spacing w:after="0"/>
        <w:rPr>
          <w:rFonts w:ascii="Arial" w:hAnsi="Arial" w:cs="Arial"/>
          <w:sz w:val="20"/>
          <w:szCs w:val="20"/>
        </w:rPr>
      </w:pPr>
      <w:r w:rsidRPr="005F6D5F">
        <w:rPr>
          <w:rFonts w:ascii="Arial" w:hAnsi="Arial" w:cs="Arial"/>
          <w:sz w:val="20"/>
          <w:szCs w:val="20"/>
        </w:rPr>
        <w:t xml:space="preserve">Mária Janíková        </w:t>
        <w:tab/>
        <w:tab/>
        <w:tab/>
        <w:tab/>
        <w:tab/>
        <w:tab/>
        <w:tab/>
        <w:tab/>
        <w:t>Erika Jurinová</w:t>
      </w:r>
    </w:p>
    <w:p w:rsidR="00685F25" w:rsidRPr="005F6D5F" w:rsidP="00C05CEC">
      <w:pPr>
        <w:bidi w:val="0"/>
        <w:spacing w:after="0"/>
        <w:rPr>
          <w:rFonts w:ascii="Arial" w:hAnsi="Arial" w:cs="Arial"/>
          <w:sz w:val="20"/>
          <w:szCs w:val="20"/>
        </w:rPr>
      </w:pPr>
      <w:r w:rsidRPr="005F6D5F">
        <w:rPr>
          <w:rFonts w:ascii="Arial" w:hAnsi="Arial" w:cs="Arial"/>
          <w:sz w:val="20"/>
          <w:szCs w:val="20"/>
        </w:rPr>
        <w:t xml:space="preserve">overovateľka </w:t>
        <w:tab/>
        <w:tab/>
        <w:tab/>
        <w:tab/>
        <w:tab/>
        <w:tab/>
        <w:tab/>
        <w:tab/>
        <w:tab/>
        <w:t>predsedníčka výboru</w:t>
      </w:r>
    </w:p>
    <w:p w:rsidR="00D84A42" w:rsidRPr="005F6D5F">
      <w:pPr>
        <w:bidi w:val="0"/>
        <w:rPr>
          <w:rFonts w:ascii="Arial" w:hAnsi="Arial" w:cs="Arial"/>
          <w:sz w:val="20"/>
          <w:szCs w:val="20"/>
        </w:rPr>
      </w:pPr>
    </w:p>
    <w:sectPr w:rsidSect="00685F25">
      <w:pgSz w:w="11906" w:h="16838"/>
      <w:pgMar w:top="1417" w:right="1417" w:bottom="1417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469F"/>
    <w:multiLevelType w:val="hybridMultilevel"/>
    <w:tmpl w:val="D2D27252"/>
    <w:lvl w:ilvl="0">
      <w:start w:val="1"/>
      <w:numFmt w:val="upperLetter"/>
      <w:lvlText w:val="%1."/>
      <w:lvlJc w:val="left"/>
      <w:pPr>
        <w:ind w:left="177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6E52"/>
    <w:rsid w:val="00121927"/>
    <w:rsid w:val="00534E9D"/>
    <w:rsid w:val="005F6D5F"/>
    <w:rsid w:val="00685F25"/>
    <w:rsid w:val="0076693C"/>
    <w:rsid w:val="00905C3F"/>
    <w:rsid w:val="00922B14"/>
    <w:rsid w:val="00B006CF"/>
    <w:rsid w:val="00B66E52"/>
    <w:rsid w:val="00BE23B7"/>
    <w:rsid w:val="00BE3990"/>
    <w:rsid w:val="00C05CEC"/>
    <w:rsid w:val="00D84A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EC"/>
    <w:pPr>
      <w:framePr w:wrap="auto"/>
      <w:widowControl/>
      <w:autoSpaceDE/>
      <w:autoSpaceDN/>
      <w:adjustRightInd/>
      <w:spacing w:after="160" w:line="252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5CEC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719</Words>
  <Characters>4101</Characters>
  <Application>Microsoft Office Word</Application>
  <DocSecurity>0</DocSecurity>
  <Lines>0</Lines>
  <Paragraphs>0</Paragraphs>
  <ScaleCrop>false</ScaleCrop>
  <Company>Kancelaria NRSR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dcterms:created xsi:type="dcterms:W3CDTF">2017-11-28T13:13:00Z</dcterms:created>
  <dcterms:modified xsi:type="dcterms:W3CDTF">2017-11-28T13:13:00Z</dcterms:modified>
</cp:coreProperties>
</file>