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39E4" w:rsidP="00376948">
      <w:pPr>
        <w:tabs>
          <w:tab w:val="left" w:pos="567"/>
        </w:tabs>
        <w:bidi w:val="0"/>
        <w:rPr>
          <w:rFonts w:ascii="Times New Roman" w:hAnsi="Times New Roman"/>
        </w:rPr>
      </w:pPr>
      <w:r w:rsidRPr="00BA155B" w:rsidR="00376948">
        <w:rPr>
          <w:rFonts w:ascii="Times New Roman" w:hAnsi="Times New Roman"/>
        </w:rPr>
        <w:t xml:space="preserve">                </w:t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>6</w:t>
      </w:r>
      <w:r w:rsidRPr="00BA155B" w:rsidR="00376948">
        <w:rPr>
          <w:rFonts w:ascii="Times New Roman" w:hAnsi="Times New Roman"/>
        </w:rPr>
        <w:t>. schôdza výboru</w:t>
      </w:r>
    </w:p>
    <w:p w:rsidR="00376948" w:rsidP="00376948">
      <w:pPr>
        <w:tabs>
          <w:tab w:val="left" w:pos="567"/>
        </w:tabs>
        <w:bidi w:val="0"/>
        <w:rPr>
          <w:rFonts w:ascii="Times New Roman" w:hAnsi="Times New Roman"/>
        </w:rPr>
      </w:pPr>
      <w:r w:rsidR="008539E4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>CRD-894-1/2016-VEZ</w:t>
      </w:r>
    </w:p>
    <w:p w:rsidR="008539E4" w:rsidRPr="00BA155B" w:rsidP="00376948">
      <w:pPr>
        <w:tabs>
          <w:tab w:val="left" w:pos="567"/>
        </w:tabs>
        <w:bidi w:val="0"/>
        <w:rPr>
          <w:rFonts w:ascii="Times New Roman" w:hAnsi="Times New Roman"/>
        </w:rPr>
      </w:pPr>
    </w:p>
    <w:p w:rsidR="00376948" w:rsidRPr="00BA155B" w:rsidP="00376948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="008539E4">
        <w:rPr>
          <w:rFonts w:ascii="Times New Roman" w:hAnsi="Times New Roman"/>
          <w:b/>
        </w:rPr>
        <w:t>9</w:t>
      </w:r>
      <w:r w:rsidRPr="00BA155B">
        <w:rPr>
          <w:rFonts w:ascii="Times New Roman" w:hAnsi="Times New Roman"/>
          <w:b/>
        </w:rPr>
        <w:t>.</w:t>
      </w:r>
    </w:p>
    <w:p w:rsidR="00376948" w:rsidRPr="00BA155B" w:rsidP="00376948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376948" w:rsidRPr="00BA155B" w:rsidP="00376948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BA155B">
        <w:rPr>
          <w:rFonts w:ascii="Times New Roman" w:hAnsi="Times New Roman"/>
          <w:b/>
        </w:rPr>
        <w:t>U z n e s e n i e</w:t>
      </w:r>
    </w:p>
    <w:p w:rsidR="00376948" w:rsidRPr="00BA155B" w:rsidP="00376948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BA155B">
        <w:rPr>
          <w:rFonts w:ascii="Times New Roman" w:hAnsi="Times New Roman"/>
          <w:b/>
        </w:rPr>
        <w:t>Výboru Národnej rady Slovenskej republiky pre európske záležitosti</w:t>
      </w:r>
    </w:p>
    <w:p w:rsidR="00376948" w:rsidRPr="00BA155B" w:rsidP="00376948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376948" w:rsidRPr="00BA155B" w:rsidP="00376948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Pr="00BA155B">
        <w:rPr>
          <w:rFonts w:ascii="Times New Roman" w:hAnsi="Times New Roman"/>
        </w:rPr>
        <w:t>z 10. mája 2016</w:t>
      </w:r>
    </w:p>
    <w:p w:rsidR="00376948" w:rsidRPr="00BA155B" w:rsidP="00376948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BA155B"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376948" w:rsidRPr="00BA155B" w:rsidP="0037694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BA155B">
        <w:rPr>
          <w:rFonts w:ascii="Times New Roman" w:hAnsi="Times New Roman"/>
        </w:rPr>
        <w:t>návrhu smernice Európskeho parlamentu a Rady, ktorou sa mení smernica Európskeho parlamentu a Rady 96/71/ES zo 16. decembra 1996 o vysielaní pracovníkov v rámci poskytovania služieb (COM(2016)128)</w:t>
      </w:r>
    </w:p>
    <w:p w:rsidR="00376948" w:rsidRPr="00BA155B" w:rsidP="0037694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76948" w:rsidRPr="00BA155B" w:rsidP="00376948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376948" w:rsidRPr="00BA155B" w:rsidP="00376948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BA155B">
        <w:rPr>
          <w:rFonts w:ascii="Times New Roman" w:hAnsi="Times New Roman"/>
          <w:b/>
        </w:rPr>
        <w:t>Výbor Národnej rady Slovenskej republiky pre európske záležitosti</w:t>
      </w:r>
    </w:p>
    <w:p w:rsidR="00376948" w:rsidRPr="00BA155B" w:rsidP="0037694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76948" w:rsidRPr="00BA155B" w:rsidP="0037694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BA155B">
        <w:rPr>
          <w:rFonts w:ascii="Times New Roman" w:hAnsi="Times New Roman"/>
        </w:rPr>
        <w:t>so zreteľom na Zmluvu o Európskej únii, a najmä jej článok 5,</w:t>
      </w:r>
    </w:p>
    <w:p w:rsidR="00376948" w:rsidRPr="00BA155B" w:rsidP="0037694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76948" w:rsidRPr="00BA155B" w:rsidP="0037694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BA155B">
        <w:rPr>
          <w:rFonts w:ascii="Times New Roman" w:hAnsi="Times New Roman"/>
        </w:rPr>
        <w:t>so zreteľom na Zmluvu o fungovaní Európskej únie, a najmä jej článok 78 ods. 2 písm. e),</w:t>
      </w:r>
    </w:p>
    <w:p w:rsidR="00376948" w:rsidRPr="00BA155B" w:rsidP="0037694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76948" w:rsidRPr="00BA155B" w:rsidP="0037694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en-US"/>
        </w:rPr>
      </w:pPr>
      <w:r w:rsidRPr="00BA155B">
        <w:rPr>
          <w:rFonts w:ascii="Times New Roman" w:hAnsi="Times New Roman"/>
        </w:rPr>
        <w:t xml:space="preserve">konajúc v súlade s Protokolom </w:t>
      </w:r>
      <w:r w:rsidRPr="00BA155B">
        <w:rPr>
          <w:rFonts w:ascii="Times New Roman" w:hAnsi="Times New Roman"/>
          <w:lang w:eastAsia="en-US"/>
        </w:rPr>
        <w:t>o uplatňovaní zásad subsidiarity a</w:t>
      </w:r>
      <w:r w:rsidR="00D92A0B">
        <w:rPr>
          <w:rFonts w:ascii="Times New Roman" w:hAnsi="Times New Roman"/>
          <w:lang w:eastAsia="en-US"/>
        </w:rPr>
        <w:t> </w:t>
      </w:r>
      <w:r w:rsidRPr="00BA155B">
        <w:rPr>
          <w:rFonts w:ascii="Times New Roman" w:hAnsi="Times New Roman"/>
          <w:lang w:eastAsia="en-US"/>
        </w:rPr>
        <w:t>proporcionality,</w:t>
      </w:r>
    </w:p>
    <w:p w:rsidR="004860DF" w:rsidRPr="00BA155B" w:rsidP="0037694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en-US"/>
        </w:rPr>
      </w:pPr>
    </w:p>
    <w:p w:rsidR="004860DF" w:rsidP="000D7D6B">
      <w:pPr>
        <w:bidi w:val="0"/>
        <w:jc w:val="both"/>
        <w:rPr>
          <w:rFonts w:ascii="Times New Roman" w:hAnsi="Times New Roman"/>
        </w:rPr>
      </w:pPr>
      <w:r w:rsidR="000D7D6B">
        <w:rPr>
          <w:rFonts w:ascii="Times New Roman" w:hAnsi="Times New Roman"/>
        </w:rPr>
        <w:t>p</w:t>
      </w:r>
      <w:r w:rsidRPr="000D7D6B">
        <w:rPr>
          <w:rFonts w:ascii="Times New Roman" w:hAnsi="Times New Roman"/>
        </w:rPr>
        <w:t>ozitívne vníma</w:t>
      </w:r>
      <w:r w:rsidR="000D7D6B">
        <w:rPr>
          <w:rFonts w:ascii="Times New Roman" w:hAnsi="Times New Roman"/>
        </w:rPr>
        <w:t>júc</w:t>
      </w:r>
      <w:r w:rsidRPr="000D7D6B">
        <w:rPr>
          <w:rFonts w:ascii="Times New Roman" w:hAnsi="Times New Roman"/>
        </w:rPr>
        <w:t xml:space="preserve"> dlhoročnú snahu Komisie o posilnenie sociálneho rozmeru E</w:t>
      </w:r>
      <w:r w:rsidR="000D7D6B">
        <w:rPr>
          <w:rFonts w:ascii="Times New Roman" w:hAnsi="Times New Roman"/>
        </w:rPr>
        <w:t>urópskej únie</w:t>
      </w:r>
      <w:r w:rsidRPr="000D7D6B">
        <w:rPr>
          <w:rFonts w:ascii="Times New Roman" w:hAnsi="Times New Roman"/>
        </w:rPr>
        <w:t xml:space="preserve"> a oceňuj</w:t>
      </w:r>
      <w:r w:rsidR="000D7D6B">
        <w:rPr>
          <w:rFonts w:ascii="Times New Roman" w:hAnsi="Times New Roman"/>
        </w:rPr>
        <w:t>úc</w:t>
      </w:r>
      <w:r w:rsidRPr="000D7D6B">
        <w:rPr>
          <w:rFonts w:ascii="Times New Roman" w:hAnsi="Times New Roman"/>
        </w:rPr>
        <w:t xml:space="preserve"> jej</w:t>
      </w:r>
      <w:r w:rsidR="000D7D6B">
        <w:rPr>
          <w:rFonts w:ascii="Times New Roman" w:hAnsi="Times New Roman"/>
        </w:rPr>
        <w:t xml:space="preserve"> kroky podniknuté v tomto smere,</w:t>
      </w:r>
    </w:p>
    <w:p w:rsidR="000D7D6B" w:rsidP="000D7D6B">
      <w:pPr>
        <w:bidi w:val="0"/>
        <w:jc w:val="both"/>
        <w:rPr>
          <w:rFonts w:ascii="Times New Roman" w:hAnsi="Times New Roman"/>
        </w:rPr>
      </w:pPr>
    </w:p>
    <w:p w:rsidR="004860DF" w:rsidP="000D7D6B">
      <w:pPr>
        <w:bidi w:val="0"/>
        <w:jc w:val="both"/>
        <w:rPr>
          <w:rFonts w:ascii="Times New Roman" w:hAnsi="Times New Roman"/>
        </w:rPr>
      </w:pPr>
      <w:r w:rsidRPr="000D7D6B" w:rsidR="000D7D6B">
        <w:rPr>
          <w:rFonts w:ascii="Times New Roman" w:hAnsi="Times New Roman"/>
        </w:rPr>
        <w:t>p</w:t>
      </w:r>
      <w:r w:rsidRPr="000D7D6B" w:rsidR="00BE03BB">
        <w:rPr>
          <w:rFonts w:ascii="Times New Roman" w:hAnsi="Times New Roman"/>
        </w:rPr>
        <w:t>odpor</w:t>
      </w:r>
      <w:r w:rsidR="000D7D6B">
        <w:rPr>
          <w:rFonts w:ascii="Times New Roman" w:hAnsi="Times New Roman"/>
        </w:rPr>
        <w:t>ujúc</w:t>
      </w:r>
      <w:r w:rsidRPr="000D7D6B">
        <w:rPr>
          <w:rFonts w:ascii="Times New Roman" w:hAnsi="Times New Roman"/>
        </w:rPr>
        <w:t xml:space="preserve"> zachovanie hodnôt európskeho sociálneho modelu a rozvoja jednotného pracovného trhu ako nástrojov na posilnenie jednoty </w:t>
      </w:r>
      <w:r w:rsidR="000D7D6B">
        <w:rPr>
          <w:rFonts w:ascii="Times New Roman" w:hAnsi="Times New Roman"/>
        </w:rPr>
        <w:t>Európskej únie,</w:t>
      </w:r>
    </w:p>
    <w:p w:rsidR="000D7D6B" w:rsidRPr="000D7D6B" w:rsidP="000D7D6B">
      <w:pPr>
        <w:bidi w:val="0"/>
        <w:jc w:val="both"/>
        <w:rPr>
          <w:rFonts w:ascii="Times New Roman" w:hAnsi="Times New Roman"/>
        </w:rPr>
      </w:pPr>
    </w:p>
    <w:p w:rsidR="004860DF" w:rsidP="000D7D6B">
      <w:pPr>
        <w:bidi w:val="0"/>
        <w:jc w:val="both"/>
        <w:rPr>
          <w:rFonts w:ascii="Times New Roman" w:hAnsi="Times New Roman"/>
        </w:rPr>
      </w:pPr>
      <w:r w:rsidR="000D7D6B">
        <w:rPr>
          <w:rFonts w:ascii="Times New Roman" w:hAnsi="Times New Roman"/>
        </w:rPr>
        <w:t>uvedomujúc si</w:t>
      </w:r>
      <w:r w:rsidRPr="000D7D6B">
        <w:rPr>
          <w:rFonts w:ascii="Times New Roman" w:hAnsi="Times New Roman"/>
        </w:rPr>
        <w:t xml:space="preserve"> problémy súvisiace s vysielaním pracovníkov, ich závažnosť a potrebu </w:t>
      </w:r>
      <w:r w:rsidRPr="000D7D6B" w:rsidR="00BE03BB">
        <w:rPr>
          <w:rFonts w:ascii="Times New Roman" w:hAnsi="Times New Roman"/>
        </w:rPr>
        <w:t xml:space="preserve">ich </w:t>
      </w:r>
      <w:r w:rsidRPr="000D7D6B">
        <w:rPr>
          <w:rFonts w:ascii="Times New Roman" w:hAnsi="Times New Roman"/>
        </w:rPr>
        <w:t>riešenia</w:t>
      </w:r>
      <w:r w:rsidR="000D7D6B">
        <w:rPr>
          <w:rFonts w:ascii="Times New Roman" w:hAnsi="Times New Roman"/>
        </w:rPr>
        <w:t>;</w:t>
      </w:r>
    </w:p>
    <w:p w:rsidR="000D7D6B" w:rsidRPr="000D7D6B" w:rsidP="000D7D6B">
      <w:pPr>
        <w:bidi w:val="0"/>
        <w:jc w:val="both"/>
        <w:rPr>
          <w:rFonts w:ascii="Times New Roman" w:hAnsi="Times New Roman"/>
        </w:rPr>
      </w:pPr>
    </w:p>
    <w:p w:rsidR="00376948" w:rsidRPr="00BA155B" w:rsidP="00376948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07298D">
        <w:rPr>
          <w:rFonts w:ascii="Times New Roman" w:hAnsi="Times New Roman"/>
          <w:b/>
        </w:rPr>
        <w:t>A</w:t>
      </w:r>
      <w:r w:rsidRPr="00BA155B">
        <w:rPr>
          <w:rFonts w:ascii="Times New Roman" w:hAnsi="Times New Roman"/>
          <w:b/>
        </w:rPr>
        <w:t>.</w:t>
        <w:tab/>
        <w:t xml:space="preserve">berie na vedomie  </w:t>
      </w:r>
    </w:p>
    <w:p w:rsidR="00376948" w:rsidRPr="00BA155B" w:rsidP="00376948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BE03BB" w:rsidRPr="00BA155B" w:rsidP="0037694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BA155B" w:rsidR="00376948">
        <w:rPr>
          <w:rFonts w:ascii="Times New Roman" w:hAnsi="Times New Roman"/>
          <w:b/>
        </w:rPr>
        <w:tab/>
      </w:r>
      <w:r w:rsidRPr="00BA155B" w:rsidR="00376948">
        <w:rPr>
          <w:rFonts w:ascii="Times New Roman" w:hAnsi="Times New Roman"/>
        </w:rPr>
        <w:t>návrh</w:t>
      </w:r>
      <w:r w:rsidRPr="00BA155B" w:rsidR="00376948">
        <w:rPr>
          <w:rFonts w:ascii="Times New Roman" w:hAnsi="Times New Roman"/>
          <w:b/>
        </w:rPr>
        <w:t xml:space="preserve"> </w:t>
      </w:r>
      <w:r w:rsidRPr="00BA155B" w:rsidR="00376948">
        <w:rPr>
          <w:rFonts w:ascii="Times New Roman" w:hAnsi="Times New Roman"/>
        </w:rPr>
        <w:t>smernice Európskeho parlamentu a Rady, ktorou sa mení smernica Európskeho parlamentu a Rady 96/71/ES zo 16. decembra 1996 o vysielaní pracovníkov v rámci poskytovania služieb a mení nariadenie Euró</w:t>
      </w:r>
      <w:r w:rsidR="000D7D6B">
        <w:rPr>
          <w:rFonts w:ascii="Times New Roman" w:hAnsi="Times New Roman"/>
        </w:rPr>
        <w:t>pskeho parlamentu a Rady (EÚ);</w:t>
      </w:r>
    </w:p>
    <w:p w:rsidR="00376948" w:rsidRPr="00BA155B" w:rsidP="0037694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BA155B">
        <w:rPr>
          <w:rFonts w:ascii="Times New Roman" w:hAnsi="Times New Roman"/>
        </w:rPr>
        <w:t xml:space="preserve">            </w:t>
      </w:r>
    </w:p>
    <w:p w:rsidR="00376948" w:rsidRPr="007E17C5" w:rsidP="0037694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07298D">
        <w:rPr>
          <w:rFonts w:ascii="Times New Roman" w:hAnsi="Times New Roman"/>
          <w:b/>
        </w:rPr>
        <w:t>B</w:t>
      </w:r>
      <w:r w:rsidRPr="00BA155B">
        <w:rPr>
          <w:rFonts w:ascii="Times New Roman" w:hAnsi="Times New Roman"/>
          <w:b/>
        </w:rPr>
        <w:t>.</w:t>
        <w:tab/>
        <w:t xml:space="preserve">schvaľuje </w:t>
      </w:r>
      <w:r w:rsidRPr="00D92A0B" w:rsidR="00D92A0B">
        <w:rPr>
          <w:rFonts w:ascii="Times New Roman" w:hAnsi="Times New Roman"/>
        </w:rPr>
        <w:t xml:space="preserve">podľa § 58a ods. 3 písm. c) zákonu č. 350/1996 Z. z. o rokovacom poriadku Národnej rady Slovenskej republiky v znení neskorších predpisov </w:t>
      </w:r>
      <w:r w:rsidRPr="00BA155B">
        <w:rPr>
          <w:rFonts w:ascii="Times New Roman" w:hAnsi="Times New Roman"/>
          <w:b/>
        </w:rPr>
        <w:t xml:space="preserve">odôvodnené stanovisko </w:t>
      </w:r>
      <w:r w:rsidRPr="007E17C5">
        <w:rPr>
          <w:rFonts w:ascii="Times New Roman" w:hAnsi="Times New Roman"/>
        </w:rPr>
        <w:t>v tomto znení:</w:t>
      </w:r>
    </w:p>
    <w:p w:rsidR="000C2138" w:rsidRPr="00BA155B" w:rsidP="00376948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0C2138" w:rsidRPr="00C2037A" w:rsidP="00C2037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C2037A">
        <w:rPr>
          <w:rFonts w:ascii="Times New Roman" w:hAnsi="Times New Roman"/>
        </w:rPr>
        <w:tab/>
        <w:t>P</w:t>
      </w:r>
      <w:r w:rsidRPr="00C2037A">
        <w:rPr>
          <w:rFonts w:ascii="Times New Roman" w:hAnsi="Times New Roman"/>
        </w:rPr>
        <w:t xml:space="preserve">redloženie návrhu smernice </w:t>
      </w:r>
      <w:r w:rsidR="00C2037A">
        <w:rPr>
          <w:rFonts w:ascii="Times New Roman" w:hAnsi="Times New Roman"/>
        </w:rPr>
        <w:t>je</w:t>
      </w:r>
      <w:r w:rsidRPr="00C2037A">
        <w:rPr>
          <w:rFonts w:ascii="Times New Roman" w:hAnsi="Times New Roman"/>
        </w:rPr>
        <w:t xml:space="preserve"> predčasné, keďže ešte  neuplynula lehota na transpozíciu </w:t>
      </w:r>
      <w:r w:rsidR="00C2037A">
        <w:rPr>
          <w:rFonts w:ascii="Times New Roman" w:hAnsi="Times New Roman"/>
        </w:rPr>
        <w:t>s</w:t>
      </w:r>
      <w:r w:rsidRPr="00C2037A">
        <w:rPr>
          <w:rFonts w:ascii="Times New Roman" w:hAnsi="Times New Roman"/>
        </w:rPr>
        <w:t>mernice 2014/67/EU o vykonávaní smernice o vysielaní pracovníkov z roku 1996 a nemohl</w:t>
      </w:r>
      <w:r w:rsidR="00C2037A">
        <w:rPr>
          <w:rFonts w:ascii="Times New Roman" w:hAnsi="Times New Roman"/>
        </w:rPr>
        <w:t>o</w:t>
      </w:r>
      <w:r w:rsidRPr="00C2037A">
        <w:rPr>
          <w:rFonts w:ascii="Times New Roman" w:hAnsi="Times New Roman"/>
        </w:rPr>
        <w:t xml:space="preserve"> sa uskutočniť ani </w:t>
      </w:r>
      <w:r w:rsidR="00C2037A">
        <w:rPr>
          <w:rFonts w:ascii="Times New Roman" w:hAnsi="Times New Roman"/>
        </w:rPr>
        <w:t>hodnotenie</w:t>
      </w:r>
      <w:r w:rsidRPr="00C2037A">
        <w:rPr>
          <w:rFonts w:ascii="Times New Roman" w:hAnsi="Times New Roman"/>
        </w:rPr>
        <w:t xml:space="preserve"> jej pôsobenia</w:t>
      </w:r>
      <w:r w:rsidR="00C2037A">
        <w:rPr>
          <w:rFonts w:ascii="Times New Roman" w:hAnsi="Times New Roman"/>
        </w:rPr>
        <w:t>.</w:t>
      </w:r>
    </w:p>
    <w:p w:rsidR="00376948" w:rsidRPr="00FB1C63" w:rsidP="00376948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872E1B" w:rsidRPr="00C2037A" w:rsidP="00C2037A">
      <w:pPr>
        <w:bidi w:val="0"/>
        <w:ind w:firstLine="708"/>
        <w:jc w:val="both"/>
        <w:rPr>
          <w:rFonts w:ascii="Times New Roman" w:hAnsi="Times New Roman"/>
        </w:rPr>
      </w:pPr>
      <w:r w:rsidR="00C2037A">
        <w:rPr>
          <w:rFonts w:ascii="Times New Roman" w:hAnsi="Times New Roman"/>
        </w:rPr>
        <w:t>Odôvodnenie použitia z</w:t>
      </w:r>
      <w:r w:rsidRPr="00C2037A" w:rsidR="00B95C02">
        <w:rPr>
          <w:rFonts w:ascii="Times New Roman" w:hAnsi="Times New Roman"/>
        </w:rPr>
        <w:t>volen</w:t>
      </w:r>
      <w:r w:rsidR="00C2037A">
        <w:rPr>
          <w:rFonts w:ascii="Times New Roman" w:hAnsi="Times New Roman"/>
        </w:rPr>
        <w:t>ého</w:t>
      </w:r>
      <w:r w:rsidRPr="00C2037A" w:rsidR="00B95C02">
        <w:rPr>
          <w:rFonts w:ascii="Times New Roman" w:hAnsi="Times New Roman"/>
        </w:rPr>
        <w:t xml:space="preserve"> právn</w:t>
      </w:r>
      <w:r w:rsidR="00C2037A">
        <w:rPr>
          <w:rFonts w:ascii="Times New Roman" w:hAnsi="Times New Roman"/>
        </w:rPr>
        <w:t>eho</w:t>
      </w:r>
      <w:r w:rsidRPr="00C2037A" w:rsidR="00B95C02">
        <w:rPr>
          <w:rFonts w:ascii="Times New Roman" w:hAnsi="Times New Roman"/>
        </w:rPr>
        <w:t xml:space="preserve"> základ</w:t>
      </w:r>
      <w:r w:rsidR="00C2037A">
        <w:rPr>
          <w:rFonts w:ascii="Times New Roman" w:hAnsi="Times New Roman"/>
        </w:rPr>
        <w:t>u</w:t>
      </w:r>
      <w:r w:rsidRPr="00C2037A" w:rsidR="00B95C02">
        <w:rPr>
          <w:rFonts w:ascii="Times New Roman" w:hAnsi="Times New Roman"/>
        </w:rPr>
        <w:t xml:space="preserve"> (čl. 53 ods.1 a čl. 62 Zmluvy o fungovaní EÚ)</w:t>
      </w:r>
      <w:r w:rsidRPr="00C2037A" w:rsidR="00D807A6">
        <w:rPr>
          <w:rFonts w:ascii="Times New Roman" w:hAnsi="Times New Roman"/>
        </w:rPr>
        <w:t xml:space="preserve"> </w:t>
      </w:r>
      <w:r w:rsidRPr="00C2037A" w:rsidR="00C62CF7">
        <w:rPr>
          <w:rFonts w:ascii="Times New Roman" w:hAnsi="Times New Roman"/>
        </w:rPr>
        <w:t>je vágn</w:t>
      </w:r>
      <w:r w:rsidR="00C2037A">
        <w:rPr>
          <w:rFonts w:ascii="Times New Roman" w:hAnsi="Times New Roman"/>
        </w:rPr>
        <w:t>e</w:t>
      </w:r>
      <w:r w:rsidRPr="00C2037A" w:rsidR="00C62CF7">
        <w:rPr>
          <w:rFonts w:ascii="Times New Roman" w:hAnsi="Times New Roman"/>
        </w:rPr>
        <w:t xml:space="preserve"> a</w:t>
      </w:r>
      <w:r w:rsidR="00C2037A">
        <w:rPr>
          <w:rFonts w:ascii="Times New Roman" w:hAnsi="Times New Roman"/>
        </w:rPr>
        <w:t xml:space="preserve"> použitý právny základ </w:t>
      </w:r>
      <w:r w:rsidRPr="00C2037A" w:rsidR="00B95C02">
        <w:rPr>
          <w:rFonts w:ascii="Times New Roman" w:hAnsi="Times New Roman"/>
        </w:rPr>
        <w:t xml:space="preserve">nezodpovedá úplne obsahu návrhu. Právny základ návrhu je rovnaký ako </w:t>
      </w:r>
      <w:r w:rsidR="00C2037A">
        <w:rPr>
          <w:rFonts w:ascii="Times New Roman" w:hAnsi="Times New Roman"/>
        </w:rPr>
        <w:t>pri</w:t>
      </w:r>
      <w:r w:rsidRPr="00C2037A" w:rsidR="00B95C02">
        <w:rPr>
          <w:rFonts w:ascii="Times New Roman" w:hAnsi="Times New Roman"/>
        </w:rPr>
        <w:t xml:space="preserve"> smernic</w:t>
      </w:r>
      <w:r w:rsidR="00C2037A">
        <w:rPr>
          <w:rFonts w:ascii="Times New Roman" w:hAnsi="Times New Roman"/>
        </w:rPr>
        <w:t>i</w:t>
      </w:r>
      <w:r w:rsidRPr="00C2037A" w:rsidR="00B95C02">
        <w:rPr>
          <w:rFonts w:ascii="Times New Roman" w:hAnsi="Times New Roman"/>
        </w:rPr>
        <w:t xml:space="preserve"> 96/71/ES, ktorú novelizuje. Medzitým ale </w:t>
      </w:r>
      <w:r w:rsidR="00C2037A">
        <w:rPr>
          <w:rFonts w:ascii="Times New Roman" w:hAnsi="Times New Roman"/>
        </w:rPr>
        <w:t>nastal posun v cieľoch smernice.</w:t>
      </w:r>
      <w:r w:rsidRPr="00C2037A" w:rsidR="00B95C02">
        <w:rPr>
          <w:rFonts w:ascii="Times New Roman" w:hAnsi="Times New Roman"/>
        </w:rPr>
        <w:t xml:space="preserve"> </w:t>
      </w:r>
      <w:r w:rsidR="00C2037A">
        <w:rPr>
          <w:rFonts w:ascii="Times New Roman" w:hAnsi="Times New Roman"/>
        </w:rPr>
        <w:t>S</w:t>
      </w:r>
      <w:r w:rsidRPr="00C2037A" w:rsidR="00B95C02">
        <w:rPr>
          <w:rFonts w:ascii="Times New Roman" w:hAnsi="Times New Roman"/>
        </w:rPr>
        <w:t>mernica z roku 1996 sa primárne zaoberá odstránením prekážok voľného pohyb</w:t>
      </w:r>
      <w:r w:rsidR="00C2037A">
        <w:rPr>
          <w:rFonts w:ascii="Times New Roman" w:hAnsi="Times New Roman"/>
        </w:rPr>
        <w:t>u</w:t>
      </w:r>
      <w:r w:rsidRPr="00C2037A" w:rsidR="00B95C02">
        <w:rPr>
          <w:rFonts w:ascii="Times New Roman" w:hAnsi="Times New Roman"/>
        </w:rPr>
        <w:t xml:space="preserve"> osôb a služieb medzi</w:t>
      </w:r>
      <w:r w:rsidRPr="00C2037A" w:rsidR="00B95C02">
        <w:rPr>
          <w:rFonts w:ascii="Times New Roman" w:hAnsi="Times New Roman"/>
          <w:b/>
        </w:rPr>
        <w:t xml:space="preserve"> </w:t>
      </w:r>
      <w:r w:rsidRPr="00C2037A" w:rsidR="00B95C02">
        <w:rPr>
          <w:rFonts w:ascii="Times New Roman" w:hAnsi="Times New Roman"/>
        </w:rPr>
        <w:t>členskými štátmi</w:t>
      </w:r>
      <w:r w:rsidR="00C2037A">
        <w:rPr>
          <w:rFonts w:ascii="Times New Roman" w:hAnsi="Times New Roman"/>
        </w:rPr>
        <w:t>,</w:t>
      </w:r>
      <w:r w:rsidRPr="00C2037A" w:rsidR="00B95C02">
        <w:rPr>
          <w:rFonts w:ascii="Times New Roman" w:hAnsi="Times New Roman"/>
        </w:rPr>
        <w:t xml:space="preserve"> zatiaľ čo  predložený návrh má za cieľ sociálnu ochranu a boj proti sociálnemu vylúčeniu.</w:t>
      </w:r>
    </w:p>
    <w:p w:rsidR="00872E1B" w:rsidRPr="00D92A0B" w:rsidP="00BE03BB">
      <w:pPr>
        <w:bidi w:val="0"/>
        <w:jc w:val="both"/>
        <w:rPr>
          <w:rFonts w:ascii="Times New Roman" w:hAnsi="Times New Roman"/>
        </w:rPr>
      </w:pPr>
    </w:p>
    <w:p w:rsidR="00376948" w:rsidRPr="007E17C5" w:rsidP="007E17C5">
      <w:pPr>
        <w:bidi w:val="0"/>
        <w:ind w:firstLine="708"/>
        <w:jc w:val="both"/>
        <w:rPr>
          <w:rFonts w:ascii="Times New Roman" w:hAnsi="Times New Roman"/>
        </w:rPr>
      </w:pPr>
      <w:r w:rsidRPr="007E17C5" w:rsidR="00B95C02">
        <w:rPr>
          <w:rFonts w:ascii="Times New Roman" w:hAnsi="Times New Roman"/>
        </w:rPr>
        <w:t xml:space="preserve">V </w:t>
      </w:r>
      <w:r w:rsidRPr="007E17C5">
        <w:rPr>
          <w:rFonts w:ascii="Times New Roman" w:hAnsi="Times New Roman"/>
        </w:rPr>
        <w:t>článk</w:t>
      </w:r>
      <w:r w:rsidRPr="007E17C5" w:rsidR="00B95C02">
        <w:rPr>
          <w:rFonts w:ascii="Times New Roman" w:hAnsi="Times New Roman"/>
        </w:rPr>
        <w:t>u</w:t>
      </w:r>
      <w:r w:rsidRPr="007E17C5">
        <w:rPr>
          <w:rFonts w:ascii="Times New Roman" w:hAnsi="Times New Roman"/>
        </w:rPr>
        <w:t xml:space="preserve"> 352</w:t>
      </w:r>
      <w:r w:rsidRPr="007E17C5" w:rsidR="00D807A6">
        <w:rPr>
          <w:rFonts w:ascii="Times New Roman" w:hAnsi="Times New Roman"/>
        </w:rPr>
        <w:t xml:space="preserve"> ods. 1</w:t>
      </w:r>
      <w:r w:rsidRPr="007E17C5">
        <w:rPr>
          <w:rFonts w:ascii="Times New Roman" w:hAnsi="Times New Roman"/>
        </w:rPr>
        <w:t xml:space="preserve"> </w:t>
      </w:r>
      <w:r w:rsidRPr="007E17C5" w:rsidR="00B95C02">
        <w:rPr>
          <w:rFonts w:ascii="Times New Roman" w:hAnsi="Times New Roman"/>
        </w:rPr>
        <w:t xml:space="preserve">Zmluvy o fungovaní EÚ sa uvádza, že </w:t>
      </w:r>
      <w:r w:rsidR="007E17C5">
        <w:rPr>
          <w:rFonts w:ascii="Times New Roman" w:hAnsi="Times New Roman"/>
        </w:rPr>
        <w:t>„</w:t>
      </w:r>
      <w:r w:rsidRPr="00A61426" w:rsidR="00B95C02">
        <w:rPr>
          <w:rFonts w:ascii="Times New Roman" w:hAnsi="Times New Roman"/>
          <w:i/>
        </w:rPr>
        <w:t xml:space="preserve">ak sa preukáže, </w:t>
      </w:r>
      <w:r w:rsidRPr="00A61426" w:rsidR="00D807A6">
        <w:rPr>
          <w:rFonts w:ascii="Times New Roman" w:hAnsi="Times New Roman"/>
          <w:i/>
        </w:rPr>
        <w:t>ž</w:t>
      </w:r>
      <w:r w:rsidRPr="00A61426" w:rsidR="00B95C02">
        <w:rPr>
          <w:rFonts w:ascii="Times New Roman" w:hAnsi="Times New Roman"/>
          <w:i/>
        </w:rPr>
        <w:t xml:space="preserve">e </w:t>
      </w:r>
      <w:r w:rsidRPr="00A61426">
        <w:rPr>
          <w:rFonts w:ascii="Times New Roman" w:hAnsi="Times New Roman"/>
          <w:i/>
        </w:rPr>
        <w:t xml:space="preserve">v rámci politík vymedzených v zmluvách </w:t>
      </w:r>
      <w:r w:rsidRPr="00A61426" w:rsidR="00A61426">
        <w:rPr>
          <w:rFonts w:ascii="Times New Roman" w:hAnsi="Times New Roman"/>
          <w:i/>
        </w:rPr>
        <w:t xml:space="preserve">je </w:t>
      </w:r>
      <w:r w:rsidRPr="00A61426">
        <w:rPr>
          <w:rFonts w:ascii="Times New Roman" w:hAnsi="Times New Roman"/>
          <w:i/>
        </w:rPr>
        <w:t>na dosiahnutie niektorého z cieľov uvedených v zmluvách nevyhnutná činnosť Únie a zmluvy na t</w:t>
      </w:r>
      <w:r w:rsidRPr="00A61426" w:rsidR="00D807A6">
        <w:rPr>
          <w:rFonts w:ascii="Times New Roman" w:hAnsi="Times New Roman"/>
          <w:i/>
        </w:rPr>
        <w:t>o neposkytujú potrebné právomoci, prijme Rada jednomyseľne na návrh Komisie a po udelení súhlasu Európskeho parlamentu vhodné ustanoveni</w:t>
      </w:r>
      <w:r w:rsidRPr="00A61426" w:rsidR="00A61426">
        <w:rPr>
          <w:rFonts w:ascii="Times New Roman" w:hAnsi="Times New Roman"/>
          <w:i/>
        </w:rPr>
        <w:t>a</w:t>
      </w:r>
      <w:r w:rsidRPr="007E17C5" w:rsidR="00433DDA">
        <w:rPr>
          <w:rFonts w:ascii="Times New Roman" w:hAnsi="Times New Roman"/>
        </w:rPr>
        <w:t>”</w:t>
      </w:r>
      <w:r w:rsidRPr="007E17C5">
        <w:rPr>
          <w:rFonts w:ascii="Times New Roman" w:hAnsi="Times New Roman"/>
        </w:rPr>
        <w:t>. Tento článok fakticky umožňuje Únii konať nad rámec jej vymedzených kompetencií. Toto konanie je ale obmedzené v</w:t>
      </w:r>
      <w:r w:rsidR="00A61426">
        <w:rPr>
          <w:rFonts w:ascii="Times New Roman" w:hAnsi="Times New Roman"/>
        </w:rPr>
        <w:t> </w:t>
      </w:r>
      <w:r w:rsidRPr="007E17C5">
        <w:rPr>
          <w:rFonts w:ascii="Times New Roman" w:hAnsi="Times New Roman"/>
        </w:rPr>
        <w:t>ods</w:t>
      </w:r>
      <w:r w:rsidR="00A61426">
        <w:rPr>
          <w:rFonts w:ascii="Times New Roman" w:hAnsi="Times New Roman"/>
        </w:rPr>
        <w:t>.</w:t>
      </w:r>
      <w:r w:rsidRPr="007E17C5">
        <w:rPr>
          <w:rFonts w:ascii="Times New Roman" w:hAnsi="Times New Roman"/>
        </w:rPr>
        <w:t xml:space="preserve"> 3, kde sa uvádza: “</w:t>
      </w:r>
      <w:r w:rsidRPr="00A61426">
        <w:rPr>
          <w:rFonts w:ascii="Times New Roman" w:hAnsi="Times New Roman"/>
          <w:i/>
        </w:rPr>
        <w:t>Opatrenia založené na tomto článku nesmú zahŕňať harmonizáciu zákonov a iných právnych predpisov členských štátov v prípadoch, v ktorých zmluvy takúto harmonizáciu vylučujú</w:t>
      </w:r>
      <w:r w:rsidRPr="007E17C5">
        <w:rPr>
          <w:rFonts w:ascii="Times New Roman" w:hAnsi="Times New Roman"/>
        </w:rPr>
        <w:t>“.</w:t>
      </w:r>
      <w:r w:rsidRPr="007E17C5" w:rsidR="00D807A6">
        <w:rPr>
          <w:rFonts w:ascii="Times New Roman" w:hAnsi="Times New Roman"/>
        </w:rPr>
        <w:t xml:space="preserve"> </w:t>
      </w:r>
      <w:r w:rsidRPr="007E17C5">
        <w:rPr>
          <w:rFonts w:ascii="Times New Roman" w:hAnsi="Times New Roman"/>
        </w:rPr>
        <w:t>Článok 153 ods. 1 Z</w:t>
      </w:r>
      <w:r w:rsidR="00A61426">
        <w:rPr>
          <w:rFonts w:ascii="Times New Roman" w:hAnsi="Times New Roman"/>
        </w:rPr>
        <w:t xml:space="preserve">mluvy o fungovaní </w:t>
      </w:r>
      <w:r w:rsidRPr="007E17C5">
        <w:rPr>
          <w:rFonts w:ascii="Times New Roman" w:hAnsi="Times New Roman"/>
        </w:rPr>
        <w:t>EÚ vymenúva oblasti sociálnej politiky, v ktorých Únia podporuje a dopĺňa činnosti členských štátov a zároveň v</w:t>
      </w:r>
      <w:r w:rsidR="00A61426">
        <w:rPr>
          <w:rFonts w:ascii="Times New Roman" w:hAnsi="Times New Roman"/>
        </w:rPr>
        <w:t> </w:t>
      </w:r>
      <w:r w:rsidRPr="007E17C5" w:rsidR="00433DDA">
        <w:rPr>
          <w:rFonts w:ascii="Times New Roman" w:hAnsi="Times New Roman"/>
        </w:rPr>
        <w:t>o</w:t>
      </w:r>
      <w:r w:rsidRPr="007E17C5">
        <w:rPr>
          <w:rFonts w:ascii="Times New Roman" w:hAnsi="Times New Roman"/>
        </w:rPr>
        <w:t>ds</w:t>
      </w:r>
      <w:r w:rsidR="00A61426">
        <w:rPr>
          <w:rFonts w:ascii="Times New Roman" w:hAnsi="Times New Roman"/>
        </w:rPr>
        <w:t>.</w:t>
      </w:r>
      <w:r w:rsidRPr="007E17C5">
        <w:rPr>
          <w:rFonts w:ascii="Times New Roman" w:hAnsi="Times New Roman"/>
        </w:rPr>
        <w:t xml:space="preserve"> 5 vyslovene uvádza, na ktoré oblasti sa nevzťahuje:  </w:t>
      </w:r>
      <w:r w:rsidRPr="007E17C5" w:rsidR="00433DDA">
        <w:rPr>
          <w:rFonts w:ascii="Times New Roman" w:hAnsi="Times New Roman"/>
        </w:rPr>
        <w:t>„</w:t>
      </w:r>
      <w:r w:rsidRPr="00A61426" w:rsidR="00433DDA">
        <w:rPr>
          <w:rFonts w:ascii="Times New Roman" w:hAnsi="Times New Roman"/>
          <w:i/>
        </w:rPr>
        <w:t>U</w:t>
      </w:r>
      <w:r w:rsidRPr="00A61426">
        <w:rPr>
          <w:rFonts w:ascii="Times New Roman" w:hAnsi="Times New Roman"/>
          <w:i/>
        </w:rPr>
        <w:t xml:space="preserve">stanovenia tohto článku </w:t>
      </w:r>
      <w:r w:rsidRPr="00A61426">
        <w:rPr>
          <w:rFonts w:ascii="Times New Roman" w:hAnsi="Times New Roman"/>
          <w:b/>
          <w:i/>
        </w:rPr>
        <w:t>sa nevzťahujú na odmenu</w:t>
      </w:r>
      <w:r w:rsidRPr="00A61426">
        <w:rPr>
          <w:rFonts w:ascii="Times New Roman" w:hAnsi="Times New Roman"/>
          <w:i/>
        </w:rPr>
        <w:t>, právo združovať sa, právo na štrajk alebo na výluku</w:t>
      </w:r>
      <w:r w:rsidRPr="007E17C5">
        <w:rPr>
          <w:rFonts w:ascii="Times New Roman" w:hAnsi="Times New Roman"/>
        </w:rPr>
        <w:t>“.</w:t>
      </w:r>
      <w:r w:rsidRPr="007E17C5" w:rsidR="00D807A6">
        <w:rPr>
          <w:rFonts w:ascii="Times New Roman" w:hAnsi="Times New Roman"/>
        </w:rPr>
        <w:t xml:space="preserve"> </w:t>
      </w:r>
      <w:r w:rsidRPr="007E17C5">
        <w:rPr>
          <w:rFonts w:ascii="Times New Roman" w:hAnsi="Times New Roman"/>
        </w:rPr>
        <w:t>Článkom 153 ods. 5 Z</w:t>
      </w:r>
      <w:r w:rsidR="00A61426">
        <w:rPr>
          <w:rFonts w:ascii="Times New Roman" w:hAnsi="Times New Roman"/>
        </w:rPr>
        <w:t xml:space="preserve">mluvy o fungovaní </w:t>
      </w:r>
      <w:r w:rsidRPr="007E17C5">
        <w:rPr>
          <w:rFonts w:ascii="Times New Roman" w:hAnsi="Times New Roman"/>
        </w:rPr>
        <w:t xml:space="preserve">EÚ sa </w:t>
      </w:r>
      <w:r w:rsidR="00A61426">
        <w:rPr>
          <w:rFonts w:ascii="Times New Roman" w:hAnsi="Times New Roman"/>
        </w:rPr>
        <w:t xml:space="preserve">teda </w:t>
      </w:r>
      <w:r w:rsidRPr="007E17C5" w:rsidR="00601306">
        <w:rPr>
          <w:rFonts w:ascii="Times New Roman" w:hAnsi="Times New Roman"/>
        </w:rPr>
        <w:t xml:space="preserve">určenie odmeny </w:t>
      </w:r>
      <w:r w:rsidRPr="007E17C5">
        <w:rPr>
          <w:rFonts w:ascii="Times New Roman" w:hAnsi="Times New Roman"/>
        </w:rPr>
        <w:t xml:space="preserve">vylučuje z okruhu záležitostí, ktoré možno </w:t>
      </w:r>
      <w:r w:rsidRPr="007E17C5" w:rsidR="00D807A6">
        <w:rPr>
          <w:rFonts w:ascii="Times New Roman" w:hAnsi="Times New Roman"/>
        </w:rPr>
        <w:t xml:space="preserve">záväzne </w:t>
      </w:r>
      <w:r w:rsidRPr="007E17C5">
        <w:rPr>
          <w:rFonts w:ascii="Times New Roman" w:hAnsi="Times New Roman"/>
        </w:rPr>
        <w:t xml:space="preserve">upraviť </w:t>
      </w:r>
      <w:r w:rsidRPr="007E17C5" w:rsidR="00601306">
        <w:rPr>
          <w:rFonts w:ascii="Times New Roman" w:hAnsi="Times New Roman"/>
        </w:rPr>
        <w:t xml:space="preserve"> pre celú </w:t>
      </w:r>
      <w:r w:rsidRPr="007E17C5">
        <w:rPr>
          <w:rFonts w:ascii="Times New Roman" w:hAnsi="Times New Roman"/>
        </w:rPr>
        <w:t xml:space="preserve"> EÚ</w:t>
      </w:r>
      <w:r w:rsidR="00A61426">
        <w:rPr>
          <w:rFonts w:ascii="Times New Roman" w:hAnsi="Times New Roman"/>
        </w:rPr>
        <w:t>,</w:t>
      </w:r>
      <w:r w:rsidRPr="007E17C5" w:rsidR="00D807A6">
        <w:rPr>
          <w:rFonts w:ascii="Times New Roman" w:hAnsi="Times New Roman"/>
        </w:rPr>
        <w:t xml:space="preserve"> </w:t>
      </w:r>
      <w:r w:rsidR="00A61426">
        <w:rPr>
          <w:rFonts w:ascii="Times New Roman" w:hAnsi="Times New Roman"/>
        </w:rPr>
        <w:t>tzn.</w:t>
      </w:r>
      <w:r w:rsidRPr="007E17C5" w:rsidR="00601306">
        <w:rPr>
          <w:rFonts w:ascii="Times New Roman" w:hAnsi="Times New Roman"/>
        </w:rPr>
        <w:t xml:space="preserve"> </w:t>
      </w:r>
      <w:r w:rsidR="00A61426">
        <w:rPr>
          <w:rFonts w:ascii="Times New Roman" w:hAnsi="Times New Roman"/>
        </w:rPr>
        <w:t>že</w:t>
      </w:r>
      <w:r w:rsidRPr="007E17C5">
        <w:rPr>
          <w:rFonts w:ascii="Times New Roman" w:hAnsi="Times New Roman"/>
        </w:rPr>
        <w:t xml:space="preserve"> EÚ nemá na tento postup stanovené potrebné právomoci a</w:t>
      </w:r>
      <w:r w:rsidRPr="007E17C5" w:rsidR="00601306">
        <w:rPr>
          <w:rFonts w:ascii="Times New Roman" w:hAnsi="Times New Roman"/>
        </w:rPr>
        <w:t> </w:t>
      </w:r>
      <w:r w:rsidRPr="007E17C5">
        <w:rPr>
          <w:rFonts w:ascii="Times New Roman" w:hAnsi="Times New Roman"/>
        </w:rPr>
        <w:t>nemôže</w:t>
      </w:r>
      <w:r w:rsidRPr="007E17C5" w:rsidR="00601306">
        <w:rPr>
          <w:rFonts w:ascii="Times New Roman" w:hAnsi="Times New Roman"/>
        </w:rPr>
        <w:t xml:space="preserve"> v tomto smere </w:t>
      </w:r>
      <w:r w:rsidRPr="007E17C5">
        <w:rPr>
          <w:rFonts w:ascii="Times New Roman" w:hAnsi="Times New Roman"/>
        </w:rPr>
        <w:t xml:space="preserve">konať. </w:t>
      </w:r>
      <w:r w:rsidRPr="00A61426" w:rsidR="00601306">
        <w:rPr>
          <w:rFonts w:ascii="Times New Roman" w:hAnsi="Times New Roman"/>
          <w:b/>
        </w:rPr>
        <w:t xml:space="preserve">Stanovenie výšky  odmeny pracovníkov </w:t>
      </w:r>
      <w:r w:rsidRPr="00A61426">
        <w:rPr>
          <w:rFonts w:ascii="Times New Roman" w:hAnsi="Times New Roman"/>
          <w:b/>
        </w:rPr>
        <w:t>je vo výlučnej právomoci členských krajín.</w:t>
      </w:r>
    </w:p>
    <w:p w:rsidR="00D807A6" w:rsidRPr="007E17C5" w:rsidP="00D807A6">
      <w:pPr>
        <w:bidi w:val="0"/>
        <w:ind w:left="360"/>
        <w:rPr>
          <w:rFonts w:ascii="Times New Roman" w:hAnsi="Times New Roman"/>
        </w:rPr>
      </w:pPr>
    </w:p>
    <w:p w:rsidR="00D807A6" w:rsidRPr="00A61426" w:rsidP="00A61426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lang w:eastAsia="en-US"/>
        </w:rPr>
      </w:pPr>
      <w:r w:rsidRPr="00A61426">
        <w:rPr>
          <w:rFonts w:ascii="Times New Roman" w:hAnsi="Times New Roman"/>
        </w:rPr>
        <w:t xml:space="preserve">Komisia porušila čl. 5 Protokolu </w:t>
      </w:r>
      <w:r w:rsidRPr="00A61426">
        <w:rPr>
          <w:rFonts w:ascii="Times New Roman" w:hAnsi="Times New Roman"/>
          <w:lang w:eastAsia="en-US"/>
        </w:rPr>
        <w:t>o uplatňovaní zásad subsidiarity a proporcionality, pretože neodôvodnila súlad návrhu so zásadou subsidiarity a nepreukázala nevyhnutnosť navrhovaných zmien</w:t>
      </w:r>
      <w:r w:rsidRPr="00A61426" w:rsidR="007E2603">
        <w:rPr>
          <w:rFonts w:ascii="Times New Roman" w:hAnsi="Times New Roman"/>
          <w:lang w:eastAsia="en-US"/>
        </w:rPr>
        <w:t xml:space="preserve">. Nepredložila dôvody, podložené kvalitatívnymi a kvantitatívnymi ukazovateľmi, ktoré ju viedli k záveru, že cieľ Únie sa dá lepšie dosiahnuť na úrovni Únie. </w:t>
      </w:r>
    </w:p>
    <w:p w:rsidR="00D807A6" w:rsidRPr="007E17C5" w:rsidP="00D807A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en-US"/>
        </w:rPr>
      </w:pPr>
    </w:p>
    <w:p w:rsidR="001D54A9" w:rsidRPr="0038165F" w:rsidP="0038165F">
      <w:pPr>
        <w:bidi w:val="0"/>
        <w:ind w:firstLine="708"/>
        <w:jc w:val="both"/>
        <w:rPr>
          <w:rFonts w:ascii="Times New Roman" w:hAnsi="Times New Roman"/>
        </w:rPr>
      </w:pPr>
      <w:r w:rsidRPr="0038165F" w:rsidR="007E2603">
        <w:rPr>
          <w:rFonts w:ascii="Times New Roman" w:hAnsi="Times New Roman"/>
        </w:rPr>
        <w:t xml:space="preserve">Komisia porušila svoju povinnosť podľa čl. 2 Protokolu o uplatňovaní zásad subsidiarity a proporcionality, podľa ktorého je povinná, predtým ako navrhne legislatívny akt, uskutočniť rozsiahle konzultácie, v rámci ktorých zohľadní regionálny a miestny rozmer zamýšľaných opatrení. </w:t>
      </w:r>
      <w:r w:rsidRPr="0038165F">
        <w:rPr>
          <w:rFonts w:ascii="Times New Roman" w:hAnsi="Times New Roman"/>
        </w:rPr>
        <w:t>V</w:t>
      </w:r>
      <w:r w:rsidR="0038165F">
        <w:rPr>
          <w:rFonts w:ascii="Times New Roman" w:hAnsi="Times New Roman"/>
        </w:rPr>
        <w:t>ýbor</w:t>
      </w:r>
      <w:r w:rsidRPr="0038165F">
        <w:rPr>
          <w:rFonts w:ascii="Times New Roman" w:hAnsi="Times New Roman"/>
        </w:rPr>
        <w:t xml:space="preserve"> by </w:t>
      </w:r>
      <w:r w:rsidRPr="0038165F" w:rsidR="009836A9">
        <w:rPr>
          <w:rFonts w:ascii="Times New Roman" w:hAnsi="Times New Roman"/>
        </w:rPr>
        <w:t xml:space="preserve">pri príprave návrhu </w:t>
      </w:r>
      <w:r w:rsidRPr="0038165F">
        <w:rPr>
          <w:rFonts w:ascii="Times New Roman" w:hAnsi="Times New Roman"/>
        </w:rPr>
        <w:t xml:space="preserve">uvítal vyváženejší prístup, ktorý by vzal do úvahy rozdielny stupeň vývoja jednotlivých </w:t>
      </w:r>
      <w:r w:rsidR="0038165F">
        <w:rPr>
          <w:rFonts w:ascii="Times New Roman" w:hAnsi="Times New Roman"/>
        </w:rPr>
        <w:t>členských štátov</w:t>
      </w:r>
      <w:r w:rsidRPr="0038165F">
        <w:rPr>
          <w:rFonts w:ascii="Times New Roman" w:hAnsi="Times New Roman"/>
        </w:rPr>
        <w:t xml:space="preserve"> a zohľadnil aj špecifiká nových členských štátov. Zároveň považuje za potrebné nazerať na vysielania pracovníkov zo širšej perspektívy berúc do úvahy globalizáciu, technologické zmeny a starnutie populácie</w:t>
      </w:r>
      <w:r w:rsidRPr="0038165F" w:rsidR="00433DDA">
        <w:rPr>
          <w:rFonts w:ascii="Times New Roman" w:hAnsi="Times New Roman"/>
        </w:rPr>
        <w:t>.</w:t>
      </w:r>
    </w:p>
    <w:p w:rsidR="00433DDA" w:rsidRPr="007E17C5" w:rsidP="00433DDA">
      <w:pPr>
        <w:pStyle w:val="ListParagraph"/>
        <w:bidi w:val="0"/>
        <w:rPr>
          <w:rFonts w:ascii="Times New Roman" w:hAnsi="Times New Roman" w:cs="Times New Roman"/>
        </w:rPr>
      </w:pPr>
    </w:p>
    <w:p w:rsidR="001D54A9" w:rsidRPr="0038165F" w:rsidP="0038165F">
      <w:pPr>
        <w:bidi w:val="0"/>
        <w:ind w:firstLine="708"/>
        <w:jc w:val="both"/>
        <w:rPr>
          <w:rFonts w:ascii="Times New Roman" w:hAnsi="Times New Roman"/>
        </w:rPr>
      </w:pPr>
      <w:r w:rsidRPr="0038165F">
        <w:rPr>
          <w:rFonts w:ascii="Times New Roman" w:hAnsi="Times New Roman"/>
        </w:rPr>
        <w:t>Podľa článku 152 Zmluvy o</w:t>
      </w:r>
      <w:r w:rsidRPr="0038165F" w:rsidR="00433DDA">
        <w:rPr>
          <w:rFonts w:ascii="Times New Roman" w:hAnsi="Times New Roman"/>
        </w:rPr>
        <w:t> </w:t>
      </w:r>
      <w:r w:rsidRPr="0038165F">
        <w:rPr>
          <w:rFonts w:ascii="Times New Roman" w:hAnsi="Times New Roman"/>
        </w:rPr>
        <w:t>fungovaní</w:t>
      </w:r>
      <w:r w:rsidRPr="0038165F" w:rsidR="00433DDA">
        <w:rPr>
          <w:rFonts w:ascii="Times New Roman" w:hAnsi="Times New Roman"/>
        </w:rPr>
        <w:t xml:space="preserve"> EÚ</w:t>
      </w:r>
      <w:r w:rsidRPr="0038165F">
        <w:rPr>
          <w:rFonts w:ascii="Times New Roman" w:hAnsi="Times New Roman"/>
        </w:rPr>
        <w:t xml:space="preserve"> „</w:t>
      </w:r>
      <w:r w:rsidRPr="0038165F">
        <w:rPr>
          <w:rFonts w:ascii="Times New Roman" w:hAnsi="Times New Roman"/>
          <w:i/>
        </w:rPr>
        <w:t>Únia uznáva a podporuje úlohu sociálnych partnerov na svojej úrovni, pričom zohľadňuje rozmanitosť vnútroštátnych systémov. Uľahčuje dialóg medzi sociálnymi partnermi a rešpektuje pritom ich autonómiu</w:t>
      </w:r>
      <w:r w:rsidRPr="0038165F">
        <w:rPr>
          <w:rFonts w:ascii="Times New Roman" w:hAnsi="Times New Roman"/>
        </w:rPr>
        <w:t xml:space="preserve">“. Návrh dostatočne nerešpektuje autonómiu sociálnych partnerov a ich vzťahy v rámci kolektívneho vyjednávania a ignoruje diverzitu kolektívnych pracovných vzťahov v EÚ. Podmienky zamestnávania </w:t>
      </w:r>
      <w:r w:rsidRPr="0038165F" w:rsidR="00433DDA">
        <w:rPr>
          <w:rFonts w:ascii="Times New Roman" w:hAnsi="Times New Roman"/>
        </w:rPr>
        <w:t>vyslaných pracovníkov</w:t>
      </w:r>
      <w:r w:rsidRPr="0038165F">
        <w:rPr>
          <w:rFonts w:ascii="Times New Roman" w:hAnsi="Times New Roman"/>
        </w:rPr>
        <w:t xml:space="preserve"> majú byť upravené len podľa všeobecne záväzných kolektívnych zmlúv, ale už nie podľa kolektívnych zmlúv nižšieho stupňa – </w:t>
      </w:r>
      <w:r w:rsidRPr="001F4FAB">
        <w:rPr>
          <w:rFonts w:ascii="Times New Roman" w:hAnsi="Times New Roman"/>
        </w:rPr>
        <w:t>sektor</w:t>
      </w:r>
      <w:r w:rsidRPr="001F4FAB" w:rsidR="0038165F">
        <w:rPr>
          <w:rFonts w:ascii="Times New Roman" w:hAnsi="Times New Roman"/>
        </w:rPr>
        <w:t>ové</w:t>
      </w:r>
      <w:r w:rsidRPr="0038165F">
        <w:rPr>
          <w:rFonts w:ascii="Times New Roman" w:hAnsi="Times New Roman"/>
        </w:rPr>
        <w:t xml:space="preserve"> alebo firemné kolektívne zmluvy sú z </w:t>
      </w:r>
      <w:r w:rsidRPr="0038165F" w:rsidR="00433DDA">
        <w:rPr>
          <w:rFonts w:ascii="Times New Roman" w:hAnsi="Times New Roman"/>
        </w:rPr>
        <w:t>návrhu</w:t>
      </w:r>
      <w:r w:rsidRPr="0038165F">
        <w:rPr>
          <w:rFonts w:ascii="Times New Roman" w:hAnsi="Times New Roman"/>
        </w:rPr>
        <w:t xml:space="preserve"> vylúčené, pričom niektoré sektory vôbec nemajú všeobecne záväzné kolektívne zmluvy, takže budú diskriminované. </w:t>
      </w:r>
    </w:p>
    <w:p w:rsidR="001D54A9" w:rsidRPr="007E17C5" w:rsidP="009836A9">
      <w:pPr>
        <w:bidi w:val="0"/>
        <w:ind w:left="360"/>
        <w:rPr>
          <w:rFonts w:ascii="Times New Roman" w:hAnsi="Times New Roman"/>
          <w:i/>
        </w:rPr>
      </w:pPr>
    </w:p>
    <w:p w:rsidR="000C2138" w:rsidRPr="0016498A" w:rsidP="0016498A">
      <w:pPr>
        <w:bidi w:val="0"/>
        <w:ind w:firstLine="708"/>
        <w:jc w:val="both"/>
        <w:rPr>
          <w:rFonts w:ascii="Times New Roman" w:hAnsi="Times New Roman"/>
        </w:rPr>
      </w:pPr>
      <w:r w:rsidR="0016498A">
        <w:rPr>
          <w:rFonts w:ascii="Times New Roman" w:hAnsi="Times New Roman"/>
        </w:rPr>
        <w:t xml:space="preserve">Je nutné </w:t>
      </w:r>
      <w:r w:rsidRPr="0016498A" w:rsidR="009836A9">
        <w:rPr>
          <w:rFonts w:ascii="Times New Roman" w:hAnsi="Times New Roman"/>
        </w:rPr>
        <w:t>podotk</w:t>
      </w:r>
      <w:r w:rsidR="0016498A">
        <w:rPr>
          <w:rFonts w:ascii="Times New Roman" w:hAnsi="Times New Roman"/>
        </w:rPr>
        <w:t>núť</w:t>
      </w:r>
      <w:r w:rsidRPr="0016498A" w:rsidR="009836A9">
        <w:rPr>
          <w:rFonts w:ascii="Times New Roman" w:hAnsi="Times New Roman"/>
        </w:rPr>
        <w:t>, že vysielaní pracovníci sú len jedným zo spôsobov ako sa vyžívajú rozdiely v mzdách medzi členskými štátmi. Ďalšími spôsobmi sú dovoz tovarov z krajín z nižšími mzdami a </w:t>
      </w:r>
      <w:r w:rsidRPr="001F4FAB" w:rsidR="0016498A">
        <w:rPr>
          <w:rFonts w:ascii="Times New Roman" w:hAnsi="Times New Roman"/>
        </w:rPr>
        <w:t>presun</w:t>
      </w:r>
      <w:r w:rsidRPr="0016498A" w:rsidR="009836A9">
        <w:rPr>
          <w:rFonts w:ascii="Times New Roman" w:hAnsi="Times New Roman"/>
        </w:rPr>
        <w:t xml:space="preserve"> výroby do týchto krajín. Tento tzv. sociálny dumping bude prebiehať dovtedy, kým mzdové rozdiely medzi členskými štátmi zostanú vysoké.</w:t>
      </w:r>
      <w:r w:rsidRPr="0016498A">
        <w:rPr>
          <w:rFonts w:ascii="Times New Roman" w:hAnsi="Times New Roman"/>
        </w:rPr>
        <w:t xml:space="preserve"> </w:t>
      </w:r>
      <w:r w:rsidR="0016498A">
        <w:rPr>
          <w:rFonts w:ascii="Times New Roman" w:hAnsi="Times New Roman"/>
        </w:rPr>
        <w:t>Výbor</w:t>
      </w:r>
      <w:r w:rsidRPr="0016498A">
        <w:rPr>
          <w:rFonts w:ascii="Times New Roman" w:hAnsi="Times New Roman"/>
        </w:rPr>
        <w:t xml:space="preserve"> zastáva názor, že konvergenciu úrovne miezd možno dosiahnuť len cestou ekonomického rozvoja a </w:t>
      </w:r>
      <w:r w:rsidRPr="001F4FAB">
        <w:rPr>
          <w:rFonts w:ascii="Times New Roman" w:hAnsi="Times New Roman"/>
        </w:rPr>
        <w:t>nie</w:t>
      </w:r>
      <w:r w:rsidRPr="001F4FAB" w:rsidR="001F4FAB">
        <w:rPr>
          <w:rFonts w:ascii="Times New Roman" w:hAnsi="Times New Roman"/>
        </w:rPr>
        <w:t>len</w:t>
      </w:r>
      <w:r w:rsidRPr="001F4FAB">
        <w:rPr>
          <w:rFonts w:ascii="Times New Roman" w:hAnsi="Times New Roman"/>
        </w:rPr>
        <w:t xml:space="preserve"> právnymi nástrojmi</w:t>
      </w:r>
      <w:r w:rsidRPr="0016498A">
        <w:rPr>
          <w:rFonts w:ascii="Times New Roman" w:hAnsi="Times New Roman"/>
        </w:rPr>
        <w:t xml:space="preserve">. </w:t>
      </w:r>
    </w:p>
    <w:p w:rsidR="009836A9" w:rsidRPr="007E17C5" w:rsidP="000C2138">
      <w:pPr>
        <w:pStyle w:val="ListParagraph"/>
        <w:bidi w:val="0"/>
        <w:ind w:left="1080"/>
        <w:rPr>
          <w:rFonts w:ascii="Times New Roman" w:hAnsi="Times New Roman" w:cs="Times New Roman"/>
        </w:rPr>
      </w:pPr>
    </w:p>
    <w:p w:rsidR="009836A9" w:rsidRPr="0016498A" w:rsidP="0016498A">
      <w:pPr>
        <w:bidi w:val="0"/>
        <w:ind w:firstLine="708"/>
        <w:jc w:val="both"/>
        <w:rPr>
          <w:rFonts w:ascii="Times New Roman" w:hAnsi="Times New Roman"/>
        </w:rPr>
      </w:pPr>
      <w:r w:rsidRPr="0016498A">
        <w:rPr>
          <w:rFonts w:ascii="Times New Roman" w:hAnsi="Times New Roman"/>
        </w:rPr>
        <w:t>V</w:t>
      </w:r>
      <w:r w:rsidR="0016498A">
        <w:rPr>
          <w:rFonts w:ascii="Times New Roman" w:hAnsi="Times New Roman"/>
        </w:rPr>
        <w:t>ýbor</w:t>
      </w:r>
      <w:r w:rsidRPr="0016498A">
        <w:rPr>
          <w:rFonts w:ascii="Times New Roman" w:hAnsi="Times New Roman"/>
        </w:rPr>
        <w:t xml:space="preserve"> uznáva, že je potrebné zachovať spravodlivé konkurenčné podmienky pre všetkých poskytovateľov služieb</w:t>
      </w:r>
      <w:r w:rsidR="0016498A">
        <w:rPr>
          <w:rFonts w:ascii="Times New Roman" w:hAnsi="Times New Roman"/>
        </w:rPr>
        <w:t>,</w:t>
      </w:r>
      <w:r w:rsidRPr="0016498A">
        <w:rPr>
          <w:rFonts w:ascii="Times New Roman" w:hAnsi="Times New Roman"/>
        </w:rPr>
        <w:t xml:space="preserve"> ale nepovažuje za správne ich obmedziť len na jednostranné vyrovnanie úrovne miezd, keď iné rozdiely zostanú nedotknuté. Vychádza z názoru, že profitovanie podnikov zo mzdových rozdielov medzi členskými štátmi a vysielanie pracovníkov ako spôsob využívania týchto rozdielov nebolo nikdy označované za diskriminujúce, naopak, bolo vždy považované za konanie typické pre tr</w:t>
      </w:r>
      <w:r w:rsidR="0016498A">
        <w:rPr>
          <w:rFonts w:ascii="Times New Roman" w:hAnsi="Times New Roman"/>
        </w:rPr>
        <w:t>hovú</w:t>
      </w:r>
      <w:r w:rsidRPr="0016498A">
        <w:rPr>
          <w:rFonts w:ascii="Times New Roman" w:hAnsi="Times New Roman"/>
        </w:rPr>
        <w:t xml:space="preserve"> ekonomiku. V tejto súvislosti by </w:t>
      </w:r>
      <w:r w:rsidR="0016498A">
        <w:rPr>
          <w:rFonts w:ascii="Times New Roman" w:hAnsi="Times New Roman"/>
        </w:rPr>
        <w:t>výbor</w:t>
      </w:r>
      <w:r w:rsidRPr="0016498A">
        <w:rPr>
          <w:rFonts w:ascii="Times New Roman" w:hAnsi="Times New Roman"/>
        </w:rPr>
        <w:t xml:space="preserve"> uvítal celoeurópsku diskusi</w:t>
      </w:r>
      <w:r w:rsidR="0016498A">
        <w:rPr>
          <w:rFonts w:ascii="Times New Roman" w:hAnsi="Times New Roman"/>
        </w:rPr>
        <w:t>u</w:t>
      </w:r>
      <w:r w:rsidRPr="0016498A">
        <w:rPr>
          <w:rFonts w:ascii="Times New Roman" w:hAnsi="Times New Roman"/>
        </w:rPr>
        <w:t xml:space="preserve"> o definovaní pojmov sociálny dumping a diskriminácia v odmeňovaní, aby sa predišlo právnej neistote pri ich používaní.</w:t>
      </w:r>
    </w:p>
    <w:p w:rsidR="009836A9" w:rsidRPr="007E17C5" w:rsidP="009836A9">
      <w:pPr>
        <w:bidi w:val="0"/>
        <w:rPr>
          <w:rFonts w:ascii="Times New Roman" w:hAnsi="Times New Roman"/>
        </w:rPr>
      </w:pPr>
    </w:p>
    <w:p w:rsidR="00376948" w:rsidRPr="007E17C5" w:rsidP="00376948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376948" w:rsidRPr="007E17C5" w:rsidP="00376948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07298D">
        <w:rPr>
          <w:rFonts w:ascii="Times New Roman" w:hAnsi="Times New Roman"/>
          <w:b/>
        </w:rPr>
        <w:t>C</w:t>
      </w:r>
      <w:r w:rsidRPr="007E17C5">
        <w:rPr>
          <w:rFonts w:ascii="Times New Roman" w:hAnsi="Times New Roman"/>
          <w:b/>
        </w:rPr>
        <w:t>.</w:t>
        <w:tab/>
        <w:t>ukladá</w:t>
      </w:r>
    </w:p>
    <w:p w:rsidR="00376948" w:rsidRPr="007E17C5" w:rsidP="0037694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76948" w:rsidRPr="007E17C5" w:rsidP="0037694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7E17C5">
        <w:rPr>
          <w:rFonts w:ascii="Times New Roman" w:hAnsi="Times New Roman"/>
        </w:rPr>
        <w:tab/>
        <w:t xml:space="preserve">predsedovi výboru </w:t>
      </w:r>
    </w:p>
    <w:p w:rsidR="00376948" w:rsidRPr="007E17C5" w:rsidP="0037694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76948" w:rsidRPr="007E17C5" w:rsidP="0037694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7E17C5">
        <w:rPr>
          <w:rFonts w:ascii="Times New Roman" w:hAnsi="Times New Roman"/>
        </w:rPr>
        <w:tab/>
        <w:t>informovať o prijatom odôvodnenom stanovisku predsedu Národnej rady Slovenskej republiky, Európsky parlament, Európsku komisiu a Radu Európskej únie.</w:t>
      </w:r>
    </w:p>
    <w:p w:rsidR="00376948" w:rsidRPr="007E17C5" w:rsidP="00376948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376948" w:rsidRPr="007E17C5" w:rsidP="00376948">
      <w:pPr>
        <w:pStyle w:val="Heading1"/>
        <w:tabs>
          <w:tab w:val="left" w:pos="567"/>
        </w:tabs>
        <w:bidi w:val="0"/>
        <w:ind w:firstLine="708"/>
        <w:rPr>
          <w:rFonts w:ascii="Times New Roman" w:hAnsi="Times New Roman" w:cs="Times New Roman"/>
          <w:kern w:val="0"/>
          <w:sz w:val="24"/>
          <w:szCs w:val="24"/>
        </w:rPr>
      </w:pPr>
      <w:r w:rsidRPr="007E17C5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:rsidR="00376948" w:rsidRPr="007E17C5" w:rsidP="00376948">
      <w:pPr>
        <w:bidi w:val="0"/>
        <w:rPr>
          <w:rFonts w:ascii="Times New Roman" w:hAnsi="Times New Roman"/>
        </w:rPr>
      </w:pPr>
    </w:p>
    <w:p w:rsidR="00376948" w:rsidP="00376948">
      <w:pPr>
        <w:bidi w:val="0"/>
        <w:rPr>
          <w:rFonts w:ascii="Times New Roman" w:hAnsi="Times New Roman"/>
        </w:rPr>
      </w:pPr>
    </w:p>
    <w:p w:rsidR="0016498A" w:rsidP="00376948">
      <w:pPr>
        <w:bidi w:val="0"/>
        <w:rPr>
          <w:rFonts w:ascii="Times New Roman" w:hAnsi="Times New Roman"/>
        </w:rPr>
      </w:pPr>
    </w:p>
    <w:p w:rsidR="0016498A" w:rsidRPr="007E17C5" w:rsidP="00376948">
      <w:pPr>
        <w:bidi w:val="0"/>
        <w:rPr>
          <w:rFonts w:ascii="Times New Roman" w:hAnsi="Times New Roman"/>
        </w:rPr>
      </w:pPr>
    </w:p>
    <w:p w:rsidR="00376948" w:rsidRPr="007E17C5" w:rsidP="00376948">
      <w:pPr>
        <w:bidi w:val="0"/>
        <w:rPr>
          <w:rFonts w:ascii="Times New Roman" w:hAnsi="Times New Roman"/>
        </w:rPr>
      </w:pPr>
    </w:p>
    <w:p w:rsidR="00376948" w:rsidRPr="007E17C5" w:rsidP="00376948">
      <w:pPr>
        <w:tabs>
          <w:tab w:val="left" w:pos="567"/>
        </w:tabs>
        <w:bidi w:val="0"/>
        <w:rPr>
          <w:rFonts w:ascii="Times New Roman" w:hAnsi="Times New Roman"/>
        </w:rPr>
      </w:pPr>
    </w:p>
    <w:p w:rsidR="00376948" w:rsidRPr="007E17C5" w:rsidP="00376948">
      <w:pPr>
        <w:tabs>
          <w:tab w:val="left" w:pos="567"/>
        </w:tabs>
        <w:bidi w:val="0"/>
        <w:rPr>
          <w:rFonts w:ascii="Times New Roman" w:hAnsi="Times New Roman"/>
        </w:rPr>
      </w:pPr>
    </w:p>
    <w:p w:rsidR="00376948" w:rsidP="00376948">
      <w:pPr>
        <w:tabs>
          <w:tab w:val="left" w:pos="567"/>
        </w:tabs>
        <w:bidi w:val="0"/>
        <w:rPr>
          <w:rFonts w:ascii="Times New Roman" w:hAnsi="Times New Roman"/>
        </w:rPr>
      </w:pPr>
    </w:p>
    <w:p w:rsidR="0016498A" w:rsidP="00376948">
      <w:pPr>
        <w:tabs>
          <w:tab w:val="left" w:pos="567"/>
        </w:tabs>
        <w:bidi w:val="0"/>
        <w:rPr>
          <w:rFonts w:ascii="Times New Roman" w:hAnsi="Times New Roman"/>
        </w:rPr>
      </w:pPr>
    </w:p>
    <w:p w:rsidR="0016498A" w:rsidRPr="007E17C5" w:rsidP="00376948">
      <w:pPr>
        <w:tabs>
          <w:tab w:val="left" w:pos="567"/>
        </w:tabs>
        <w:bidi w:val="0"/>
        <w:rPr>
          <w:rFonts w:ascii="Times New Roman" w:hAnsi="Times New Roman"/>
        </w:rPr>
      </w:pPr>
    </w:p>
    <w:p w:rsidR="0016498A" w:rsidRPr="00C05B17" w:rsidP="0016498A">
      <w:pPr>
        <w:bidi w:val="0"/>
        <w:rPr>
          <w:rFonts w:ascii="Times New Roman" w:hAnsi="Times New Roman"/>
        </w:rPr>
      </w:pPr>
    </w:p>
    <w:p w:rsidR="0016498A" w:rsidP="0016498A">
      <w:pPr>
        <w:bidi w:val="0"/>
        <w:spacing w:before="120"/>
        <w:ind w:left="1080"/>
        <w:rPr>
          <w:rFonts w:ascii="Times New Roman" w:hAnsi="Times New Roman"/>
        </w:rPr>
      </w:pPr>
    </w:p>
    <w:p w:rsidR="0016498A" w:rsidP="0016498A">
      <w:pPr>
        <w:bidi w:val="0"/>
        <w:spacing w:before="120"/>
        <w:ind w:left="1080"/>
        <w:rPr>
          <w:rFonts w:ascii="Times New Roman" w:hAnsi="Times New Roman"/>
        </w:rPr>
      </w:pPr>
    </w:p>
    <w:p w:rsidR="0016498A" w:rsidRPr="00457287" w:rsidP="0016498A">
      <w:pPr>
        <w:bidi w:val="0"/>
        <w:spacing w:before="120"/>
        <w:ind w:left="1080"/>
        <w:rPr>
          <w:rFonts w:ascii="Times New Roman" w:hAnsi="Times New Roman"/>
        </w:rPr>
      </w:pPr>
    </w:p>
    <w:p w:rsidR="0016498A" w:rsidP="0016498A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16498A" w:rsidRPr="008C6E1E" w:rsidP="0016498A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16498A" w:rsidRPr="008C6E1E" w:rsidP="0016498A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>Jozef Viskupič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16498A" w:rsidRPr="008C6E1E" w:rsidP="0016498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8C6E1E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p w:rsidR="0016498A" w:rsidRPr="00457287" w:rsidP="0016498A">
      <w:pPr>
        <w:tabs>
          <w:tab w:val="left" w:pos="567"/>
        </w:tabs>
        <w:bidi w:val="0"/>
        <w:rPr>
          <w:rFonts w:ascii="Times New Roman" w:hAnsi="Times New Roman"/>
        </w:rPr>
      </w:pPr>
    </w:p>
    <w:p w:rsidR="0016498A" w:rsidP="0016498A">
      <w:pPr>
        <w:tabs>
          <w:tab w:val="left" w:pos="567"/>
        </w:tabs>
        <w:bidi w:val="0"/>
        <w:rPr>
          <w:rFonts w:ascii="Times New Roman" w:hAnsi="Times New Roman"/>
        </w:rPr>
      </w:pPr>
    </w:p>
    <w:p w:rsidR="00A27FCC" w:rsidRPr="007E17C5" w:rsidP="0016498A">
      <w:pPr>
        <w:tabs>
          <w:tab w:val="left" w:pos="567"/>
        </w:tabs>
        <w:bidi w:val="0"/>
        <w:rPr>
          <w:rFonts w:ascii="Times New Roman" w:hAnsi="Times New Roman"/>
        </w:rPr>
      </w:pPr>
    </w:p>
    <w:sectPr w:rsidSect="00BE03BB">
      <w:headerReference w:type="default" r:id="rId4"/>
      <w:foot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AB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7298D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1F4FAB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AB" w:rsidP="00BE03BB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AB" w:rsidRPr="00620E67" w:rsidP="00BE03BB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1F4FAB" w:rsidRPr="00620E67" w:rsidP="00BE03BB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F4FAB" w:rsidRPr="00620E67" w:rsidP="00BE03BB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1F4FAB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AC5CA2"/>
    <w:multiLevelType w:val="hybridMultilevel"/>
    <w:tmpl w:val="E892D35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945DD"/>
    <w:multiLevelType w:val="hybridMultilevel"/>
    <w:tmpl w:val="1322546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51054"/>
    <w:multiLevelType w:val="hybridMultilevel"/>
    <w:tmpl w:val="B2C238C8"/>
    <w:lvl w:ilvl="0">
      <w:start w:val="1"/>
      <w:numFmt w:val="upperLetter"/>
      <w:lvlText w:val="%1."/>
      <w:lvlJc w:val="left"/>
      <w:pPr>
        <w:ind w:left="930" w:hanging="5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76A3D85"/>
    <w:multiLevelType w:val="hybridMultilevel"/>
    <w:tmpl w:val="A0D4507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44695"/>
    <w:multiLevelType w:val="hybridMultilevel"/>
    <w:tmpl w:val="EFF2B8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4726B"/>
    <w:multiLevelType w:val="hybridMultilevel"/>
    <w:tmpl w:val="94B44D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68304E"/>
    <w:multiLevelType w:val="hybridMultilevel"/>
    <w:tmpl w:val="BD6EBA74"/>
    <w:lvl w:ilvl="0">
      <w:start w:val="1"/>
      <w:numFmt w:val="upperLetter"/>
      <w:lvlText w:val="%1."/>
      <w:lvlJc w:val="left"/>
      <w:pPr>
        <w:ind w:left="1650" w:hanging="5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8">
    <w:nsid w:val="438D4480"/>
    <w:multiLevelType w:val="hybridMultilevel"/>
    <w:tmpl w:val="9C04E31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9F5914"/>
    <w:multiLevelType w:val="hybridMultilevel"/>
    <w:tmpl w:val="BFE43A6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B801BC"/>
    <w:multiLevelType w:val="hybridMultilevel"/>
    <w:tmpl w:val="71B480D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D5B5960"/>
    <w:multiLevelType w:val="hybridMultilevel"/>
    <w:tmpl w:val="7068BB0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1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10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76948"/>
    <w:rsid w:val="0007298D"/>
    <w:rsid w:val="000C2138"/>
    <w:rsid w:val="000D7D6B"/>
    <w:rsid w:val="0016498A"/>
    <w:rsid w:val="001D1355"/>
    <w:rsid w:val="001D54A9"/>
    <w:rsid w:val="001F4FAB"/>
    <w:rsid w:val="00376948"/>
    <w:rsid w:val="0038165F"/>
    <w:rsid w:val="00433DDA"/>
    <w:rsid w:val="0045152E"/>
    <w:rsid w:val="00457287"/>
    <w:rsid w:val="004860DF"/>
    <w:rsid w:val="00512944"/>
    <w:rsid w:val="00601306"/>
    <w:rsid w:val="00620E67"/>
    <w:rsid w:val="00707B61"/>
    <w:rsid w:val="0071680A"/>
    <w:rsid w:val="007E17C5"/>
    <w:rsid w:val="007E2603"/>
    <w:rsid w:val="008539E4"/>
    <w:rsid w:val="00872E1B"/>
    <w:rsid w:val="008C6E1E"/>
    <w:rsid w:val="009836A9"/>
    <w:rsid w:val="009B11AA"/>
    <w:rsid w:val="00A0043D"/>
    <w:rsid w:val="00A27FCC"/>
    <w:rsid w:val="00A61426"/>
    <w:rsid w:val="00AF4F5C"/>
    <w:rsid w:val="00B95C02"/>
    <w:rsid w:val="00BA155B"/>
    <w:rsid w:val="00BE03BB"/>
    <w:rsid w:val="00C05B17"/>
    <w:rsid w:val="00C2037A"/>
    <w:rsid w:val="00C62CF7"/>
    <w:rsid w:val="00D807A6"/>
    <w:rsid w:val="00D92A0B"/>
    <w:rsid w:val="00F000CB"/>
    <w:rsid w:val="00F72C6E"/>
    <w:rsid w:val="00FB1C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94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376948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376948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376948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376948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7694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7694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376948"/>
    <w:pPr>
      <w:ind w:left="720"/>
      <w:contextualSpacing/>
      <w:jc w:val="left"/>
    </w:pPr>
    <w:rPr>
      <w:rFonts w:ascii="Arial" w:hAnsi="Arial" w:cs="Arial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376948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1D54A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54A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D54A9"/>
    <w:pPr>
      <w:jc w:val="left"/>
    </w:pPr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D54A9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3</Pages>
  <Words>1002</Words>
  <Characters>5717</Characters>
  <Application>Microsoft Office Word</Application>
  <DocSecurity>0</DocSecurity>
  <Lines>0</Lines>
  <Paragraphs>0</Paragraphs>
  <ScaleCrop>false</ScaleCrop>
  <Company>Kancelaria NR SR</Company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Luptáková, Marta, PhDr. Mgr.</dc:creator>
  <cp:lastModifiedBy>Uhnakova, Anna</cp:lastModifiedBy>
  <cp:revision>4</cp:revision>
  <cp:lastPrinted>2016-05-10T14:55:00Z</cp:lastPrinted>
  <dcterms:created xsi:type="dcterms:W3CDTF">2016-05-09T13:50:00Z</dcterms:created>
  <dcterms:modified xsi:type="dcterms:W3CDTF">2016-05-10T15:02:00Z</dcterms:modified>
</cp:coreProperties>
</file>