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0236" w:rsidP="001D023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73.  schôdza výboru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920//2015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195</w:t>
      </w:r>
    </w:p>
    <w:p w:rsidR="001D0236" w:rsidP="001D0236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1D0236" w:rsidP="001D023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1D0236" w:rsidP="001D023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1D0236" w:rsidP="001D023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4E6381">
        <w:rPr>
          <w:rFonts w:ascii="Times New Roman" w:hAnsi="Times New Roman"/>
          <w:szCs w:val="24"/>
          <w:lang w:eastAsia="sk-SK"/>
        </w:rPr>
        <w:t>zo 7</w:t>
      </w:r>
      <w:r>
        <w:rPr>
          <w:rFonts w:ascii="Times New Roman" w:hAnsi="Times New Roman"/>
          <w:szCs w:val="24"/>
          <w:lang w:eastAsia="sk-SK"/>
        </w:rPr>
        <w:t>. mája 2015</w:t>
      </w: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>vania</w:t>
      </w:r>
      <w:r>
        <w:rPr>
          <w:rFonts w:ascii="Times New Roman" w:hAnsi="Times New Roman" w:cs="Arial"/>
          <w:noProof/>
          <w:szCs w:val="24"/>
        </w:rPr>
        <w:t xml:space="preserve"> 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 </w:t>
      </w:r>
      <w:r>
        <w:rPr>
          <w:rFonts w:ascii="Times New Roman" w:hAnsi="Times New Roman" w:cs="Arial"/>
          <w:b/>
          <w:szCs w:val="24"/>
        </w:rPr>
        <w:t>(tlač  1539)</w:t>
      </w:r>
      <w:r>
        <w:rPr>
          <w:rFonts w:ascii="Times New Roman" w:hAnsi="Times New Roman"/>
          <w:szCs w:val="24"/>
          <w:lang w:eastAsia="sk-SK"/>
        </w:rPr>
        <w:t>a</w:t>
      </w: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1D0236" w:rsidP="001D0236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spoločnú správu o výsledku prerokovania</w:t>
      </w:r>
      <w:r w:rsidRPr="001D0236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 xml:space="preserve">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 </w:t>
      </w:r>
      <w:r>
        <w:rPr>
          <w:rFonts w:ascii="Times New Roman" w:hAnsi="Times New Roman" w:cs="Arial"/>
          <w:b/>
          <w:szCs w:val="24"/>
        </w:rPr>
        <w:t>(tlač  1539)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1D0236" w:rsidP="001D0236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1D0236" w:rsidP="001D0236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1D0236" w:rsidP="001D0236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1D0236" w:rsidP="001D0236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1D0236" w:rsidP="001D023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Mariána KOVAČÓCYHO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1D0236" w:rsidP="001D023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1D0236" w:rsidP="001D023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1D0236" w:rsidP="001D023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1D0236" w:rsidP="001D023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1D0236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 xml:space="preserve">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 </w:t>
      </w:r>
      <w:r>
        <w:rPr>
          <w:rFonts w:ascii="Times New Roman" w:hAnsi="Times New Roman" w:cs="Arial"/>
          <w:b/>
          <w:szCs w:val="24"/>
        </w:rPr>
        <w:t>(tlač  1539)</w:t>
      </w:r>
      <w:r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1D0236" w:rsidP="001D0236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1D0236" w:rsidP="001D023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Jaroslav BAŠKA</w:t>
      </w:r>
    </w:p>
    <w:p w:rsidR="001D0236" w:rsidP="001D0236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predseda výboru</w:t>
      </w: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1D0236" w:rsidP="001D0236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0236" w:rsidP="001D023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0001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0874"/>
    <w:multiLevelType w:val="hybridMultilevel"/>
    <w:tmpl w:val="BC382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1D0236"/>
    <w:rsid w:val="001D0236"/>
    <w:rsid w:val="004E6381"/>
    <w:rsid w:val="009000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3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023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E638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E638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335</Words>
  <Characters>1912</Characters>
  <Application>Microsoft Office Word</Application>
  <DocSecurity>0</DocSecurity>
  <Lines>0</Lines>
  <Paragraphs>0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cp:lastPrinted>2015-05-06T08:39:00Z</cp:lastPrinted>
  <dcterms:created xsi:type="dcterms:W3CDTF">2015-05-06T08:27:00Z</dcterms:created>
  <dcterms:modified xsi:type="dcterms:W3CDTF">2015-05-06T08:40:00Z</dcterms:modified>
</cp:coreProperties>
</file>