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30A96" w:rsidP="006A0EE1">
      <w:pPr>
        <w:pStyle w:val="Heading2"/>
        <w:bidi w:val="0"/>
        <w:ind w:hanging="3649"/>
      </w:pPr>
    </w:p>
    <w:p w:rsidR="006A0EE1" w:rsidRPr="002E0F39" w:rsidP="006A0EE1">
      <w:pPr>
        <w:pStyle w:val="Heading2"/>
        <w:bidi w:val="0"/>
        <w:ind w:hanging="3649"/>
        <w:rPr>
          <w:rFonts w:hint="default"/>
        </w:rPr>
      </w:pPr>
      <w:r w:rsidRPr="002E0F39">
        <w:rPr>
          <w:rFonts w:hint="default"/>
        </w:rPr>
        <w:t>Ú</w:t>
      </w:r>
      <w:r w:rsidRPr="002E0F39">
        <w:rPr>
          <w:rFonts w:hint="default"/>
        </w:rPr>
        <w:t>STAVNOPRÁ</w:t>
      </w:r>
      <w:r w:rsidRPr="002E0F39">
        <w:rPr>
          <w:rFonts w:hint="default"/>
        </w:rPr>
        <w:t>VNY VÝ</w:t>
      </w:r>
      <w:r w:rsidRPr="002E0F39">
        <w:rPr>
          <w:rFonts w:hint="default"/>
        </w:rPr>
        <w:t>BOR</w:t>
      </w:r>
    </w:p>
    <w:p w:rsidR="006A0EE1" w:rsidP="006A0EE1">
      <w:pPr>
        <w:bidi w:val="0"/>
        <w:spacing w:line="360" w:lineRule="auto"/>
        <w:rPr>
          <w:rFonts w:ascii="Times New Roman" w:hAnsi="Times New Roman"/>
          <w:b/>
        </w:rPr>
      </w:pPr>
      <w:r w:rsidRPr="002E0F39">
        <w:rPr>
          <w:rFonts w:ascii="Times New Roman" w:hAnsi="Times New Roman"/>
          <w:b/>
        </w:rPr>
        <w:t>NÁRODNEJ RADY SLOVENSKEJ REPUBLIKY</w:t>
      </w:r>
    </w:p>
    <w:p w:rsidR="00CF7A08" w:rsidP="006A0EE1">
      <w:pPr>
        <w:bidi w:val="0"/>
        <w:spacing w:line="360" w:lineRule="auto"/>
        <w:rPr>
          <w:rFonts w:ascii="Times New Roman" w:hAnsi="Times New Roman"/>
          <w:b/>
        </w:rPr>
      </w:pPr>
    </w:p>
    <w:p w:rsidR="006A0EE1" w:rsidRPr="007C5919" w:rsidP="006A0EE1">
      <w:pPr>
        <w:bidi w:val="0"/>
        <w:rPr>
          <w:rFonts w:ascii="Times New Roman" w:hAnsi="Times New Roman"/>
        </w:rPr>
      </w:pPr>
      <w:r w:rsidRPr="002E0F39">
        <w:rPr>
          <w:rFonts w:ascii="Times New Roman" w:hAnsi="Times New Roman"/>
        </w:rPr>
        <w:tab/>
        <w:tab/>
        <w:tab/>
        <w:tab/>
        <w:tab/>
        <w:tab/>
        <w:tab/>
        <w:tab/>
        <w:tab/>
        <w:t xml:space="preserve"> </w:t>
      </w:r>
      <w:r w:rsidRPr="007C5919">
        <w:rPr>
          <w:rFonts w:ascii="Times New Roman" w:hAnsi="Times New Roman"/>
        </w:rPr>
        <w:t>8</w:t>
      </w:r>
      <w:r w:rsidRPr="007C5919" w:rsidR="00D11FFD">
        <w:rPr>
          <w:rFonts w:ascii="Times New Roman" w:hAnsi="Times New Roman"/>
        </w:rPr>
        <w:t>6</w:t>
      </w:r>
      <w:r w:rsidRPr="007C5919">
        <w:rPr>
          <w:rFonts w:ascii="Times New Roman" w:hAnsi="Times New Roman"/>
        </w:rPr>
        <w:t>. schôdza</w:t>
      </w:r>
    </w:p>
    <w:p w:rsidR="006A0EE1" w:rsidRPr="007C5919" w:rsidP="006A0EE1">
      <w:pPr>
        <w:bidi w:val="0"/>
        <w:ind w:left="5592" w:hanging="12"/>
        <w:rPr>
          <w:rFonts w:ascii="Times New Roman" w:hAnsi="Times New Roman"/>
        </w:rPr>
      </w:pPr>
      <w:r w:rsidRPr="007C5919">
        <w:rPr>
          <w:rFonts w:ascii="Times New Roman" w:hAnsi="Times New Roman"/>
        </w:rPr>
        <w:t xml:space="preserve"> </w:t>
        <w:tab/>
        <w:tab/>
        <w:t xml:space="preserve"> Číslo: CRD-18</w:t>
      </w:r>
      <w:r w:rsidRPr="007C5919" w:rsidR="00D11FFD">
        <w:rPr>
          <w:rFonts w:ascii="Times New Roman" w:hAnsi="Times New Roman"/>
        </w:rPr>
        <w:t>52</w:t>
      </w:r>
      <w:r w:rsidRPr="007C5919">
        <w:rPr>
          <w:rFonts w:ascii="Times New Roman" w:hAnsi="Times New Roman"/>
        </w:rPr>
        <w:t xml:space="preserve">/2014 </w:t>
      </w:r>
    </w:p>
    <w:p w:rsidR="00A06980" w:rsidP="006A0EE1">
      <w:pPr>
        <w:bidi w:val="0"/>
        <w:jc w:val="center"/>
        <w:rPr>
          <w:rFonts w:ascii="Times New Roman" w:hAnsi="Times New Roman"/>
          <w:sz w:val="36"/>
          <w:szCs w:val="36"/>
        </w:rPr>
      </w:pPr>
    </w:p>
    <w:p w:rsidR="007C5919" w:rsidRPr="00FA480F" w:rsidP="006A0EE1">
      <w:pPr>
        <w:bidi w:val="0"/>
        <w:jc w:val="center"/>
        <w:rPr>
          <w:rFonts w:ascii="Times New Roman" w:hAnsi="Times New Roman"/>
          <w:sz w:val="36"/>
          <w:szCs w:val="36"/>
        </w:rPr>
      </w:pPr>
      <w:r w:rsidRPr="00FA480F" w:rsidR="00FA480F">
        <w:rPr>
          <w:rFonts w:ascii="Times New Roman" w:hAnsi="Times New Roman"/>
          <w:sz w:val="36"/>
          <w:szCs w:val="36"/>
        </w:rPr>
        <w:t>521</w:t>
      </w:r>
    </w:p>
    <w:p w:rsidR="006A0EE1" w:rsidRPr="002E0F39" w:rsidP="006A0EE1">
      <w:pPr>
        <w:bidi w:val="0"/>
        <w:jc w:val="center"/>
        <w:rPr>
          <w:rFonts w:ascii="Times New Roman" w:hAnsi="Times New Roman"/>
          <w:b/>
        </w:rPr>
      </w:pPr>
      <w:r w:rsidRPr="002E0F39">
        <w:rPr>
          <w:rFonts w:ascii="Times New Roman" w:hAnsi="Times New Roman"/>
          <w:b/>
        </w:rPr>
        <w:t>U z n e s e n i e</w:t>
      </w:r>
    </w:p>
    <w:p w:rsidR="006A0EE1" w:rsidRPr="002E0F39" w:rsidP="006A0EE1">
      <w:pPr>
        <w:bidi w:val="0"/>
        <w:jc w:val="center"/>
        <w:rPr>
          <w:rFonts w:ascii="Times New Roman" w:hAnsi="Times New Roman"/>
          <w:b/>
        </w:rPr>
      </w:pPr>
      <w:r w:rsidRPr="002E0F39">
        <w:rPr>
          <w:rFonts w:ascii="Times New Roman" w:hAnsi="Times New Roman"/>
          <w:b/>
        </w:rPr>
        <w:t>Ústavnoprávneho výboru Národnej rady Slovenskej republiky</w:t>
      </w:r>
    </w:p>
    <w:p w:rsidR="006A0EE1" w:rsidRPr="002E0F39" w:rsidP="006A0EE1">
      <w:pPr>
        <w:bidi w:val="0"/>
        <w:jc w:val="center"/>
        <w:rPr>
          <w:rFonts w:ascii="Times New Roman" w:hAnsi="Times New Roman"/>
          <w:b/>
        </w:rPr>
      </w:pPr>
      <w:r>
        <w:rPr>
          <w:rFonts w:ascii="Times New Roman" w:hAnsi="Times New Roman"/>
          <w:b/>
        </w:rPr>
        <w:t xml:space="preserve">z </w:t>
      </w:r>
      <w:r w:rsidR="007C5919">
        <w:rPr>
          <w:rFonts w:ascii="Times New Roman" w:hAnsi="Times New Roman"/>
          <w:b/>
        </w:rPr>
        <w:t>18</w:t>
      </w:r>
      <w:r>
        <w:rPr>
          <w:rFonts w:ascii="Times New Roman" w:hAnsi="Times New Roman"/>
          <w:b/>
        </w:rPr>
        <w:t xml:space="preserve">. </w:t>
      </w:r>
      <w:r w:rsidR="00D11FFD">
        <w:rPr>
          <w:rFonts w:ascii="Times New Roman" w:hAnsi="Times New Roman"/>
          <w:b/>
        </w:rPr>
        <w:t>novembra</w:t>
      </w:r>
      <w:r>
        <w:rPr>
          <w:rFonts w:ascii="Times New Roman" w:hAnsi="Times New Roman"/>
          <w:b/>
        </w:rPr>
        <w:t xml:space="preserve"> </w:t>
      </w:r>
      <w:r w:rsidRPr="002E0F39">
        <w:rPr>
          <w:rFonts w:ascii="Times New Roman" w:hAnsi="Times New Roman"/>
          <w:b/>
        </w:rPr>
        <w:t>201</w:t>
      </w:r>
      <w:r>
        <w:rPr>
          <w:rFonts w:ascii="Times New Roman" w:hAnsi="Times New Roman"/>
          <w:b/>
        </w:rPr>
        <w:t>4</w:t>
      </w:r>
    </w:p>
    <w:p w:rsidR="006A0EE1" w:rsidRPr="00B965A9" w:rsidP="006A0EE1">
      <w:pPr>
        <w:pStyle w:val="BodyText"/>
        <w:bidi w:val="0"/>
        <w:rPr>
          <w:rFonts w:ascii="Times New Roman" w:hAnsi="Times New Roman"/>
          <w:b/>
        </w:rPr>
      </w:pPr>
    </w:p>
    <w:p w:rsidR="002D6438" w:rsidP="00CF7A08">
      <w:pPr>
        <w:bidi w:val="0"/>
        <w:jc w:val="both"/>
        <w:rPr>
          <w:rFonts w:ascii="Times New Roman" w:hAnsi="Times New Roman"/>
        </w:rPr>
      </w:pPr>
      <w:r w:rsidRPr="006445F6" w:rsidR="006A0EE1">
        <w:rPr>
          <w:rFonts w:ascii="Times New Roman" w:hAnsi="Times New Roman"/>
          <w:noProof/>
        </w:rPr>
        <w:t>k</w:t>
      </w:r>
      <w:r w:rsidR="0076682E">
        <w:rPr>
          <w:rFonts w:ascii="Times New Roman" w:hAnsi="Times New Roman"/>
          <w:noProof/>
        </w:rPr>
        <w:t xml:space="preserve"> vládnemu návrhu </w:t>
      </w:r>
      <w:r w:rsidRPr="00912A89" w:rsidR="0076682E">
        <w:rPr>
          <w:rFonts w:ascii="Times New Roman" w:hAnsi="Times New Roman"/>
        </w:rPr>
        <w:t>zákona</w:t>
      </w:r>
      <w:r>
        <w:rPr>
          <w:rFonts w:ascii="Times New Roman" w:hAnsi="Times New Roman"/>
        </w:rPr>
        <w:t xml:space="preserve">, </w:t>
      </w:r>
      <w:r w:rsidRPr="0080482A">
        <w:rPr>
          <w:rFonts w:ascii="Times New Roman" w:hAnsi="Times New Roman"/>
        </w:rPr>
        <w:t xml:space="preserve">ktorým sa mení a dopĺňa </w:t>
      </w:r>
      <w:r w:rsidRPr="0080482A">
        <w:rPr>
          <w:rFonts w:ascii="Times New Roman" w:hAnsi="Times New Roman"/>
          <w:b/>
        </w:rPr>
        <w:t>zákon č. 99/1963 Zb. Občiansky súdny poriadok</w:t>
      </w:r>
      <w:r w:rsidRPr="0080482A">
        <w:rPr>
          <w:rFonts w:ascii="Times New Roman" w:hAnsi="Times New Roman"/>
        </w:rPr>
        <w:t xml:space="preserve"> v znení neskorších predpisov a ktorým sa dopĺňajú niektoré zákony</w:t>
        <w:br/>
        <w:t>(tlač 1186)</w:t>
      </w:r>
    </w:p>
    <w:p w:rsidR="006A0EE1" w:rsidRPr="007C5919" w:rsidP="007C5919">
      <w:pPr>
        <w:bidi w:val="0"/>
        <w:jc w:val="both"/>
        <w:rPr>
          <w:rFonts w:ascii="Times New Roman" w:hAnsi="Times New Roman"/>
          <w:i/>
        </w:rPr>
      </w:pPr>
    </w:p>
    <w:p w:rsidR="006A0EE1" w:rsidRPr="002E0F39" w:rsidP="006A0EE1">
      <w:pPr>
        <w:pStyle w:val="Heading3"/>
        <w:bidi w:val="0"/>
        <w:spacing w:before="0"/>
        <w:rPr>
          <w:rFonts w:ascii="Times New Roman" w:hAnsi="Times New Roman" w:hint="default"/>
          <w:color w:val="auto"/>
        </w:rPr>
      </w:pPr>
      <w:r w:rsidRPr="002E0F39">
        <w:rPr>
          <w:rFonts w:ascii="Times New Roman" w:hAnsi="Times New Roman"/>
          <w:color w:val="auto"/>
        </w:rPr>
        <w:tab/>
      </w:r>
      <w:r w:rsidRPr="002E0F39">
        <w:rPr>
          <w:rFonts w:ascii="Times New Roman" w:hAnsi="Times New Roman" w:hint="default"/>
          <w:color w:val="auto"/>
        </w:rPr>
        <w:t>Ú</w:t>
      </w:r>
      <w:r w:rsidRPr="002E0F39">
        <w:rPr>
          <w:rFonts w:ascii="Times New Roman" w:hAnsi="Times New Roman" w:hint="default"/>
          <w:color w:val="auto"/>
        </w:rPr>
        <w:t>stavnoprá</w:t>
      </w:r>
      <w:r w:rsidRPr="002E0F39">
        <w:rPr>
          <w:rFonts w:ascii="Times New Roman" w:hAnsi="Times New Roman" w:hint="default"/>
          <w:color w:val="auto"/>
        </w:rPr>
        <w:t>vny vý</w:t>
      </w:r>
      <w:r w:rsidRPr="002E0F39">
        <w:rPr>
          <w:rFonts w:ascii="Times New Roman" w:hAnsi="Times New Roman" w:hint="default"/>
          <w:color w:val="auto"/>
        </w:rPr>
        <w:t>bor Ná</w:t>
      </w:r>
      <w:r w:rsidRPr="002E0F39">
        <w:rPr>
          <w:rFonts w:ascii="Times New Roman" w:hAnsi="Times New Roman" w:hint="default"/>
          <w:color w:val="auto"/>
        </w:rPr>
        <w:t>rodnej rady Slovenskej republiky</w:t>
      </w:r>
    </w:p>
    <w:p w:rsidR="006A0EE1" w:rsidRPr="002E0F39" w:rsidP="006A0EE1">
      <w:pPr>
        <w:tabs>
          <w:tab w:val="left" w:pos="1021"/>
        </w:tabs>
        <w:bidi w:val="0"/>
        <w:jc w:val="both"/>
        <w:rPr>
          <w:rFonts w:ascii="Times New Roman" w:hAnsi="Times New Roman"/>
        </w:rPr>
      </w:pPr>
    </w:p>
    <w:p w:rsidR="006A0EE1" w:rsidRPr="002E0F39" w:rsidP="006A0EE1">
      <w:pPr>
        <w:pStyle w:val="ListParagraph"/>
        <w:numPr>
          <w:numId w:val="1"/>
        </w:numPr>
        <w:tabs>
          <w:tab w:val="left" w:pos="709"/>
        </w:tabs>
        <w:bidi w:val="0"/>
        <w:jc w:val="both"/>
        <w:rPr>
          <w:rFonts w:ascii="Times New Roman" w:hAnsi="Times New Roman"/>
        </w:rPr>
      </w:pPr>
      <w:r w:rsidRPr="002E0F39">
        <w:rPr>
          <w:rFonts w:ascii="Times New Roman" w:hAnsi="Times New Roman"/>
          <w:b/>
        </w:rPr>
        <w:t>s ú h l a s í</w:t>
      </w:r>
    </w:p>
    <w:p w:rsidR="006A0EE1" w:rsidRPr="00AF75AD" w:rsidP="006A0EE1">
      <w:pPr>
        <w:pStyle w:val="ListParagraph"/>
        <w:tabs>
          <w:tab w:val="left" w:pos="709"/>
        </w:tabs>
        <w:bidi w:val="0"/>
        <w:ind w:left="1120"/>
        <w:jc w:val="both"/>
        <w:rPr>
          <w:rFonts w:ascii="Times New Roman" w:hAnsi="Times New Roman"/>
        </w:rPr>
      </w:pPr>
    </w:p>
    <w:p w:rsidR="00AF75AD" w:rsidRPr="00AF75AD" w:rsidP="00CF7A08">
      <w:pPr>
        <w:bidi w:val="0"/>
        <w:ind w:firstLine="1134"/>
        <w:jc w:val="both"/>
        <w:rPr>
          <w:rFonts w:ascii="Times New Roman" w:hAnsi="Times New Roman"/>
        </w:rPr>
      </w:pPr>
      <w:r w:rsidRPr="00AF75AD" w:rsidR="006A0EE1">
        <w:rPr>
          <w:rFonts w:ascii="Times New Roman" w:hAnsi="Times New Roman"/>
        </w:rPr>
        <w:t>s vládnym návrhom zákona</w:t>
      </w:r>
      <w:r w:rsidRPr="00AF75AD">
        <w:rPr>
          <w:rFonts w:ascii="Times New Roman" w:hAnsi="Times New Roman"/>
        </w:rPr>
        <w:t>, ktorým sa mení a dopĺňa zákon č. 99/1963 Zb. Občiansky súdny poriadok v znení neskorších predpisov a ktorým sa dopĺňajú niektoré zákony</w:t>
      </w:r>
      <w:r>
        <w:rPr>
          <w:rFonts w:ascii="Times New Roman" w:hAnsi="Times New Roman"/>
        </w:rPr>
        <w:t xml:space="preserve"> </w:t>
      </w:r>
      <w:r w:rsidRPr="00AF75AD">
        <w:rPr>
          <w:rFonts w:ascii="Times New Roman" w:hAnsi="Times New Roman"/>
        </w:rPr>
        <w:t>(tlač 1186)</w:t>
      </w:r>
    </w:p>
    <w:p w:rsidR="006A0EE1" w:rsidRPr="008A1900" w:rsidP="006A0EE1">
      <w:pPr>
        <w:bidi w:val="0"/>
        <w:jc w:val="both"/>
        <w:rPr>
          <w:rFonts w:ascii="Times New Roman" w:hAnsi="Times New Roman"/>
        </w:rPr>
      </w:pPr>
    </w:p>
    <w:p w:rsidR="006A0EE1" w:rsidRPr="002E0F39" w:rsidP="006A0EE1">
      <w:pPr>
        <w:bidi w:val="0"/>
        <w:rPr>
          <w:rFonts w:ascii="Times New Roman" w:hAnsi="Times New Roman"/>
          <w:b/>
        </w:rPr>
      </w:pPr>
      <w:r w:rsidRPr="002E0F39">
        <w:rPr>
          <w:rFonts w:ascii="Times New Roman" w:hAnsi="Times New Roman"/>
        </w:rPr>
        <w:tab/>
      </w:r>
      <w:r w:rsidRPr="002E0F39">
        <w:rPr>
          <w:rFonts w:ascii="Times New Roman" w:hAnsi="Times New Roman"/>
          <w:b/>
        </w:rPr>
        <w:t>B.   o d p o r ú č a</w:t>
      </w:r>
    </w:p>
    <w:p w:rsidR="006A0EE1" w:rsidRPr="002E0F39" w:rsidP="006A0EE1">
      <w:pPr>
        <w:bidi w:val="0"/>
        <w:rPr>
          <w:rFonts w:ascii="Times New Roman" w:hAnsi="Times New Roman"/>
        </w:rPr>
      </w:pPr>
    </w:p>
    <w:p w:rsidR="006A0EE1" w:rsidRPr="002E0F39" w:rsidP="006A0EE1">
      <w:pPr>
        <w:tabs>
          <w:tab w:val="left" w:pos="1134"/>
        </w:tabs>
        <w:bidi w:val="0"/>
        <w:rPr>
          <w:rFonts w:ascii="Times New Roman" w:hAnsi="Times New Roman"/>
        </w:rPr>
      </w:pPr>
      <w:r w:rsidRPr="002E0F39">
        <w:rPr>
          <w:rFonts w:ascii="Times New Roman" w:hAnsi="Times New Roman"/>
        </w:rPr>
        <w:tab/>
        <w:t>Národnej rade Slovenskej republiky</w:t>
      </w:r>
    </w:p>
    <w:p w:rsidR="006A0EE1" w:rsidP="006A0EE1">
      <w:pPr>
        <w:bidi w:val="0"/>
        <w:jc w:val="both"/>
        <w:rPr>
          <w:rFonts w:ascii="Times New Roman" w:hAnsi="Times New Roman"/>
        </w:rPr>
      </w:pPr>
    </w:p>
    <w:p w:rsidR="006A0EE1" w:rsidRPr="00654497" w:rsidP="00CF7A08">
      <w:pPr>
        <w:bidi w:val="0"/>
        <w:ind w:firstLine="1134"/>
        <w:jc w:val="both"/>
        <w:rPr>
          <w:rFonts w:ascii="Times New Roman" w:hAnsi="Times New Roman"/>
        </w:rPr>
      </w:pPr>
      <w:r>
        <w:rPr>
          <w:rFonts w:ascii="Times New Roman" w:hAnsi="Times New Roman"/>
          <w:noProof/>
        </w:rPr>
        <w:t xml:space="preserve">vládny návrh </w:t>
      </w:r>
      <w:r w:rsidRPr="00783A22">
        <w:rPr>
          <w:rFonts w:ascii="Times New Roman" w:hAnsi="Times New Roman"/>
        </w:rPr>
        <w:t>zákona</w:t>
      </w:r>
      <w:r w:rsidR="00C86FBE">
        <w:rPr>
          <w:rFonts w:ascii="Times New Roman" w:hAnsi="Times New Roman"/>
        </w:rPr>
        <w:t xml:space="preserve">, </w:t>
      </w:r>
      <w:r w:rsidRPr="0080482A" w:rsidR="00C86FBE">
        <w:rPr>
          <w:rFonts w:ascii="Times New Roman" w:hAnsi="Times New Roman"/>
        </w:rPr>
        <w:t xml:space="preserve">ktorým sa mení a dopĺňa </w:t>
      </w:r>
      <w:r w:rsidRPr="00C86FBE" w:rsidR="00C86FBE">
        <w:rPr>
          <w:rFonts w:ascii="Times New Roman" w:hAnsi="Times New Roman"/>
        </w:rPr>
        <w:t>zákon č. 99/1963 Zb. Občiansky súdny poriadok v znení neskorších predpisov a ktorým sa</w:t>
      </w:r>
      <w:r w:rsidRPr="0080482A" w:rsidR="00C86FBE">
        <w:rPr>
          <w:rFonts w:ascii="Times New Roman" w:hAnsi="Times New Roman"/>
        </w:rPr>
        <w:t xml:space="preserve"> dopĺňajú niektoré zákony</w:t>
        <w:br/>
        <w:t>(tlač 1186)</w:t>
      </w:r>
      <w:r w:rsidR="00C86FBE">
        <w:rPr>
          <w:rFonts w:ascii="Times New Roman" w:hAnsi="Times New Roman"/>
        </w:rPr>
        <w:t xml:space="preserve"> </w:t>
      </w:r>
      <w:r w:rsidRPr="002D7999">
        <w:rPr>
          <w:rFonts w:ascii="Times New Roman" w:hAnsi="Times New Roman"/>
          <w:b/>
        </w:rPr>
        <w:t>schváliť</w:t>
      </w:r>
      <w:r w:rsidRPr="002E0F39">
        <w:rPr>
          <w:rFonts w:ascii="Times New Roman" w:hAnsi="Times New Roman"/>
        </w:rPr>
        <w:t xml:space="preserve"> so zmenami a doplnkami uvedenými v prílohe tohto uznesenia;  </w:t>
      </w:r>
    </w:p>
    <w:p w:rsidR="007C5919" w:rsidP="006A0EE1">
      <w:pPr>
        <w:bidi w:val="0"/>
        <w:jc w:val="both"/>
        <w:rPr>
          <w:rFonts w:ascii="Times New Roman" w:hAnsi="Times New Roman"/>
        </w:rPr>
      </w:pPr>
    </w:p>
    <w:p w:rsidR="006A0EE1" w:rsidP="006A0EE1">
      <w:pPr>
        <w:pStyle w:val="BodyText"/>
        <w:tabs>
          <w:tab w:val="left" w:pos="1021"/>
        </w:tabs>
        <w:bidi w:val="0"/>
        <w:rPr>
          <w:rFonts w:ascii="Times New Roman" w:hAnsi="Times New Roman"/>
          <w:b/>
        </w:rPr>
      </w:pPr>
      <w:r w:rsidR="00B61007">
        <w:rPr>
          <w:rFonts w:ascii="Times New Roman" w:hAnsi="Times New Roman"/>
          <w:b/>
        </w:rPr>
        <w:t xml:space="preserve">            </w:t>
      </w:r>
      <w:r>
        <w:rPr>
          <w:rFonts w:ascii="Times New Roman" w:hAnsi="Times New Roman"/>
          <w:b/>
        </w:rPr>
        <w:t>C.  p o v e r u j e</w:t>
      </w:r>
    </w:p>
    <w:p w:rsidR="006A0EE1" w:rsidP="006A0EE1">
      <w:pPr>
        <w:pStyle w:val="BodyText"/>
        <w:tabs>
          <w:tab w:val="left" w:pos="993"/>
        </w:tabs>
        <w:bidi w:val="0"/>
        <w:rPr>
          <w:rFonts w:ascii="Times New Roman" w:hAnsi="Times New Roman"/>
        </w:rPr>
      </w:pPr>
    </w:p>
    <w:p w:rsidR="006A0EE1" w:rsidP="00CF7A08">
      <w:pPr>
        <w:pStyle w:val="BodyText"/>
        <w:tabs>
          <w:tab w:val="left" w:pos="1021"/>
        </w:tabs>
        <w:bidi w:val="0"/>
        <w:rPr>
          <w:rFonts w:ascii="Times New Roman" w:hAnsi="Times New Roman"/>
        </w:rPr>
      </w:pPr>
      <w:r>
        <w:rPr>
          <w:rFonts w:ascii="Times New Roman" w:hAnsi="Times New Roman"/>
          <w:b/>
        </w:rPr>
        <w:tab/>
        <w:t xml:space="preserve">     </w:t>
      </w:r>
      <w:r>
        <w:rPr>
          <w:rFonts w:ascii="Times New Roman" w:hAnsi="Times New Roman"/>
        </w:rPr>
        <w:t xml:space="preserve">predsedu výboru, aby výsledky rokovania Ústavnoprávneho výboru Národnej rady Slovenskej republiky v druhom čítaní z </w:t>
      </w:r>
      <w:r w:rsidR="003927CB">
        <w:rPr>
          <w:rFonts w:ascii="Times New Roman" w:hAnsi="Times New Roman"/>
        </w:rPr>
        <w:t>18</w:t>
      </w:r>
      <w:r>
        <w:rPr>
          <w:rFonts w:ascii="Times New Roman" w:hAnsi="Times New Roman"/>
        </w:rPr>
        <w:t xml:space="preserve">. </w:t>
      </w:r>
      <w:r w:rsidR="00C86FBE">
        <w:rPr>
          <w:rFonts w:ascii="Times New Roman" w:hAnsi="Times New Roman"/>
        </w:rPr>
        <w:t>novembra</w:t>
      </w:r>
      <w:r>
        <w:rPr>
          <w:rFonts w:ascii="Times New Roman" w:hAnsi="Times New Roman"/>
        </w:rPr>
        <w:t xml:space="preserve"> 2014 spolu s výsledkami rokovania </w:t>
      </w:r>
      <w:r w:rsidR="003C08E8">
        <w:rPr>
          <w:rFonts w:ascii="Times New Roman" w:hAnsi="Times New Roman"/>
        </w:rPr>
        <w:t>V</w:t>
      </w:r>
      <w:r>
        <w:rPr>
          <w:rFonts w:ascii="Times New Roman" w:hAnsi="Times New Roman"/>
        </w:rPr>
        <w:t>ýbor</w:t>
      </w:r>
      <w:r w:rsidR="003C08E8">
        <w:rPr>
          <w:rFonts w:ascii="Times New Roman" w:hAnsi="Times New Roman"/>
        </w:rPr>
        <w:t>u</w:t>
      </w:r>
      <w:r>
        <w:rPr>
          <w:rFonts w:ascii="Times New Roman" w:hAnsi="Times New Roman"/>
        </w:rPr>
        <w:t xml:space="preserve"> Národnej rady Slovenskej republiky</w:t>
      </w:r>
      <w:r w:rsidR="003C08E8">
        <w:rPr>
          <w:rFonts w:ascii="Times New Roman" w:hAnsi="Times New Roman"/>
        </w:rPr>
        <w:t xml:space="preserve"> pre ľudské práva a národnostné menšiny</w:t>
      </w:r>
      <w:r>
        <w:rPr>
          <w:rFonts w:ascii="Times New Roman" w:hAnsi="Times New Roman"/>
        </w:rPr>
        <w:t xml:space="preserve"> spracoval do  písomnej spoločnej správy výborov Národnej rady Slovenskej republiky </w:t>
      </w:r>
      <w:r w:rsidR="003C08E8">
        <w:rPr>
          <w:rFonts w:ascii="Times New Roman" w:hAnsi="Times New Roman"/>
        </w:rPr>
        <w:t>a predložil ju na </w:t>
      </w:r>
      <w:r w:rsidR="00A03672">
        <w:rPr>
          <w:rFonts w:ascii="Times New Roman" w:hAnsi="Times New Roman"/>
        </w:rPr>
        <w:t xml:space="preserve">schválenie gestorskému výboru. </w:t>
      </w:r>
    </w:p>
    <w:p w:rsidR="007C5919" w:rsidP="00A06980">
      <w:pPr>
        <w:pStyle w:val="BodyText"/>
        <w:tabs>
          <w:tab w:val="left" w:pos="1021"/>
        </w:tabs>
        <w:bidi w:val="0"/>
        <w:rPr>
          <w:rFonts w:ascii="Times New Roman" w:hAnsi="Times New Roman"/>
        </w:rPr>
      </w:pPr>
      <w:r w:rsidR="00CF7A08">
        <w:rPr>
          <w:rFonts w:ascii="Times New Roman" w:hAnsi="Times New Roman"/>
        </w:rPr>
        <w:tab/>
      </w:r>
    </w:p>
    <w:p w:rsidR="00A06980" w:rsidP="00A06980">
      <w:pPr>
        <w:pStyle w:val="BodyText"/>
        <w:tabs>
          <w:tab w:val="left" w:pos="1021"/>
        </w:tabs>
        <w:bidi w:val="0"/>
        <w:rPr>
          <w:rFonts w:ascii="Times New Roman" w:hAnsi="Times New Roman"/>
        </w:rPr>
      </w:pPr>
    </w:p>
    <w:p w:rsidR="00CF7A08" w:rsidP="006A0EE1">
      <w:pPr>
        <w:pStyle w:val="BodyText"/>
        <w:tabs>
          <w:tab w:val="left" w:pos="1134"/>
        </w:tabs>
        <w:bidi w:val="0"/>
        <w:rPr>
          <w:rFonts w:ascii="Times New Roman" w:hAnsi="Times New Roman"/>
        </w:rPr>
      </w:pPr>
    </w:p>
    <w:p w:rsidR="00A06980" w:rsidRPr="002E0F39" w:rsidP="006A0EE1">
      <w:pPr>
        <w:pStyle w:val="BodyText"/>
        <w:tabs>
          <w:tab w:val="left" w:pos="1134"/>
        </w:tabs>
        <w:bidi w:val="0"/>
        <w:rPr>
          <w:rFonts w:ascii="Times New Roman" w:hAnsi="Times New Roman"/>
        </w:rPr>
      </w:pPr>
    </w:p>
    <w:p w:rsidR="006A0EE1" w:rsidRPr="002E0F39" w:rsidP="006A0EE1">
      <w:pPr>
        <w:bidi w:val="0"/>
        <w:jc w:val="both"/>
        <w:rPr>
          <w:rFonts w:ascii="Times New Roman" w:hAnsi="Times New Roman"/>
        </w:rPr>
      </w:pPr>
      <w:r w:rsidRPr="002E0F39">
        <w:rPr>
          <w:rFonts w:ascii="Times New Roman" w:hAnsi="Times New Roman"/>
        </w:rPr>
        <w:tab/>
        <w:tab/>
        <w:tab/>
        <w:tab/>
        <w:tab/>
        <w:tab/>
        <w:tab/>
        <w:tab/>
        <w:tab/>
        <w:tab/>
        <w:t xml:space="preserve">     Róbert Madej </w:t>
      </w:r>
    </w:p>
    <w:p w:rsidR="006A0EE1" w:rsidRPr="002E0F39" w:rsidP="006A0EE1">
      <w:pPr>
        <w:bidi w:val="0"/>
        <w:ind w:left="2124" w:firstLine="4989"/>
        <w:jc w:val="both"/>
        <w:rPr>
          <w:rFonts w:ascii="Times New Roman" w:hAnsi="Times New Roman"/>
        </w:rPr>
      </w:pPr>
      <w:r w:rsidRPr="002E0F39">
        <w:rPr>
          <w:rFonts w:ascii="Times New Roman" w:hAnsi="Times New Roman"/>
        </w:rPr>
        <w:t xml:space="preserve">  predseda výboru</w:t>
      </w:r>
    </w:p>
    <w:p w:rsidR="006A0EE1" w:rsidRPr="002E0F39" w:rsidP="006A0EE1">
      <w:pPr>
        <w:tabs>
          <w:tab w:val="left" w:pos="1021"/>
        </w:tabs>
        <w:bidi w:val="0"/>
        <w:jc w:val="both"/>
        <w:rPr>
          <w:rFonts w:ascii="Times New Roman" w:hAnsi="Times New Roman"/>
        </w:rPr>
      </w:pPr>
      <w:r w:rsidRPr="002E0F39">
        <w:rPr>
          <w:rFonts w:ascii="Times New Roman" w:hAnsi="Times New Roman"/>
        </w:rPr>
        <w:t>overovatelia výboru:</w:t>
      </w:r>
    </w:p>
    <w:p w:rsidR="006A0EE1" w:rsidRPr="002E0F39" w:rsidP="006A0EE1">
      <w:pPr>
        <w:bidi w:val="0"/>
        <w:ind w:left="6480" w:hanging="6480"/>
        <w:jc w:val="both"/>
        <w:rPr>
          <w:rFonts w:ascii="Times New Roman" w:hAnsi="Times New Roman"/>
        </w:rPr>
      </w:pPr>
      <w:r w:rsidRPr="002E0F39">
        <w:rPr>
          <w:rFonts w:ascii="Times New Roman" w:hAnsi="Times New Roman"/>
        </w:rPr>
        <w:t>Anton Martvoň</w:t>
      </w:r>
    </w:p>
    <w:p w:rsidR="006A0EE1" w:rsidP="006A0EE1">
      <w:pPr>
        <w:bidi w:val="0"/>
        <w:ind w:left="6480" w:hanging="6480"/>
        <w:jc w:val="both"/>
        <w:rPr>
          <w:rFonts w:ascii="Times New Roman" w:hAnsi="Times New Roman"/>
        </w:rPr>
      </w:pPr>
      <w:r w:rsidRPr="002E0F39">
        <w:rPr>
          <w:rFonts w:ascii="Times New Roman" w:hAnsi="Times New Roman"/>
        </w:rPr>
        <w:t>Miroslav Kadúc</w:t>
      </w:r>
    </w:p>
    <w:p w:rsidR="002E0F39" w:rsidRPr="002E0F39" w:rsidP="000B36B5">
      <w:pPr>
        <w:bidi w:val="0"/>
        <w:ind w:left="6480" w:hanging="849"/>
        <w:jc w:val="both"/>
        <w:rPr>
          <w:rFonts w:ascii="Times New Roman" w:hAnsi="Times New Roman"/>
          <w:b/>
        </w:rPr>
      </w:pPr>
      <w:r w:rsidRPr="002E0F39">
        <w:rPr>
          <w:rFonts w:ascii="Times New Roman" w:hAnsi="Times New Roman"/>
          <w:b/>
        </w:rPr>
        <w:t>P r í l o h a</w:t>
      </w:r>
    </w:p>
    <w:p w:rsidR="002E0F39" w:rsidRPr="002E0F39" w:rsidP="000B36B5">
      <w:pPr>
        <w:bidi w:val="0"/>
        <w:ind w:left="4923" w:firstLine="708"/>
        <w:jc w:val="both"/>
        <w:rPr>
          <w:rFonts w:ascii="Times New Roman" w:hAnsi="Times New Roman"/>
          <w:b/>
          <w:bCs/>
        </w:rPr>
      </w:pPr>
      <w:r w:rsidRPr="002E0F39">
        <w:rPr>
          <w:rFonts w:ascii="Times New Roman" w:hAnsi="Times New Roman"/>
          <w:b/>
          <w:bCs/>
        </w:rPr>
        <w:t xml:space="preserve">k uzneseniu Ústavnoprávneho </w:t>
      </w:r>
    </w:p>
    <w:p w:rsidR="00C44DCA" w:rsidP="000B36B5">
      <w:pPr>
        <w:bidi w:val="0"/>
        <w:ind w:left="4923" w:firstLine="708"/>
        <w:jc w:val="both"/>
        <w:rPr>
          <w:rFonts w:ascii="Times New Roman" w:hAnsi="Times New Roman"/>
          <w:b/>
        </w:rPr>
      </w:pPr>
      <w:r w:rsidRPr="002E0F39" w:rsidR="002E0F39">
        <w:rPr>
          <w:rFonts w:ascii="Times New Roman" w:hAnsi="Times New Roman"/>
          <w:b/>
        </w:rPr>
        <w:t>výboru Národnej rady SR</w:t>
      </w:r>
      <w:r w:rsidR="00BE2903">
        <w:rPr>
          <w:rFonts w:ascii="Times New Roman" w:hAnsi="Times New Roman"/>
          <w:b/>
        </w:rPr>
        <w:t xml:space="preserve"> </w:t>
      </w:r>
      <w:r w:rsidRPr="002E0F39" w:rsidR="002E0F39">
        <w:rPr>
          <w:rFonts w:ascii="Times New Roman" w:hAnsi="Times New Roman"/>
          <w:b/>
        </w:rPr>
        <w:t xml:space="preserve">č. </w:t>
      </w:r>
      <w:r w:rsidR="00FA480F">
        <w:rPr>
          <w:rFonts w:ascii="Times New Roman" w:hAnsi="Times New Roman"/>
          <w:b/>
        </w:rPr>
        <w:t>521</w:t>
      </w:r>
    </w:p>
    <w:p w:rsidR="002E0F39" w:rsidRPr="002E0F39" w:rsidP="000B36B5">
      <w:pPr>
        <w:bidi w:val="0"/>
        <w:ind w:left="4923" w:firstLine="708"/>
        <w:jc w:val="both"/>
        <w:rPr>
          <w:rFonts w:ascii="Times New Roman" w:hAnsi="Times New Roman"/>
          <w:b/>
        </w:rPr>
      </w:pPr>
      <w:r w:rsidR="00B252E1">
        <w:rPr>
          <w:rFonts w:ascii="Times New Roman" w:hAnsi="Times New Roman"/>
          <w:b/>
        </w:rPr>
        <w:t>z</w:t>
      </w:r>
      <w:r w:rsidR="00C364AB">
        <w:rPr>
          <w:rFonts w:ascii="Times New Roman" w:hAnsi="Times New Roman"/>
          <w:b/>
        </w:rPr>
        <w:t xml:space="preserve"> </w:t>
      </w:r>
      <w:r w:rsidR="007C5919">
        <w:rPr>
          <w:rFonts w:ascii="Times New Roman" w:hAnsi="Times New Roman"/>
          <w:b/>
        </w:rPr>
        <w:t>18</w:t>
      </w:r>
      <w:r w:rsidR="00C364AB">
        <w:rPr>
          <w:rFonts w:ascii="Times New Roman" w:hAnsi="Times New Roman"/>
          <w:b/>
        </w:rPr>
        <w:t xml:space="preserve">. </w:t>
      </w:r>
      <w:r w:rsidR="003C08E8">
        <w:rPr>
          <w:rFonts w:ascii="Times New Roman" w:hAnsi="Times New Roman"/>
          <w:b/>
        </w:rPr>
        <w:t>novembra</w:t>
      </w:r>
      <w:r w:rsidR="00BE2903">
        <w:rPr>
          <w:rFonts w:ascii="Times New Roman" w:hAnsi="Times New Roman"/>
          <w:b/>
        </w:rPr>
        <w:t xml:space="preserve"> 2014</w:t>
      </w:r>
    </w:p>
    <w:p w:rsidR="002E0F39" w:rsidRPr="002E0F39" w:rsidP="000B36B5">
      <w:pPr>
        <w:bidi w:val="0"/>
        <w:ind w:left="4923" w:firstLine="708"/>
        <w:jc w:val="both"/>
        <w:rPr>
          <w:rFonts w:ascii="Times New Roman" w:hAnsi="Times New Roman"/>
          <w:b/>
          <w:bCs/>
          <w:lang w:eastAsia="en-US"/>
        </w:rPr>
      </w:pPr>
      <w:r w:rsidRPr="002E0F39">
        <w:rPr>
          <w:rFonts w:ascii="Times New Roman" w:hAnsi="Times New Roman"/>
          <w:b/>
          <w:bCs/>
        </w:rPr>
        <w:t>___________________________</w:t>
      </w:r>
      <w:r w:rsidR="00386D14">
        <w:rPr>
          <w:rFonts w:ascii="Times New Roman" w:hAnsi="Times New Roman"/>
          <w:b/>
          <w:bCs/>
        </w:rPr>
        <w:t>_</w:t>
      </w:r>
    </w:p>
    <w:p w:rsidR="002E0F39" w:rsidRPr="002E0F39" w:rsidP="000B36B5">
      <w:pPr>
        <w:bidi w:val="0"/>
        <w:ind w:left="670"/>
        <w:jc w:val="center"/>
        <w:rPr>
          <w:rFonts w:ascii="Times New Roman" w:hAnsi="Times New Roman"/>
          <w:lang w:eastAsia="en-US"/>
        </w:rPr>
      </w:pPr>
    </w:p>
    <w:p w:rsidR="002E0F39" w:rsidP="000B36B5">
      <w:pPr>
        <w:bidi w:val="0"/>
        <w:ind w:left="670"/>
        <w:jc w:val="center"/>
        <w:rPr>
          <w:rFonts w:ascii="Times New Roman" w:hAnsi="Times New Roman"/>
          <w:lang w:eastAsia="en-US"/>
        </w:rPr>
      </w:pPr>
    </w:p>
    <w:p w:rsidR="002E0F39" w:rsidRPr="002E0F39" w:rsidP="000B36B5">
      <w:pPr>
        <w:bidi w:val="0"/>
        <w:ind w:left="670"/>
        <w:jc w:val="center"/>
        <w:rPr>
          <w:rFonts w:ascii="Times New Roman" w:hAnsi="Times New Roman"/>
          <w:lang w:eastAsia="en-US"/>
        </w:rPr>
      </w:pPr>
    </w:p>
    <w:p w:rsidR="002E0F39" w:rsidRPr="002E0F39" w:rsidP="000B36B5">
      <w:pPr>
        <w:pStyle w:val="Heading2"/>
        <w:bidi w:val="0"/>
        <w:ind w:left="0" w:firstLine="0"/>
        <w:jc w:val="center"/>
        <w:rPr>
          <w:rFonts w:hint="default"/>
        </w:rPr>
      </w:pPr>
      <w:r w:rsidRPr="002E0F39">
        <w:rPr>
          <w:rFonts w:hint="default"/>
        </w:rPr>
        <w:t>Pozmeň</w:t>
      </w:r>
      <w:r w:rsidRPr="002E0F39">
        <w:rPr>
          <w:rFonts w:hint="default"/>
        </w:rPr>
        <w:t>ujú</w:t>
      </w:r>
      <w:r w:rsidRPr="002E0F39">
        <w:rPr>
          <w:rFonts w:hint="default"/>
        </w:rPr>
        <w:t>ce a </w:t>
      </w:r>
      <w:r w:rsidRPr="002E0F39">
        <w:rPr>
          <w:rFonts w:hint="default"/>
        </w:rPr>
        <w:t>doplň</w:t>
      </w:r>
      <w:r w:rsidRPr="002E0F39">
        <w:rPr>
          <w:rFonts w:hint="default"/>
        </w:rPr>
        <w:t>ujú</w:t>
      </w:r>
      <w:r w:rsidRPr="002E0F39">
        <w:rPr>
          <w:rFonts w:hint="default"/>
        </w:rPr>
        <w:t>ce ná</w:t>
      </w:r>
      <w:r w:rsidRPr="002E0F39">
        <w:rPr>
          <w:rFonts w:hint="default"/>
        </w:rPr>
        <w:t>vrhy</w:t>
      </w:r>
    </w:p>
    <w:p w:rsidR="002E0F39" w:rsidRPr="0015407E" w:rsidP="000B36B5">
      <w:pPr>
        <w:bidi w:val="0"/>
        <w:rPr>
          <w:rFonts w:ascii="Times New Roman" w:hAnsi="Times New Roman"/>
          <w:b/>
          <w:lang w:eastAsia="en-US"/>
        </w:rPr>
      </w:pPr>
      <w:r w:rsidRPr="002E0F39">
        <w:rPr>
          <w:rFonts w:ascii="Times New Roman" w:hAnsi="Times New Roman"/>
          <w:b/>
          <w:lang w:eastAsia="en-US"/>
        </w:rPr>
        <w:t xml:space="preserve"> </w:t>
      </w:r>
    </w:p>
    <w:p w:rsidR="003C08E8" w:rsidRPr="003D18FF" w:rsidP="003C08E8">
      <w:pPr>
        <w:bidi w:val="0"/>
        <w:jc w:val="both"/>
        <w:rPr>
          <w:rFonts w:ascii="Times New Roman" w:hAnsi="Times New Roman"/>
          <w:b/>
        </w:rPr>
      </w:pPr>
      <w:r w:rsidRPr="003D18FF" w:rsidR="004D2DB9">
        <w:rPr>
          <w:rFonts w:ascii="Times New Roman" w:hAnsi="Times New Roman"/>
          <w:b/>
          <w:noProof/>
        </w:rPr>
        <w:t>k vládnemu návrhu zákona</w:t>
      </w:r>
      <w:r w:rsidRPr="003D18FF">
        <w:rPr>
          <w:rFonts w:ascii="Times New Roman" w:hAnsi="Times New Roman"/>
          <w:b/>
        </w:rPr>
        <w:t>, ktorým sa mení a dopĺňa zákon č. 99/1963 Zb. Občiansky súdny poriadok v znení neskorších predpisov a ktorým sa dopĺňajú niektoré zákony</w:t>
        <w:br/>
        <w:t>(tlač 1186)</w:t>
      </w:r>
    </w:p>
    <w:p w:rsidR="00A937C3" w:rsidRPr="001C1444" w:rsidP="000B36B5">
      <w:pPr>
        <w:tabs>
          <w:tab w:val="left" w:pos="284"/>
        </w:tabs>
        <w:bidi w:val="0"/>
        <w:jc w:val="both"/>
        <w:rPr>
          <w:rFonts w:ascii="Times New Roman" w:hAnsi="Times New Roman"/>
          <w:b/>
        </w:rPr>
      </w:pPr>
      <w:r w:rsidRPr="007B6BB9">
        <w:rPr>
          <w:rFonts w:ascii="Times New Roman" w:hAnsi="Times New Roman"/>
          <w:b/>
        </w:rPr>
        <w:t>___________________________________________________________________________</w:t>
      </w:r>
    </w:p>
    <w:p w:rsidR="002E0F39" w:rsidP="000B36B5">
      <w:pPr>
        <w:bidi w:val="0"/>
        <w:jc w:val="both"/>
        <w:rPr>
          <w:rFonts w:ascii="Times New Roman" w:hAnsi="Times New Roman"/>
          <w:b/>
        </w:rPr>
      </w:pPr>
    </w:p>
    <w:p w:rsidR="00A34E3C" w:rsidP="000B36B5">
      <w:pPr>
        <w:bidi w:val="0"/>
        <w:jc w:val="both"/>
        <w:rPr>
          <w:rFonts w:ascii="Times New Roman" w:hAnsi="Times New Roman"/>
          <w:b/>
        </w:rPr>
      </w:pPr>
    </w:p>
    <w:p w:rsidR="006428B8" w:rsidP="000F7CE7">
      <w:pPr>
        <w:bidi w:val="0"/>
        <w:jc w:val="both"/>
        <w:rPr>
          <w:rFonts w:ascii="Times New Roman" w:hAnsi="Times New Roman"/>
        </w:rPr>
      </w:pPr>
    </w:p>
    <w:p w:rsidR="006428B8" w:rsidRPr="006428B8" w:rsidP="006428B8">
      <w:pPr>
        <w:pStyle w:val="ListParagraph"/>
        <w:numPr>
          <w:numId w:val="15"/>
        </w:numPr>
        <w:bidi w:val="0"/>
        <w:ind w:left="284" w:hanging="284"/>
        <w:jc w:val="both"/>
        <w:rPr>
          <w:rFonts w:ascii="Times New Roman" w:hAnsi="Times New Roman"/>
        </w:rPr>
      </w:pPr>
      <w:r w:rsidRPr="006428B8">
        <w:rPr>
          <w:rFonts w:ascii="Times New Roman" w:hAnsi="Times New Roman"/>
        </w:rPr>
        <w:t>V názve zákona sa za slová „a ktorým sa“ dopĺňajú slová „menia a“.</w:t>
      </w:r>
    </w:p>
    <w:p w:rsidR="006428B8" w:rsidRPr="006428B8" w:rsidP="004405F8">
      <w:pPr>
        <w:tabs>
          <w:tab w:val="left" w:pos="3686"/>
        </w:tabs>
        <w:bidi w:val="0"/>
        <w:jc w:val="both"/>
        <w:rPr>
          <w:rFonts w:ascii="Times New Roman" w:hAnsi="Times New Roman"/>
        </w:rPr>
      </w:pPr>
    </w:p>
    <w:p w:rsidR="006428B8" w:rsidRPr="006428B8" w:rsidP="00C60323">
      <w:pPr>
        <w:bidi w:val="0"/>
        <w:ind w:left="3540" w:firstLine="4"/>
        <w:jc w:val="both"/>
        <w:rPr>
          <w:rFonts w:ascii="Times New Roman" w:hAnsi="Times New Roman"/>
        </w:rPr>
      </w:pPr>
      <w:r w:rsidRPr="006428B8">
        <w:rPr>
          <w:rFonts w:ascii="Times New Roman" w:hAnsi="Times New Roman"/>
        </w:rPr>
        <w:t xml:space="preserve">Legislatívno-technická pripomienka  </w:t>
      </w:r>
    </w:p>
    <w:p w:rsidR="00F034AD" w:rsidP="000B36B5">
      <w:pPr>
        <w:bidi w:val="0"/>
        <w:jc w:val="both"/>
        <w:rPr>
          <w:rFonts w:ascii="Times New Roman" w:hAnsi="Times New Roman"/>
          <w:b/>
        </w:rPr>
      </w:pPr>
    </w:p>
    <w:p w:rsidR="009E79A3" w:rsidP="000B36B5">
      <w:pPr>
        <w:bidi w:val="0"/>
        <w:jc w:val="both"/>
        <w:rPr>
          <w:rFonts w:ascii="Times New Roman" w:hAnsi="Times New Roman"/>
          <w:b/>
        </w:rPr>
      </w:pPr>
    </w:p>
    <w:p w:rsidR="00C60323" w:rsidRPr="00C60323" w:rsidP="002A51B7">
      <w:pPr>
        <w:pStyle w:val="ListParagraph"/>
        <w:numPr>
          <w:numId w:val="15"/>
        </w:numPr>
        <w:tabs>
          <w:tab w:val="left" w:pos="284"/>
        </w:tabs>
        <w:bidi w:val="0"/>
        <w:ind w:left="0" w:firstLine="0"/>
        <w:jc w:val="both"/>
        <w:rPr>
          <w:rFonts w:ascii="Times New Roman" w:hAnsi="Times New Roman"/>
        </w:rPr>
      </w:pPr>
      <w:r w:rsidRPr="00C60323">
        <w:rPr>
          <w:rFonts w:ascii="Times New Roman" w:hAnsi="Times New Roman"/>
        </w:rPr>
        <w:t>V čl.</w:t>
      </w:r>
      <w:r w:rsidR="003D6F07">
        <w:rPr>
          <w:rFonts w:ascii="Times New Roman" w:hAnsi="Times New Roman"/>
        </w:rPr>
        <w:t xml:space="preserve"> </w:t>
      </w:r>
      <w:r w:rsidRPr="00C60323">
        <w:rPr>
          <w:rFonts w:ascii="Times New Roman" w:hAnsi="Times New Roman"/>
        </w:rPr>
        <w:t>I</w:t>
      </w:r>
      <w:r w:rsidR="00C143E8">
        <w:rPr>
          <w:rFonts w:ascii="Times New Roman" w:hAnsi="Times New Roman"/>
        </w:rPr>
        <w:t xml:space="preserve"> </w:t>
      </w:r>
      <w:r w:rsidRPr="00C60323">
        <w:rPr>
          <w:rFonts w:ascii="Times New Roman" w:hAnsi="Times New Roman"/>
        </w:rPr>
        <w:t>bode 3 sa slová „súčasťou podnetu“ nahrádzajú slovami „súčasťou oznámenia o vstupe“ a slová „podnet neprihliada“ sa nahrádzajú slovami „oznámenie o vstupe neprihliada“.</w:t>
      </w:r>
    </w:p>
    <w:p w:rsidR="00C60323" w:rsidRPr="00C60323" w:rsidP="0046342C">
      <w:pPr>
        <w:bidi w:val="0"/>
        <w:ind w:left="3544"/>
        <w:jc w:val="both"/>
        <w:rPr>
          <w:rFonts w:ascii="Times New Roman" w:hAnsi="Times New Roman"/>
          <w:color w:val="000000"/>
        </w:rPr>
      </w:pPr>
      <w:r w:rsidRPr="00C60323">
        <w:rPr>
          <w:rFonts w:ascii="Times New Roman" w:hAnsi="Times New Roman"/>
          <w:color w:val="000000"/>
        </w:rPr>
        <w:t xml:space="preserve">Navrhuje sa terminologické spresnenie pravidiel o vstupe vedľajších účastníkov do konania z vlastného podnetu. </w:t>
      </w:r>
      <w:r w:rsidR="0046342C">
        <w:rPr>
          <w:rFonts w:ascii="Times New Roman" w:hAnsi="Times New Roman"/>
          <w:color w:val="000000"/>
        </w:rPr>
        <w:t>V </w:t>
      </w:r>
      <w:r w:rsidRPr="00C60323">
        <w:rPr>
          <w:rFonts w:ascii="Times New Roman" w:hAnsi="Times New Roman"/>
          <w:color w:val="000000"/>
        </w:rPr>
        <w:t>literatúre ani v súdnej praxi sa na označenie procesného úkonu, ktorým vedľajší účastník prejavuje svoju vôľu vstúpiť do občianskeho súdneho konania, nepoužíva pojem „podnet“, preto je vhodnejšie použiť slovné spojenie „oznámenie o vstupe“.</w:t>
      </w:r>
    </w:p>
    <w:p w:rsidR="00C60323" w:rsidRPr="00C60323" w:rsidP="00C60323">
      <w:pPr>
        <w:bidi w:val="0"/>
        <w:rPr>
          <w:rFonts w:ascii="Times New Roman" w:hAnsi="Times New Roman"/>
        </w:rPr>
      </w:pPr>
    </w:p>
    <w:p w:rsidR="00C60323" w:rsidP="00C143E8">
      <w:pPr>
        <w:pStyle w:val="ListParagraph"/>
        <w:numPr>
          <w:numId w:val="15"/>
        </w:numPr>
        <w:bidi w:val="0"/>
        <w:ind w:left="284" w:hanging="284"/>
        <w:rPr>
          <w:rFonts w:ascii="Times New Roman" w:hAnsi="Times New Roman"/>
        </w:rPr>
      </w:pPr>
      <w:r w:rsidRPr="00C60323">
        <w:rPr>
          <w:rFonts w:ascii="Times New Roman" w:hAnsi="Times New Roman"/>
        </w:rPr>
        <w:t xml:space="preserve">V čl. </w:t>
      </w:r>
      <w:r w:rsidR="003D6F07">
        <w:rPr>
          <w:rFonts w:ascii="Times New Roman" w:hAnsi="Times New Roman"/>
        </w:rPr>
        <w:t xml:space="preserve"> </w:t>
      </w:r>
      <w:r w:rsidRPr="00C60323">
        <w:rPr>
          <w:rFonts w:ascii="Times New Roman" w:hAnsi="Times New Roman"/>
        </w:rPr>
        <w:t>I bod 4 znie:</w:t>
      </w:r>
    </w:p>
    <w:p w:rsidR="009E79A3" w:rsidRPr="00C60323" w:rsidP="009E79A3">
      <w:pPr>
        <w:pStyle w:val="ListParagraph"/>
        <w:bidi w:val="0"/>
        <w:ind w:left="284"/>
        <w:rPr>
          <w:rFonts w:ascii="Times New Roman" w:hAnsi="Times New Roman"/>
        </w:rPr>
      </w:pPr>
    </w:p>
    <w:p w:rsidR="00C60323" w:rsidRPr="00C60323" w:rsidP="00C60323">
      <w:pPr>
        <w:bidi w:val="0"/>
        <w:ind w:firstLine="284"/>
        <w:jc w:val="both"/>
        <w:rPr>
          <w:rFonts w:ascii="Times New Roman" w:hAnsi="Times New Roman"/>
        </w:rPr>
      </w:pPr>
      <w:r w:rsidRPr="00C60323">
        <w:rPr>
          <w:rFonts w:ascii="Times New Roman" w:hAnsi="Times New Roman"/>
        </w:rPr>
        <w:t xml:space="preserve">„4. § 93 sa dopĺňa odsekmi 5 a 6, ktoré znejú: </w:t>
      </w:r>
    </w:p>
    <w:p w:rsidR="00C60323" w:rsidP="00C60323">
      <w:pPr>
        <w:bidi w:val="0"/>
        <w:ind w:firstLine="284"/>
        <w:jc w:val="both"/>
        <w:rPr>
          <w:rFonts w:ascii="Times New Roman" w:hAnsi="Times New Roman"/>
        </w:rPr>
      </w:pPr>
      <w:r w:rsidRPr="00C60323">
        <w:rPr>
          <w:rFonts w:ascii="Times New Roman" w:hAnsi="Times New Roman"/>
        </w:rPr>
        <w:t>„(5) Vedľajší účastník môže podať odpor proti platobnému rozkazu, len ak z právneho predpisu vyplýva určitý spôsob vyrovnania vzťahu medzi účastníkom a vedľajším účastníkom.</w:t>
      </w:r>
    </w:p>
    <w:p w:rsidR="00C60323" w:rsidRPr="00C60323" w:rsidP="00C60323">
      <w:pPr>
        <w:bidi w:val="0"/>
        <w:ind w:firstLine="284"/>
        <w:jc w:val="both"/>
        <w:rPr>
          <w:rFonts w:ascii="Times New Roman" w:hAnsi="Times New Roman"/>
        </w:rPr>
      </w:pPr>
    </w:p>
    <w:p w:rsidR="00C60323" w:rsidRPr="00C60323" w:rsidP="00C60323">
      <w:pPr>
        <w:bidi w:val="0"/>
        <w:ind w:firstLine="284"/>
        <w:jc w:val="both"/>
        <w:rPr>
          <w:rFonts w:ascii="Times New Roman" w:hAnsi="Times New Roman"/>
        </w:rPr>
      </w:pPr>
      <w:r w:rsidRPr="00C60323">
        <w:rPr>
          <w:rFonts w:ascii="Times New Roman" w:hAnsi="Times New Roman"/>
        </w:rPr>
        <w:t>(6) Vedľajší účastník môže podať odvolanie alebo dovolanie, ak z právneho predpisu vyplýva určitý spôsob vyrovnania vzťahu medzi účastníkom a vedľajším účastníkom. V ostatných prípadoch môže vedľajší účastník podať odvolanie alebo dovolanie len so súhlasom účastníka, popri ktorom sa zúčastňuje na konaní.“.“.</w:t>
      </w:r>
    </w:p>
    <w:p w:rsidR="00C60323" w:rsidRPr="00C60323" w:rsidP="00C60323">
      <w:pPr>
        <w:bidi w:val="0"/>
        <w:jc w:val="both"/>
        <w:rPr>
          <w:rFonts w:ascii="Times New Roman" w:hAnsi="Times New Roman"/>
        </w:rPr>
      </w:pPr>
    </w:p>
    <w:p w:rsidR="008172F1" w:rsidRPr="00C60323" w:rsidP="008172F1">
      <w:pPr>
        <w:bidi w:val="0"/>
        <w:ind w:left="3828"/>
        <w:jc w:val="both"/>
        <w:rPr>
          <w:rFonts w:ascii="Times New Roman" w:hAnsi="Times New Roman"/>
        </w:rPr>
      </w:pPr>
      <w:r w:rsidRPr="00C60323" w:rsidR="00C60323">
        <w:rPr>
          <w:rFonts w:ascii="Times New Roman" w:hAnsi="Times New Roman"/>
        </w:rPr>
        <w:t>Navrhuje sa upresniť prá</w:t>
      </w:r>
      <w:r w:rsidR="0046342C">
        <w:rPr>
          <w:rFonts w:ascii="Times New Roman" w:hAnsi="Times New Roman"/>
        </w:rPr>
        <w:t>vnu úpravu vo vzťahu k  </w:t>
      </w:r>
      <w:r w:rsidRPr="00C60323" w:rsidR="00C60323">
        <w:rPr>
          <w:rFonts w:ascii="Times New Roman" w:hAnsi="Times New Roman"/>
        </w:rPr>
        <w:t>pripusteniu možnosti podania dovolania vedľajším účastníkom v prípade ak z právneho predpisu vyplýva určitý spôsob vyrov</w:t>
      </w:r>
      <w:r w:rsidR="0046342C">
        <w:rPr>
          <w:rFonts w:ascii="Times New Roman" w:hAnsi="Times New Roman"/>
        </w:rPr>
        <w:t>nania vzťahu medzi účastníkom a </w:t>
      </w:r>
      <w:r w:rsidRPr="00C60323" w:rsidR="00C60323">
        <w:rPr>
          <w:rFonts w:ascii="Times New Roman" w:hAnsi="Times New Roman"/>
        </w:rPr>
        <w:t xml:space="preserve">vedľajším účastníkom. </w:t>
      </w:r>
    </w:p>
    <w:p w:rsidR="008172F1" w:rsidRPr="00723BD9" w:rsidP="008172F1">
      <w:pPr>
        <w:pStyle w:val="ListParagraph"/>
        <w:numPr>
          <w:numId w:val="15"/>
        </w:numPr>
        <w:tabs>
          <w:tab w:val="left" w:pos="284"/>
        </w:tabs>
        <w:bidi w:val="0"/>
        <w:jc w:val="both"/>
        <w:rPr>
          <w:rFonts w:ascii="Times New Roman" w:hAnsi="Times New Roman"/>
          <w:u w:val="single"/>
        </w:rPr>
      </w:pPr>
      <w:r>
        <w:rPr>
          <w:rFonts w:ascii="Times New Roman" w:hAnsi="Times New Roman"/>
          <w:lang w:eastAsia="en-US"/>
        </w:rPr>
        <w:t>V čl. I sa za bod 12 vkladajú nové body 13 a 14, ktoré znejú:</w:t>
      </w:r>
    </w:p>
    <w:p w:rsidR="008172F1" w:rsidRPr="00B16FA7" w:rsidP="008172F1">
      <w:pPr>
        <w:pStyle w:val="ListParagraph"/>
        <w:tabs>
          <w:tab w:val="left" w:pos="284"/>
        </w:tabs>
        <w:bidi w:val="0"/>
        <w:jc w:val="both"/>
        <w:rPr>
          <w:rFonts w:ascii="Times New Roman" w:hAnsi="Times New Roman"/>
          <w:u w:val="single"/>
        </w:rPr>
      </w:pPr>
    </w:p>
    <w:p w:rsidR="008172F1" w:rsidP="008172F1">
      <w:pPr>
        <w:bidi w:val="0"/>
        <w:ind w:firstLine="284"/>
        <w:jc w:val="both"/>
        <w:rPr>
          <w:rFonts w:ascii="Times New Roman" w:hAnsi="Times New Roman"/>
          <w:lang w:eastAsia="en-US"/>
        </w:rPr>
      </w:pPr>
      <w:r>
        <w:rPr>
          <w:rFonts w:ascii="Times New Roman" w:hAnsi="Times New Roman"/>
          <w:lang w:eastAsia="en-US"/>
        </w:rPr>
        <w:t xml:space="preserve"> „13. V § 241 ods. 2 písm. a) sa slová „§ 237“ nahrádzajú slovami „§ 237 ods. 1“.</w:t>
      </w:r>
    </w:p>
    <w:p w:rsidR="008172F1" w:rsidP="008172F1">
      <w:pPr>
        <w:tabs>
          <w:tab w:val="left" w:pos="284"/>
        </w:tabs>
        <w:bidi w:val="0"/>
        <w:jc w:val="both"/>
        <w:rPr>
          <w:rFonts w:ascii="Times New Roman" w:hAnsi="Times New Roman"/>
          <w:lang w:eastAsia="en-US"/>
        </w:rPr>
      </w:pPr>
      <w:r>
        <w:rPr>
          <w:rFonts w:ascii="Times New Roman" w:hAnsi="Times New Roman"/>
          <w:lang w:eastAsia="en-US"/>
        </w:rPr>
        <w:t xml:space="preserve">  </w:t>
        <w:tab/>
        <w:t xml:space="preserve">   14. V § 242 ods. 1 sa slová „§ 237“ nahrádzajú slovami „§ 237 ods. 1“.“.</w:t>
      </w:r>
    </w:p>
    <w:p w:rsidR="008172F1" w:rsidP="008172F1">
      <w:pPr>
        <w:bidi w:val="0"/>
        <w:jc w:val="both"/>
        <w:rPr>
          <w:rFonts w:ascii="Times New Roman" w:hAnsi="Times New Roman"/>
          <w:lang w:eastAsia="en-US"/>
        </w:rPr>
      </w:pPr>
    </w:p>
    <w:p w:rsidR="008172F1" w:rsidP="008172F1">
      <w:pPr>
        <w:bidi w:val="0"/>
        <w:ind w:firstLine="284"/>
        <w:jc w:val="both"/>
        <w:rPr>
          <w:rFonts w:ascii="Times New Roman" w:hAnsi="Times New Roman"/>
          <w:lang w:eastAsia="en-US"/>
        </w:rPr>
      </w:pPr>
      <w:r>
        <w:rPr>
          <w:rFonts w:ascii="Times New Roman" w:hAnsi="Times New Roman"/>
          <w:lang w:eastAsia="en-US"/>
        </w:rPr>
        <w:t>Ostatné body sa primerane prečíslujú.</w:t>
      </w:r>
    </w:p>
    <w:p w:rsidR="008172F1" w:rsidP="008172F1">
      <w:pPr>
        <w:bidi w:val="0"/>
        <w:ind w:left="3544"/>
        <w:jc w:val="both"/>
        <w:rPr>
          <w:rFonts w:ascii="Times New Roman" w:hAnsi="Times New Roman"/>
          <w:lang w:eastAsia="en-US"/>
        </w:rPr>
      </w:pPr>
    </w:p>
    <w:p w:rsidR="008172F1" w:rsidP="008172F1">
      <w:pPr>
        <w:bidi w:val="0"/>
        <w:ind w:left="3828"/>
        <w:jc w:val="both"/>
        <w:rPr>
          <w:rFonts w:ascii="Times New Roman" w:hAnsi="Times New Roman"/>
          <w:lang w:eastAsia="en-US"/>
        </w:rPr>
      </w:pPr>
      <w:r>
        <w:rPr>
          <w:rFonts w:ascii="Times New Roman" w:hAnsi="Times New Roman"/>
          <w:lang w:eastAsia="en-US"/>
        </w:rPr>
        <w:t xml:space="preserve">Ide  o   legislatívno-technickú  pripomienku,  ktorou  sa upresňuje vnútorný odkaz vzhľadom na doplnenie § 237 o odsek 2 (čl. I bod 9). </w:t>
      </w:r>
    </w:p>
    <w:p w:rsidR="00C60323" w:rsidRPr="00C60323" w:rsidP="00C60323">
      <w:pPr>
        <w:bidi w:val="0"/>
        <w:jc w:val="both"/>
        <w:rPr>
          <w:rFonts w:ascii="Times New Roman" w:hAnsi="Times New Roman"/>
        </w:rPr>
      </w:pPr>
    </w:p>
    <w:p w:rsidR="00C60323" w:rsidP="00723BD9">
      <w:pPr>
        <w:pStyle w:val="ListParagraph"/>
        <w:numPr>
          <w:numId w:val="15"/>
        </w:numPr>
        <w:bidi w:val="0"/>
        <w:ind w:left="284" w:hanging="284"/>
        <w:jc w:val="both"/>
        <w:rPr>
          <w:rFonts w:ascii="Times New Roman" w:hAnsi="Times New Roman"/>
        </w:rPr>
      </w:pPr>
      <w:r w:rsidRPr="00C60323">
        <w:rPr>
          <w:rFonts w:ascii="Times New Roman" w:hAnsi="Times New Roman"/>
        </w:rPr>
        <w:t>V čl. II bod 2 znie:</w:t>
      </w:r>
    </w:p>
    <w:p w:rsidR="009E79A3" w:rsidRPr="00C60323" w:rsidP="009E79A3">
      <w:pPr>
        <w:pStyle w:val="ListParagraph"/>
        <w:bidi w:val="0"/>
        <w:ind w:left="284"/>
        <w:jc w:val="both"/>
        <w:rPr>
          <w:rFonts w:ascii="Times New Roman" w:hAnsi="Times New Roman"/>
        </w:rPr>
      </w:pPr>
    </w:p>
    <w:p w:rsidR="00C60323" w:rsidRPr="00C60323" w:rsidP="0046342C">
      <w:pPr>
        <w:bidi w:val="0"/>
        <w:ind w:firstLine="284"/>
        <w:jc w:val="both"/>
        <w:rPr>
          <w:rFonts w:ascii="Times New Roman" w:hAnsi="Times New Roman"/>
        </w:rPr>
      </w:pPr>
      <w:r w:rsidRPr="00C60323">
        <w:rPr>
          <w:rFonts w:ascii="Times New Roman" w:hAnsi="Times New Roman"/>
        </w:rPr>
        <w:t>„2. § 318 sa dopĺňa odsekom 3, ktorý znie:</w:t>
      </w:r>
    </w:p>
    <w:p w:rsidR="00C60323" w:rsidRPr="00C60323" w:rsidP="0046342C">
      <w:pPr>
        <w:bidi w:val="0"/>
        <w:ind w:firstLine="284"/>
        <w:jc w:val="both"/>
        <w:rPr>
          <w:rFonts w:ascii="Times New Roman" w:hAnsi="Times New Roman"/>
        </w:rPr>
      </w:pPr>
      <w:r w:rsidRPr="00C60323">
        <w:rPr>
          <w:rFonts w:ascii="Times New Roman" w:hAnsi="Times New Roman"/>
        </w:rPr>
        <w:t>„(3) Predseda senátu najvyššieho súdu preruší trestné stíhanie, ak požiada Európsky súd pre ľudské práva o vydanie poradného stanoviska k zásadným otázkam týkajúcim sa výkladu alebo uplatňovania práv a slobôd uvedených v Dohovore o ochrane ľudských práv a základných slobôd. Ak je trestné stíhanie prerušené podľa predchádzajúcej vety, môže predseda senátu najvyššieho súdu v trestnom stíhaní pokračovať, aj vtedy, ak Európsky súd pre ľudské práva poradné stanovisko nevydal a sú pre pokračovanie v trestnom stíhaní závažné dôvody.“.“</w:t>
      </w:r>
    </w:p>
    <w:p w:rsidR="00C60323" w:rsidP="00C60323">
      <w:pPr>
        <w:bidi w:val="0"/>
        <w:jc w:val="both"/>
        <w:rPr>
          <w:rFonts w:ascii="Times New Roman" w:hAnsi="Times New Roman"/>
        </w:rPr>
      </w:pPr>
    </w:p>
    <w:p w:rsidR="009E79A3" w:rsidRPr="00C60323" w:rsidP="009E79A3">
      <w:pPr>
        <w:bidi w:val="0"/>
        <w:ind w:left="3828"/>
        <w:jc w:val="both"/>
        <w:rPr>
          <w:rFonts w:ascii="Times New Roman" w:hAnsi="Times New Roman"/>
        </w:rPr>
      </w:pPr>
      <w:r w:rsidRPr="00C60323">
        <w:rPr>
          <w:rFonts w:ascii="Times New Roman" w:hAnsi="Times New Roman"/>
        </w:rPr>
        <w:t xml:space="preserve">Protokolom č. 16 k Dohovoru o ochrane ľudských práv a základných slobôd sa zavádza možnosť požiadať Európsky súd pre ľudské práva o vydanie poradného stanoviska, pričom táto právomoc má patriť najvyšším súdom a tribunálom Vysokých zmluvných strán. Najvyšší súd Slovenskej republiky môže v trestnom konaní rozhodovať ako odvolací súd (§ 315 Trestného poriadku) a ako dovolací súd (§ 377 Trestného poriadku), kedy bude predseda senátu Najvyššieho súdu Slovenskej republiky oprávnený požiadať Európsky súd pre ľudské práva o vydanie poradného stanoviska. V tomto smere sa navrhuje spresniť právna úprava doplnením ustanovenia o prerušení trestného stíhania v odvolacom konaní a doplnením ustanovenia o prerušení dovolacieho konania. </w:t>
      </w:r>
    </w:p>
    <w:p w:rsidR="009E79A3" w:rsidRPr="00C60323" w:rsidP="00C60323">
      <w:pPr>
        <w:bidi w:val="0"/>
        <w:jc w:val="both"/>
        <w:rPr>
          <w:rFonts w:ascii="Times New Roman" w:hAnsi="Times New Roman"/>
        </w:rPr>
      </w:pPr>
    </w:p>
    <w:p w:rsidR="00C60323" w:rsidP="00723BD9">
      <w:pPr>
        <w:pStyle w:val="ListParagraph"/>
        <w:numPr>
          <w:numId w:val="15"/>
        </w:numPr>
        <w:bidi w:val="0"/>
        <w:ind w:left="284" w:hanging="284"/>
        <w:jc w:val="both"/>
        <w:rPr>
          <w:rFonts w:ascii="Times New Roman" w:hAnsi="Times New Roman"/>
        </w:rPr>
      </w:pPr>
      <w:r w:rsidRPr="00C60323">
        <w:rPr>
          <w:rFonts w:ascii="Times New Roman" w:hAnsi="Times New Roman"/>
        </w:rPr>
        <w:t>V čl. II bod 3 znie:</w:t>
      </w:r>
    </w:p>
    <w:p w:rsidR="009E79A3" w:rsidRPr="00C60323" w:rsidP="009E79A3">
      <w:pPr>
        <w:pStyle w:val="ListParagraph"/>
        <w:bidi w:val="0"/>
        <w:ind w:left="284"/>
        <w:jc w:val="both"/>
        <w:rPr>
          <w:rFonts w:ascii="Times New Roman" w:hAnsi="Times New Roman"/>
        </w:rPr>
      </w:pPr>
    </w:p>
    <w:p w:rsidR="00C60323" w:rsidRPr="00C60323" w:rsidP="0046342C">
      <w:pPr>
        <w:bidi w:val="0"/>
        <w:ind w:left="284"/>
        <w:jc w:val="both"/>
        <w:rPr>
          <w:rFonts w:ascii="Times New Roman" w:hAnsi="Times New Roman"/>
        </w:rPr>
      </w:pPr>
      <w:r w:rsidRPr="00C60323">
        <w:rPr>
          <w:rFonts w:ascii="Times New Roman" w:hAnsi="Times New Roman"/>
        </w:rPr>
        <w:t>„3. § 379 sa dopĺňa odsekom 3, ktorý znie:</w:t>
      </w:r>
    </w:p>
    <w:p w:rsidR="00C60323" w:rsidRPr="00C60323" w:rsidP="0046342C">
      <w:pPr>
        <w:bidi w:val="0"/>
        <w:ind w:firstLine="284"/>
        <w:jc w:val="both"/>
        <w:rPr>
          <w:rFonts w:ascii="Times New Roman" w:hAnsi="Times New Roman"/>
        </w:rPr>
      </w:pPr>
      <w:r w:rsidRPr="00C60323">
        <w:rPr>
          <w:rFonts w:ascii="Times New Roman" w:hAnsi="Times New Roman"/>
        </w:rPr>
        <w:t>„(3) Predseda senátu dovolacieho súdu preruší dovolacie konanie, ak požiada Európsky súd pre ľudské práva o vydanie poradného stanoviska k zásadným otázkam týkajúcim sa výkladu alebo uplatňovania práv a slobôd uvedených v Dohovore o ochrane ľudských práv a základných slobôd. Ak je dovolacie konanie prerušené podľa predchádzajúcej vety, môže predseda senátu dovolacieho súdu v dovolacom konaní pokračovať, aj vtedy, ak Európsky súd pre ľudské práva poradné stanovisko nevydal a sú pre pokračovanie v dovolacom konaní závažné dôvody.“.“</w:t>
      </w:r>
    </w:p>
    <w:p w:rsidR="00C60323" w:rsidRPr="00C60323" w:rsidP="00C60323">
      <w:pPr>
        <w:bidi w:val="0"/>
        <w:ind w:left="4253" w:hanging="4253"/>
        <w:jc w:val="both"/>
        <w:rPr>
          <w:rFonts w:ascii="Times New Roman" w:hAnsi="Times New Roman"/>
        </w:rPr>
      </w:pPr>
      <w:r w:rsidRPr="00C60323">
        <w:rPr>
          <w:rFonts w:ascii="Times New Roman" w:hAnsi="Times New Roman"/>
        </w:rPr>
        <w:t xml:space="preserve"> </w:t>
        <w:tab/>
        <w:tab/>
        <w:tab/>
        <w:tab/>
        <w:tab/>
      </w:r>
    </w:p>
    <w:p w:rsidR="00C60323" w:rsidRPr="00C60323" w:rsidP="00C60323">
      <w:pPr>
        <w:bidi w:val="0"/>
        <w:ind w:left="3828"/>
        <w:jc w:val="both"/>
        <w:rPr>
          <w:rFonts w:ascii="Times New Roman" w:hAnsi="Times New Roman"/>
        </w:rPr>
      </w:pPr>
      <w:r w:rsidRPr="00C60323">
        <w:rPr>
          <w:rFonts w:ascii="Times New Roman" w:hAnsi="Times New Roman"/>
        </w:rPr>
        <w:t xml:space="preserve">Protokolom č. 16 k Dohovoru o ochrane ľudských práv a základných slobôd sa zavádza možnosť požiadať Európsky súd pre ľudské práva o vydanie poradného stanoviska, pričom táto právomoc má patriť najvyšším súdom a tribunálom Vysokých zmluvných strán. Najvyšší súd Slovenskej republiky môže v trestnom konaní rozhodovať ako odvolací súd (§ 315 Trestného poriadku) a ako dovolací súd (§ 377 Trestného poriadku), kedy bude predseda senátu Najvyššieho súdu Slovenskej republiky oprávnený požiadať Európsky súd pre ľudské práva o vydanie poradného stanoviska. V tomto smere sa navrhuje spresniť právna úprava doplnením ustanovenia o prerušení trestného stíhania v odvolacom konaní a doplnením ustanovenia o prerušení dovolacieho konania. </w:t>
      </w:r>
    </w:p>
    <w:p w:rsidR="000F7CE7" w:rsidP="000F7CE7">
      <w:pPr>
        <w:bidi w:val="0"/>
        <w:jc w:val="both"/>
        <w:rPr>
          <w:rFonts w:ascii="Times New Roman" w:hAnsi="Times New Roman"/>
        </w:rPr>
      </w:pPr>
    </w:p>
    <w:p w:rsidR="008172F1" w:rsidRPr="00EA4A97" w:rsidP="000F7CE7">
      <w:pPr>
        <w:bidi w:val="0"/>
        <w:jc w:val="both"/>
        <w:rPr>
          <w:rFonts w:ascii="Times New Roman" w:hAnsi="Times New Roman"/>
        </w:rPr>
      </w:pPr>
    </w:p>
    <w:p w:rsidR="000F7CE7" w:rsidRPr="00EA4A97" w:rsidP="00723BD9">
      <w:pPr>
        <w:pStyle w:val="ListParagraph"/>
        <w:numPr>
          <w:numId w:val="15"/>
        </w:numPr>
        <w:bidi w:val="0"/>
        <w:ind w:left="284" w:hanging="284"/>
        <w:jc w:val="both"/>
        <w:rPr>
          <w:rFonts w:ascii="Times New Roman" w:hAnsi="Times New Roman"/>
        </w:rPr>
      </w:pPr>
      <w:r w:rsidRPr="00EA4A97">
        <w:rPr>
          <w:rFonts w:ascii="Times New Roman" w:hAnsi="Times New Roman"/>
        </w:rPr>
        <w:t>Doterajšie znenie čl. III sa označuje ako bod 1 a dopĺňa sa bodmi 2 a 3, ktoré znejú:</w:t>
      </w:r>
    </w:p>
    <w:p w:rsidR="000F7CE7" w:rsidRPr="002E23A2" w:rsidP="000F7CE7">
      <w:pPr>
        <w:bidi w:val="0"/>
        <w:rPr>
          <w:rFonts w:ascii="Times New Roman" w:hAnsi="Times New Roman"/>
        </w:rPr>
      </w:pPr>
    </w:p>
    <w:p w:rsidR="000F7CE7" w:rsidRPr="002E23A2" w:rsidP="000F7CE7">
      <w:pPr>
        <w:bidi w:val="0"/>
        <w:ind w:firstLine="284"/>
        <w:rPr>
          <w:rFonts w:ascii="Times New Roman" w:hAnsi="Times New Roman"/>
        </w:rPr>
      </w:pPr>
      <w:r w:rsidRPr="002E23A2">
        <w:rPr>
          <w:rFonts w:ascii="Times New Roman" w:hAnsi="Times New Roman"/>
        </w:rPr>
        <w:t>„2. § 51 znie:</w:t>
      </w:r>
    </w:p>
    <w:p w:rsidR="000F7CE7" w:rsidRPr="002E23A2" w:rsidP="000F7CE7">
      <w:pPr>
        <w:tabs>
          <w:tab w:val="left" w:pos="720"/>
        </w:tabs>
        <w:bidi w:val="0"/>
        <w:jc w:val="both"/>
        <w:rPr>
          <w:rFonts w:ascii="Times New Roman" w:hAnsi="Times New Roman"/>
        </w:rPr>
      </w:pPr>
      <w:r w:rsidRPr="002E23A2">
        <w:rPr>
          <w:rFonts w:ascii="Times New Roman" w:hAnsi="Times New Roman"/>
        </w:rPr>
        <w:tab/>
        <w:tab/>
        <w:tab/>
        <w:tab/>
        <w:tab/>
        <w:tab/>
        <w:t xml:space="preserve">„§ 51 </w:t>
      </w:r>
    </w:p>
    <w:p w:rsidR="000F7CE7" w:rsidRPr="002E23A2" w:rsidP="000F7CE7">
      <w:pPr>
        <w:tabs>
          <w:tab w:val="left" w:pos="720"/>
        </w:tabs>
        <w:bidi w:val="0"/>
        <w:jc w:val="both"/>
        <w:rPr>
          <w:rFonts w:ascii="Times New Roman" w:hAnsi="Times New Roman"/>
        </w:rPr>
      </w:pPr>
    </w:p>
    <w:p w:rsidR="000F7CE7" w:rsidRPr="002E23A2" w:rsidP="000F7CE7">
      <w:pPr>
        <w:tabs>
          <w:tab w:val="left" w:pos="720"/>
        </w:tabs>
        <w:bidi w:val="0"/>
        <w:jc w:val="both"/>
        <w:rPr>
          <w:rFonts w:ascii="Times New Roman" w:hAnsi="Times New Roman"/>
        </w:rPr>
      </w:pPr>
      <w:r>
        <w:rPr>
          <w:rFonts w:ascii="Times New Roman" w:hAnsi="Times New Roman"/>
        </w:rPr>
        <w:tab/>
      </w:r>
      <w:r w:rsidRPr="002E23A2">
        <w:rPr>
          <w:rFonts w:ascii="Times New Roman" w:hAnsi="Times New Roman"/>
        </w:rPr>
        <w:t>(1) Účastníci konania sú sťažovateľ a orgán verejnej moci, proti ktorému sťažnosť smeruje.</w:t>
      </w:r>
    </w:p>
    <w:p w:rsidR="000F7CE7" w:rsidRPr="002E23A2" w:rsidP="000F7CE7">
      <w:pPr>
        <w:tabs>
          <w:tab w:val="left" w:pos="720"/>
        </w:tabs>
        <w:bidi w:val="0"/>
        <w:ind w:firstLine="360"/>
        <w:jc w:val="both"/>
        <w:rPr>
          <w:rFonts w:ascii="Times New Roman" w:hAnsi="Times New Roman"/>
        </w:rPr>
      </w:pPr>
    </w:p>
    <w:p w:rsidR="000F7CE7" w:rsidRPr="002E23A2" w:rsidP="000F7CE7">
      <w:pPr>
        <w:tabs>
          <w:tab w:val="left" w:pos="720"/>
        </w:tabs>
        <w:bidi w:val="0"/>
        <w:jc w:val="both"/>
        <w:rPr>
          <w:rFonts w:ascii="Times New Roman" w:hAnsi="Times New Roman"/>
        </w:rPr>
      </w:pPr>
      <w:r>
        <w:rPr>
          <w:rFonts w:ascii="Times New Roman" w:hAnsi="Times New Roman"/>
        </w:rPr>
        <w:tab/>
      </w:r>
      <w:r w:rsidRPr="002E23A2">
        <w:rPr>
          <w:rFonts w:ascii="Times New Roman" w:hAnsi="Times New Roman"/>
        </w:rPr>
        <w:t>(2) Ak Ústavný súd na predbežnom prerokovaní prijm</w:t>
      </w:r>
      <w:r>
        <w:rPr>
          <w:rFonts w:ascii="Times New Roman" w:hAnsi="Times New Roman"/>
        </w:rPr>
        <w:t>e sťažnosť na ďalšie konanie (§ </w:t>
      </w:r>
      <w:r w:rsidRPr="002E23A2">
        <w:rPr>
          <w:rFonts w:ascii="Times New Roman" w:hAnsi="Times New Roman"/>
        </w:rPr>
        <w:t xml:space="preserve">25 ods. 3) a povaha veci to vyžaduje, </w:t>
      </w:r>
      <w:r>
        <w:rPr>
          <w:rFonts w:ascii="Times New Roman" w:hAnsi="Times New Roman"/>
        </w:rPr>
        <w:t>vhodným spôsobom upovedomí</w:t>
      </w:r>
      <w:r w:rsidRPr="002E23A2">
        <w:rPr>
          <w:rFonts w:ascii="Times New Roman" w:hAnsi="Times New Roman"/>
        </w:rPr>
        <w:t xml:space="preserve"> o podanej sťažnosti fyzickú osobu alebo právnickú osobu, ktorá je alebo bola účastníkom konania pred orgánom verejnej moci, v ktorom bolo vydané právoplatné rozhodnutie, prijaté opatrenie alebo vykonaný iný zásah, ktorým malo dôjsť k porušeniu základných práv a slobôd sťažovateľa. Osoba upovedomená podľa predchádzajúcej vety má právo vyjadriť sa k sťažnosti v lehote určenej Ústavným súdom.“.</w:t>
      </w:r>
    </w:p>
    <w:p w:rsidR="000F7CE7" w:rsidRPr="002E23A2" w:rsidP="000F7CE7">
      <w:pPr>
        <w:tabs>
          <w:tab w:val="left" w:pos="720"/>
        </w:tabs>
        <w:bidi w:val="0"/>
        <w:jc w:val="both"/>
        <w:rPr>
          <w:rFonts w:ascii="Times New Roman" w:hAnsi="Times New Roman"/>
        </w:rPr>
      </w:pPr>
    </w:p>
    <w:p w:rsidR="000F7CE7" w:rsidRPr="002E23A2" w:rsidP="000F7CE7">
      <w:pPr>
        <w:bidi w:val="0"/>
        <w:ind w:firstLine="426"/>
        <w:jc w:val="both"/>
        <w:rPr>
          <w:rFonts w:ascii="Times New Roman" w:hAnsi="Times New Roman"/>
        </w:rPr>
      </w:pPr>
      <w:r w:rsidRPr="002E23A2">
        <w:rPr>
          <w:rFonts w:ascii="Times New Roman" w:hAnsi="Times New Roman"/>
        </w:rPr>
        <w:t>3. Štvrtá časť znie:</w:t>
      </w:r>
    </w:p>
    <w:p w:rsidR="000F7CE7" w:rsidRPr="002E23A2" w:rsidP="000F7CE7">
      <w:pPr>
        <w:bidi w:val="0"/>
        <w:jc w:val="both"/>
        <w:rPr>
          <w:rFonts w:ascii="Times New Roman" w:hAnsi="Times New Roman"/>
        </w:rPr>
      </w:pPr>
    </w:p>
    <w:p w:rsidR="000F7CE7" w:rsidRPr="002E23A2" w:rsidP="000F7CE7">
      <w:pPr>
        <w:bidi w:val="0"/>
        <w:ind w:left="2832" w:firstLine="708"/>
        <w:jc w:val="both"/>
        <w:rPr>
          <w:rFonts w:ascii="Times New Roman" w:hAnsi="Times New Roman"/>
        </w:rPr>
      </w:pPr>
      <w:r w:rsidRPr="002E23A2">
        <w:rPr>
          <w:rFonts w:ascii="Times New Roman" w:hAnsi="Times New Roman"/>
        </w:rPr>
        <w:t>„ŠTVRTÁ ČASŤ</w:t>
      </w:r>
    </w:p>
    <w:p w:rsidR="000F7CE7" w:rsidRPr="002E23A2" w:rsidP="000F7CE7">
      <w:pPr>
        <w:bidi w:val="0"/>
        <w:jc w:val="center"/>
        <w:rPr>
          <w:rFonts w:ascii="Times New Roman" w:hAnsi="Times New Roman"/>
        </w:rPr>
      </w:pPr>
      <w:r w:rsidRPr="002E23A2">
        <w:rPr>
          <w:rFonts w:ascii="Times New Roman" w:hAnsi="Times New Roman"/>
        </w:rPr>
        <w:t>PRESKÚMANIE ROZHODNUTIA ÚSTAVNÉHO SÚDU</w:t>
      </w:r>
    </w:p>
    <w:p w:rsidR="000F7CE7" w:rsidRPr="002E23A2" w:rsidP="000F7CE7">
      <w:pPr>
        <w:bidi w:val="0"/>
        <w:ind w:left="2832" w:firstLine="708"/>
        <w:jc w:val="both"/>
        <w:rPr>
          <w:rFonts w:ascii="Times New Roman" w:hAnsi="Times New Roman"/>
        </w:rPr>
      </w:pPr>
    </w:p>
    <w:p w:rsidR="000F7CE7" w:rsidRPr="002E23A2" w:rsidP="000F7CE7">
      <w:pPr>
        <w:bidi w:val="0"/>
        <w:jc w:val="center"/>
        <w:rPr>
          <w:rFonts w:ascii="Times New Roman" w:hAnsi="Times New Roman"/>
        </w:rPr>
      </w:pPr>
      <w:r w:rsidRPr="002E23A2">
        <w:rPr>
          <w:rFonts w:ascii="Times New Roman" w:hAnsi="Times New Roman"/>
        </w:rPr>
        <w:t>Obnova konania pred Ústavným súdom</w:t>
      </w:r>
    </w:p>
    <w:p w:rsidR="000F7CE7" w:rsidRPr="002E23A2" w:rsidP="000F7CE7">
      <w:pPr>
        <w:bidi w:val="0"/>
        <w:jc w:val="center"/>
        <w:rPr>
          <w:rFonts w:ascii="Times New Roman" w:hAnsi="Times New Roman"/>
        </w:rPr>
      </w:pPr>
      <w:r w:rsidRPr="002E23A2">
        <w:rPr>
          <w:rFonts w:ascii="Times New Roman" w:hAnsi="Times New Roman"/>
        </w:rPr>
        <w:t>§ 75</w:t>
      </w:r>
    </w:p>
    <w:p w:rsidR="000F7CE7" w:rsidRPr="002E23A2" w:rsidP="000F7CE7">
      <w:pPr>
        <w:bidi w:val="0"/>
        <w:rPr>
          <w:rFonts w:ascii="Times New Roman" w:hAnsi="Times New Roman"/>
        </w:rPr>
      </w:pPr>
    </w:p>
    <w:p w:rsidR="000F7CE7" w:rsidP="000F7CE7">
      <w:pPr>
        <w:bidi w:val="0"/>
        <w:ind w:firstLine="708"/>
        <w:jc w:val="both"/>
        <w:rPr>
          <w:rFonts w:ascii="Times New Roman" w:hAnsi="Times New Roman"/>
        </w:rPr>
      </w:pPr>
      <w:r w:rsidRPr="002E23A2">
        <w:rPr>
          <w:rFonts w:ascii="Times New Roman" w:hAnsi="Times New Roman"/>
        </w:rPr>
        <w:t>(1) Právoplatné rozhodnutie Ústavného súdu možno za podmienok ustanovených týmto zákonom napadnúť návrhom na obnovu konania pred Ústavným súdom, ak rozhodnutím orgánu medzinárodnej organizácie zriadeného na uplatňovanie medzinárodnej zmluvy, ktorou je Slovenská republika viazaná (ďalej len „orgán medzinárodnej organizácie“), vznikne Slovenskej republike povinnosť v konaní pred Ústavným súdom znovu preskúmať už prijaté rozhodnutie Ústavného súdu. Ustanovenie § 24 písm. c) sa v tomto prípade nepoužije.</w:t>
      </w:r>
    </w:p>
    <w:p w:rsidR="000F7CE7" w:rsidRPr="002E23A2" w:rsidP="000F7CE7">
      <w:pPr>
        <w:bidi w:val="0"/>
        <w:ind w:firstLine="708"/>
        <w:jc w:val="both"/>
        <w:rPr>
          <w:rFonts w:ascii="Times New Roman" w:hAnsi="Times New Roman"/>
        </w:rPr>
      </w:pPr>
    </w:p>
    <w:p w:rsidR="000F7CE7" w:rsidRPr="002E23A2" w:rsidP="000F7CE7">
      <w:pPr>
        <w:bidi w:val="0"/>
        <w:ind w:firstLine="708"/>
        <w:jc w:val="both"/>
        <w:rPr>
          <w:rFonts w:ascii="Times New Roman" w:hAnsi="Times New Roman"/>
        </w:rPr>
      </w:pPr>
      <w:r w:rsidRPr="002E23A2">
        <w:rPr>
          <w:rFonts w:ascii="Times New Roman" w:hAnsi="Times New Roman"/>
        </w:rPr>
        <w:t xml:space="preserve">(2) Návrh na obnovu konania pred Ústavným súdom podľa čl. 133 Ústavy musí okrem všeobecných náležitostí návrhu na začatie konania podľa § 20 ods. 1 a 2 obsahovať </w:t>
      </w:r>
    </w:p>
    <w:p w:rsidR="000F7CE7" w:rsidRPr="002E23A2" w:rsidP="000F7CE7">
      <w:pPr>
        <w:numPr>
          <w:ilvl w:val="1"/>
          <w:numId w:val="16"/>
        </w:numPr>
        <w:tabs>
          <w:tab w:val="left" w:pos="284"/>
          <w:tab w:val="clear" w:pos="1440"/>
        </w:tabs>
        <w:bidi w:val="0"/>
        <w:ind w:left="0" w:firstLine="0"/>
        <w:jc w:val="both"/>
        <w:rPr>
          <w:rFonts w:ascii="Times New Roman" w:hAnsi="Times New Roman"/>
        </w:rPr>
      </w:pPr>
      <w:r w:rsidRPr="002E23A2">
        <w:rPr>
          <w:rFonts w:ascii="Times New Roman" w:hAnsi="Times New Roman"/>
        </w:rPr>
        <w:t xml:space="preserve">označenie rozhodnutia Ústavného súdu, proti ktorému smeruje, </w:t>
      </w:r>
    </w:p>
    <w:p w:rsidR="000F7CE7" w:rsidP="000F7CE7">
      <w:pPr>
        <w:numPr>
          <w:ilvl w:val="1"/>
          <w:numId w:val="16"/>
        </w:numPr>
        <w:tabs>
          <w:tab w:val="left" w:pos="284"/>
          <w:tab w:val="clear" w:pos="1440"/>
        </w:tabs>
        <w:bidi w:val="0"/>
        <w:ind w:left="0" w:firstLine="0"/>
        <w:jc w:val="both"/>
        <w:rPr>
          <w:rFonts w:ascii="Times New Roman" w:hAnsi="Times New Roman"/>
        </w:rPr>
      </w:pPr>
      <w:r w:rsidRPr="002E23A2">
        <w:rPr>
          <w:rFonts w:ascii="Times New Roman" w:hAnsi="Times New Roman"/>
        </w:rPr>
        <w:t>označenie rozhodnutia orgánu medzinárodnej organizácie, o ktoré sa opiera.</w:t>
      </w:r>
    </w:p>
    <w:p w:rsidR="000F7CE7" w:rsidRPr="002E23A2" w:rsidP="000F7CE7">
      <w:pPr>
        <w:tabs>
          <w:tab w:val="left" w:pos="284"/>
        </w:tabs>
        <w:bidi w:val="0"/>
        <w:jc w:val="both"/>
        <w:rPr>
          <w:rFonts w:ascii="Times New Roman" w:hAnsi="Times New Roman"/>
        </w:rPr>
      </w:pPr>
    </w:p>
    <w:p w:rsidR="000F7CE7" w:rsidP="000F7CE7">
      <w:pPr>
        <w:bidi w:val="0"/>
        <w:ind w:firstLine="708"/>
        <w:jc w:val="both"/>
        <w:rPr>
          <w:rFonts w:ascii="Times New Roman" w:hAnsi="Times New Roman"/>
        </w:rPr>
      </w:pPr>
      <w:r w:rsidRPr="002E23A2">
        <w:rPr>
          <w:rFonts w:ascii="Times New Roman" w:hAnsi="Times New Roman"/>
        </w:rPr>
        <w:t>(3) Návrh na obnovu konania pred Ústavným súdom je oprávnený podať ten, kto bol vo veci uvedenej v odseku 1 účastníkom konania pred Ústavným súdom, a v koho prospech orgán medzinárodnej organizácie rozhodol.</w:t>
      </w:r>
    </w:p>
    <w:p w:rsidR="000F7CE7" w:rsidRPr="002E23A2" w:rsidP="000F7CE7">
      <w:pPr>
        <w:bidi w:val="0"/>
        <w:ind w:firstLine="708"/>
        <w:jc w:val="both"/>
        <w:rPr>
          <w:rFonts w:ascii="Times New Roman" w:hAnsi="Times New Roman"/>
        </w:rPr>
      </w:pPr>
    </w:p>
    <w:p w:rsidR="000F7CE7" w:rsidP="000F7CE7">
      <w:pPr>
        <w:bidi w:val="0"/>
        <w:ind w:firstLine="708"/>
        <w:jc w:val="both"/>
        <w:rPr>
          <w:rFonts w:ascii="Times New Roman" w:hAnsi="Times New Roman"/>
        </w:rPr>
      </w:pPr>
      <w:r w:rsidRPr="002E23A2">
        <w:rPr>
          <w:rFonts w:ascii="Times New Roman" w:hAnsi="Times New Roman"/>
        </w:rPr>
        <w:t>(4) Účastníkmi konania o návrhu na obnovu konania</w:t>
      </w:r>
      <w:r>
        <w:rPr>
          <w:rFonts w:ascii="Times New Roman" w:hAnsi="Times New Roman"/>
        </w:rPr>
        <w:t xml:space="preserve"> sú tiež účastníci konania pred </w:t>
      </w:r>
      <w:r w:rsidRPr="002E23A2">
        <w:rPr>
          <w:rFonts w:ascii="Times New Roman" w:hAnsi="Times New Roman"/>
        </w:rPr>
        <w:t>Ústavným súdom, ktorého obnova je navrhovaná, ktorí nie sú navrhovateľmi; tí, ktorí boli v tomto konaní vedľajšími účastníkmi, sú nimi aj v konaní o návrhu na obnovu konania.</w:t>
      </w:r>
    </w:p>
    <w:p w:rsidR="000F7CE7" w:rsidRPr="002E23A2" w:rsidP="000F7CE7">
      <w:pPr>
        <w:bidi w:val="0"/>
        <w:ind w:firstLine="708"/>
        <w:jc w:val="both"/>
        <w:rPr>
          <w:rFonts w:ascii="Times New Roman" w:hAnsi="Times New Roman"/>
        </w:rPr>
      </w:pPr>
    </w:p>
    <w:p w:rsidR="000F7CE7" w:rsidRPr="002E23A2" w:rsidP="000F7CE7">
      <w:pPr>
        <w:bidi w:val="0"/>
        <w:ind w:firstLine="708"/>
        <w:jc w:val="both"/>
        <w:rPr>
          <w:rFonts w:ascii="Times New Roman" w:hAnsi="Times New Roman"/>
        </w:rPr>
      </w:pPr>
      <w:r w:rsidRPr="002E23A2">
        <w:rPr>
          <w:rFonts w:ascii="Times New Roman" w:hAnsi="Times New Roman"/>
        </w:rPr>
        <w:t>(5) Návrh na obnovu konania pred Ústavným súdom možno podať do šiestich mesiacov odo dňa, keď sa rozhodnutie orgánu medzinárodnej organizácie stalo konečným, alebo od toho času, keď návrh na obnovu konania pred Ústavným súdom mohol byť uplatnený.</w:t>
      </w:r>
    </w:p>
    <w:p w:rsidR="000F7CE7" w:rsidRPr="002E23A2" w:rsidP="000F7CE7">
      <w:pPr>
        <w:bidi w:val="0"/>
        <w:jc w:val="both"/>
        <w:rPr>
          <w:rFonts w:ascii="Times New Roman" w:hAnsi="Times New Roman"/>
        </w:rPr>
      </w:pPr>
    </w:p>
    <w:p w:rsidR="000F7CE7" w:rsidRPr="002E23A2" w:rsidP="000F7CE7">
      <w:pPr>
        <w:bidi w:val="0"/>
        <w:jc w:val="center"/>
        <w:rPr>
          <w:rFonts w:ascii="Times New Roman" w:hAnsi="Times New Roman"/>
        </w:rPr>
      </w:pPr>
      <w:r w:rsidRPr="002E23A2">
        <w:rPr>
          <w:rFonts w:ascii="Times New Roman" w:hAnsi="Times New Roman"/>
        </w:rPr>
        <w:t>§  75a</w:t>
      </w:r>
    </w:p>
    <w:p w:rsidR="000F7CE7" w:rsidRPr="002E23A2" w:rsidP="000F7CE7">
      <w:pPr>
        <w:bidi w:val="0"/>
        <w:jc w:val="both"/>
        <w:rPr>
          <w:rFonts w:ascii="Times New Roman" w:hAnsi="Times New Roman"/>
        </w:rPr>
      </w:pPr>
    </w:p>
    <w:p w:rsidR="000F7CE7" w:rsidP="000F7CE7">
      <w:pPr>
        <w:bidi w:val="0"/>
        <w:ind w:firstLine="708"/>
        <w:jc w:val="both"/>
        <w:rPr>
          <w:rFonts w:ascii="Times New Roman" w:hAnsi="Times New Roman"/>
        </w:rPr>
      </w:pPr>
      <w:r w:rsidRPr="002E23A2">
        <w:rPr>
          <w:rFonts w:ascii="Times New Roman" w:hAnsi="Times New Roman"/>
        </w:rPr>
        <w:t>(1) O návrhu na obnovu konania, ktorý smeruje proti rozhodnutiu pléna Ústavného súdu, rozhoduje plénum Ústavného súdu.</w:t>
      </w:r>
    </w:p>
    <w:p w:rsidR="000F7CE7" w:rsidRPr="002E23A2" w:rsidP="000F7CE7">
      <w:pPr>
        <w:bidi w:val="0"/>
        <w:ind w:firstLine="708"/>
        <w:jc w:val="both"/>
        <w:rPr>
          <w:rFonts w:ascii="Times New Roman" w:hAnsi="Times New Roman"/>
        </w:rPr>
      </w:pPr>
    </w:p>
    <w:p w:rsidR="000F7CE7" w:rsidRPr="002E23A2" w:rsidP="000F7CE7">
      <w:pPr>
        <w:bidi w:val="0"/>
        <w:ind w:firstLine="708"/>
        <w:jc w:val="both"/>
        <w:rPr>
          <w:rFonts w:ascii="Times New Roman" w:hAnsi="Times New Roman"/>
        </w:rPr>
      </w:pPr>
      <w:r w:rsidRPr="002E23A2">
        <w:rPr>
          <w:rFonts w:ascii="Times New Roman" w:hAnsi="Times New Roman"/>
        </w:rPr>
        <w:t>(2) O návrhu na obnovu konania, ktorý smeruje proti rozhodnutiu senátu Ústavného súdu, rozhoduje iný senát Ústavného súdu.</w:t>
      </w:r>
    </w:p>
    <w:p w:rsidR="000F7CE7" w:rsidRPr="002E23A2" w:rsidP="000F7CE7">
      <w:pPr>
        <w:bidi w:val="0"/>
        <w:jc w:val="both"/>
        <w:rPr>
          <w:rFonts w:ascii="Times New Roman" w:hAnsi="Times New Roman"/>
        </w:rPr>
      </w:pPr>
    </w:p>
    <w:p w:rsidR="000F7CE7" w:rsidRPr="002E23A2" w:rsidP="000F7CE7">
      <w:pPr>
        <w:bidi w:val="0"/>
        <w:jc w:val="center"/>
        <w:rPr>
          <w:rFonts w:ascii="Times New Roman" w:hAnsi="Times New Roman"/>
        </w:rPr>
      </w:pPr>
      <w:r w:rsidRPr="002E23A2">
        <w:rPr>
          <w:rFonts w:ascii="Times New Roman" w:hAnsi="Times New Roman"/>
        </w:rPr>
        <w:t>§ 75b</w:t>
      </w:r>
    </w:p>
    <w:p w:rsidR="000F7CE7" w:rsidRPr="002E23A2" w:rsidP="000F7CE7">
      <w:pPr>
        <w:bidi w:val="0"/>
        <w:jc w:val="both"/>
        <w:rPr>
          <w:rFonts w:ascii="Times New Roman" w:hAnsi="Times New Roman"/>
        </w:rPr>
      </w:pPr>
    </w:p>
    <w:p w:rsidR="000F7CE7" w:rsidP="000F7CE7">
      <w:pPr>
        <w:bidi w:val="0"/>
        <w:ind w:firstLine="708"/>
        <w:jc w:val="both"/>
        <w:rPr>
          <w:rFonts w:ascii="Times New Roman" w:hAnsi="Times New Roman"/>
        </w:rPr>
      </w:pPr>
      <w:r w:rsidRPr="002E23A2">
        <w:rPr>
          <w:rFonts w:ascii="Times New Roman" w:hAnsi="Times New Roman"/>
        </w:rPr>
        <w:t>(1) Ak Ústavný súd zistí, že z rozhodnutia orgánu medzinárodnej organizácie nevyplýva povinnosť opätovného preskúmania napadnutého rozhodnutia Ústavného súdu, návrh na obnovu konania ako zjavne neopodstatnený uznesením odmietne.</w:t>
      </w:r>
    </w:p>
    <w:p w:rsidR="000F7CE7" w:rsidRPr="002E23A2" w:rsidP="000F7CE7">
      <w:pPr>
        <w:bidi w:val="0"/>
        <w:ind w:firstLine="708"/>
        <w:jc w:val="both"/>
        <w:rPr>
          <w:rFonts w:ascii="Times New Roman" w:hAnsi="Times New Roman"/>
        </w:rPr>
      </w:pPr>
    </w:p>
    <w:p w:rsidR="000F7CE7" w:rsidP="000F7CE7">
      <w:pPr>
        <w:bidi w:val="0"/>
        <w:ind w:firstLine="708"/>
        <w:jc w:val="both"/>
        <w:rPr>
          <w:rFonts w:ascii="Times New Roman" w:hAnsi="Times New Roman"/>
        </w:rPr>
      </w:pPr>
      <w:r w:rsidRPr="002E23A2">
        <w:rPr>
          <w:rFonts w:ascii="Times New Roman" w:hAnsi="Times New Roman"/>
        </w:rPr>
        <w:t xml:space="preserve">(2) Ak Ústavný súd zistí, že z rozhodnutia orgánu medzinárodnej organizácie vyplýva povinnosť opätovného preskúmania napadnutého rozhodnutia Ústavného súdu, svojím nálezom obnovu konania povolí a napadnuté rozhodnutie Ústavného súdu zruší. Ústavný súd môže zrušiť aj ďalšie rozhodnutia Ústavného súdu vydané v pôvodnom konaní, ak to vyplýva z právneho názoru vysloveného v rozhodnutí orgánu medzinárodnej organizácie a je to potrebné na dosiahnutie účelu obnovy konania.  </w:t>
      </w:r>
    </w:p>
    <w:p w:rsidR="000F7CE7" w:rsidRPr="002E23A2" w:rsidP="000F7CE7">
      <w:pPr>
        <w:bidi w:val="0"/>
        <w:ind w:firstLine="708"/>
        <w:jc w:val="both"/>
        <w:rPr>
          <w:rFonts w:ascii="Times New Roman" w:hAnsi="Times New Roman"/>
        </w:rPr>
      </w:pPr>
    </w:p>
    <w:p w:rsidR="000F7CE7" w:rsidRPr="002E23A2" w:rsidP="000F7CE7">
      <w:pPr>
        <w:bidi w:val="0"/>
        <w:ind w:firstLine="708"/>
        <w:jc w:val="both"/>
        <w:rPr>
          <w:rFonts w:ascii="Times New Roman" w:hAnsi="Times New Roman"/>
        </w:rPr>
      </w:pPr>
      <w:r w:rsidRPr="002E23A2">
        <w:rPr>
          <w:rFonts w:ascii="Times New Roman" w:hAnsi="Times New Roman"/>
        </w:rPr>
        <w:t>(3) Ak na základe návrhu na obnovu konania Ústavný súd obnovu konania povolí, znovu prerokuje pôvodný návrh na začatie konania podľa príslušných ustanovení tohto zákona, pričom vychádza z právneho názoru vysloveného v rozhodnutí orgánu medzinárodnej organizácie.“.“.</w:t>
      </w:r>
    </w:p>
    <w:p w:rsidR="000F7CE7" w:rsidRPr="002E23A2" w:rsidP="000F7CE7">
      <w:pPr>
        <w:bidi w:val="0"/>
        <w:jc w:val="both"/>
        <w:rPr>
          <w:rFonts w:ascii="Times New Roman" w:hAnsi="Times New Roman"/>
        </w:rPr>
      </w:pPr>
    </w:p>
    <w:p w:rsidR="000F7CE7" w:rsidRPr="002E23A2" w:rsidP="000F7CE7">
      <w:pPr>
        <w:bidi w:val="0"/>
        <w:ind w:firstLine="708"/>
        <w:jc w:val="both"/>
        <w:rPr>
          <w:rFonts w:ascii="Times New Roman" w:hAnsi="Times New Roman"/>
        </w:rPr>
      </w:pPr>
      <w:r w:rsidRPr="002E23A2">
        <w:rPr>
          <w:rFonts w:ascii="Times New Roman" w:hAnsi="Times New Roman"/>
        </w:rPr>
        <w:t xml:space="preserve">Body 2. a 3. nadobúdajú účinnosť 1. januára 2015, čo sa premietne do ustanovení o účinnosti. </w:t>
      </w:r>
    </w:p>
    <w:p w:rsidR="000F7CE7" w:rsidRPr="002E23A2" w:rsidP="000F7CE7">
      <w:pPr>
        <w:bidi w:val="0"/>
        <w:jc w:val="both"/>
        <w:rPr>
          <w:rFonts w:ascii="Times New Roman" w:hAnsi="Times New Roman"/>
        </w:rPr>
      </w:pPr>
    </w:p>
    <w:p w:rsidR="000F7CE7" w:rsidP="000F7CE7">
      <w:pPr>
        <w:bidi w:val="0"/>
        <w:ind w:left="3540"/>
        <w:jc w:val="both"/>
        <w:rPr>
          <w:rFonts w:ascii="Times New Roman" w:hAnsi="Times New Roman"/>
        </w:rPr>
      </w:pPr>
      <w:r w:rsidRPr="00844E55">
        <w:rPr>
          <w:rFonts w:ascii="Times New Roman" w:hAnsi="Times New Roman"/>
        </w:rPr>
        <w:t xml:space="preserve">Odôvodnenie k bodu 2: Dňa 13. októbra 2014 nadobudol právoplatnosť rozsudok Európskeho súdu pre ľudské práva v prípade Lópéz Guió proti Slovenskej republike, v ktorom Európsky súd pre ľudské práva vyslovil porušenie Čl. 8 Dohovoru o  ochrane ľudských práv a základných slobôd. V rozsudku Európsky </w:t>
      </w:r>
      <w:r>
        <w:rPr>
          <w:rFonts w:ascii="Times New Roman" w:hAnsi="Times New Roman"/>
        </w:rPr>
        <w:t>súd pre </w:t>
      </w:r>
      <w:r w:rsidRPr="00844E55">
        <w:rPr>
          <w:rFonts w:ascii="Times New Roman" w:hAnsi="Times New Roman"/>
        </w:rPr>
        <w:t>ľudské práva vyjadril, že neexistuje úradný postup, prostredníctvom ktorého by sa tretia strana (účastník pôvodného konan</w:t>
      </w:r>
      <w:r>
        <w:rPr>
          <w:rFonts w:ascii="Times New Roman" w:hAnsi="Times New Roman"/>
        </w:rPr>
        <w:t>ia) mohla dozvedieť o konaní na Ú</w:t>
      </w:r>
      <w:r w:rsidRPr="00844E55">
        <w:rPr>
          <w:rFonts w:ascii="Times New Roman" w:hAnsi="Times New Roman"/>
        </w:rPr>
        <w:t xml:space="preserve">stavnom súde, ktoré sa jej bezprostredne týka. Upovedomenie o podanej ústavnej sťažnosti bude zahŕňať zaslanie sťažnosti s určením lehoty na vyjadrenie sa k nej. Z dôvodu rôznorodosti konaní aj v rámci iných vydaných aktov sa ustanovuje flexibilné pravidlo oboznámenia, ktoré bude zahŕňať všetky relevantné spôsoby oboznamovania ekvivalentné režimu doručovania. </w:t>
      </w:r>
    </w:p>
    <w:p w:rsidR="00723BD9" w:rsidRPr="00844E55" w:rsidP="000F7CE7">
      <w:pPr>
        <w:bidi w:val="0"/>
        <w:ind w:left="3540"/>
        <w:jc w:val="both"/>
        <w:rPr>
          <w:rFonts w:ascii="Times New Roman" w:hAnsi="Times New Roman"/>
        </w:rPr>
      </w:pPr>
    </w:p>
    <w:p w:rsidR="000F7CE7" w:rsidRPr="00844E55" w:rsidP="000F7CE7">
      <w:pPr>
        <w:pStyle w:val="ListParagraph"/>
        <w:bidi w:val="0"/>
        <w:ind w:left="3544"/>
        <w:jc w:val="both"/>
        <w:rPr>
          <w:rFonts w:ascii="Times New Roman" w:hAnsi="Times New Roman"/>
        </w:rPr>
      </w:pPr>
      <w:r w:rsidRPr="00844E55">
        <w:rPr>
          <w:rFonts w:ascii="Times New Roman" w:hAnsi="Times New Roman"/>
        </w:rPr>
        <w:t>Odôvodnenie k bodu 3: Novelou Ústavy Slovenskej republiky, ktorá bo</w:t>
      </w:r>
      <w:r>
        <w:rPr>
          <w:rFonts w:ascii="Times New Roman" w:hAnsi="Times New Roman"/>
        </w:rPr>
        <w:t>la vykonaná ústavným zákonom č. </w:t>
      </w:r>
      <w:r w:rsidRPr="00844E55">
        <w:rPr>
          <w:rFonts w:ascii="Times New Roman" w:hAnsi="Times New Roman"/>
        </w:rPr>
        <w:t xml:space="preserve">161/2014 Z. z. s účinnosťou od 1. septembra 2014, sa vytvoril v článku 133 ústavný rámec na podanie mimoriadneho opravného prostriedku na Ústavný súd Slovenskej republiky vo vymedzených prípadoch. Konkrétne, v zmysle dikcie článku 133 v prípadoch, </w:t>
      </w:r>
      <w:r w:rsidRPr="00844E55">
        <w:rPr>
          <w:rFonts w:ascii="Times New Roman" w:hAnsi="Times New Roman"/>
          <w:bCs/>
        </w:rPr>
        <w:t xml:space="preserve">ak rozhodnutím orgánu medzinárodnej organizácie zriadeného na uplatňovanie medzinárodnej zmluvy, ktorou je Slovenská republika viazaná, vznikne Slovenskej republike povinnosť v konaní pred </w:t>
      </w:r>
      <w:r>
        <w:rPr>
          <w:rFonts w:ascii="Times New Roman" w:hAnsi="Times New Roman"/>
          <w:bCs/>
        </w:rPr>
        <w:t>Ú</w:t>
      </w:r>
      <w:r w:rsidRPr="00844E55">
        <w:rPr>
          <w:rFonts w:ascii="Times New Roman" w:hAnsi="Times New Roman"/>
          <w:bCs/>
        </w:rPr>
        <w:t xml:space="preserve">stavným súdom znovu preskúmať už prijaté rozhodnutie </w:t>
      </w:r>
      <w:r>
        <w:rPr>
          <w:rFonts w:ascii="Times New Roman" w:hAnsi="Times New Roman"/>
          <w:bCs/>
        </w:rPr>
        <w:t>Ú</w:t>
      </w:r>
      <w:r w:rsidRPr="00844E55">
        <w:rPr>
          <w:rFonts w:ascii="Times New Roman" w:hAnsi="Times New Roman"/>
          <w:bCs/>
        </w:rPr>
        <w:t>stavného súdu.</w:t>
      </w:r>
      <w:r w:rsidRPr="00844E55">
        <w:rPr>
          <w:rFonts w:ascii="Times New Roman" w:hAnsi="Times New Roman"/>
        </w:rPr>
        <w:t xml:space="preserve"> V zákone Národnej rady Slovenskej republiky č. 38/1993 Z. z. o organizácií Ústavného súdu Slovenskej republiky, o konaní pred ním a o postavení jeho sudcov v znení neskorších predpisov však dosiaľ nebola dopracovaná procesná úprava, ktorá by reagovala na túto ústavnú zmenu. V nadväznosti na tieto skutočnosti, sa navrhuje reagovať na článok 133 základného zákona štátu doplnením zákonnej úpravy potrebného procesn</w:t>
      </w:r>
      <w:r>
        <w:rPr>
          <w:rFonts w:ascii="Times New Roman" w:hAnsi="Times New Roman"/>
        </w:rPr>
        <w:t>ého režimu (resp. podmienok) na </w:t>
      </w:r>
      <w:r w:rsidRPr="00844E55">
        <w:rPr>
          <w:rFonts w:ascii="Times New Roman" w:hAnsi="Times New Roman"/>
        </w:rPr>
        <w:t>podanie mimoriadneho opravného prostriedku – obnovy konania v  § 75 a nasl. zákona Národnej rady Slovenskej republiky č. 38/1993 Z. z. o organizácií Ústavného súdu Slovenskej republiky, o konaní pred ním a o postavení jeho sudcov v znení neskorších predpisov. V tejto súvislosti navrhovaná úprava upravuje nevyhnutné procesné otázky, ako napríklad  ustanovenie subjektívnej lehoty na podanie návrhu na obnovu konania v § 75</w:t>
      </w:r>
      <w:r>
        <w:rPr>
          <w:rFonts w:ascii="Times New Roman" w:hAnsi="Times New Roman"/>
        </w:rPr>
        <w:t xml:space="preserve"> ods. </w:t>
      </w:r>
      <w:r w:rsidRPr="00844E55">
        <w:rPr>
          <w:rFonts w:ascii="Times New Roman" w:hAnsi="Times New Roman"/>
        </w:rPr>
        <w:t>5 a podobne.</w:t>
      </w:r>
    </w:p>
    <w:p w:rsidR="000F7CE7" w:rsidRPr="00844E55" w:rsidP="000F7CE7">
      <w:pPr>
        <w:bidi w:val="0"/>
        <w:jc w:val="both"/>
        <w:rPr>
          <w:rFonts w:ascii="Times New Roman" w:hAnsi="Times New Roman"/>
        </w:rPr>
      </w:pPr>
    </w:p>
    <w:p w:rsidR="000F7CE7" w:rsidRPr="00C60323" w:rsidP="000F7CE7">
      <w:pPr>
        <w:bidi w:val="0"/>
        <w:jc w:val="both"/>
        <w:rPr>
          <w:rFonts w:ascii="Times New Roman" w:hAnsi="Times New Roman"/>
        </w:rPr>
      </w:pPr>
    </w:p>
    <w:p w:rsidR="00C60323" w:rsidRPr="00C60323">
      <w:pPr>
        <w:bidi w:val="0"/>
        <w:jc w:val="both"/>
        <w:rPr>
          <w:rFonts w:ascii="Times New Roman" w:hAnsi="Times New Roman"/>
        </w:rPr>
      </w:pPr>
    </w:p>
    <w:sectPr w:rsidSect="0084672F">
      <w:headerReference w:type="even" r:id="rId5"/>
      <w:headerReference w:type="default" r:id="rId6"/>
      <w:footerReference w:type="even" r:id="rId7"/>
      <w:footerReference w:type="default" r:id="rId8"/>
      <w:headerReference w:type="first" r:id="rId9"/>
      <w:footerReference w:type="first" r:id="rId10"/>
      <w:pgSz w:w="11906" w:h="16838"/>
      <w:pgMar w:top="1417" w:right="1417" w:bottom="1417" w:left="1417" w:header="708" w:footer="708" w:gutter="0"/>
      <w:lnNumType w:distance="0"/>
      <w:pgNumType w:start="1"/>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Tahoma">
    <w:altName w:val="Tahoma"/>
    <w:panose1 w:val="020B0604030504040204"/>
    <w:charset w:val="EE"/>
    <w:family w:val="swiss"/>
    <w:pitch w:val="variable"/>
    <w:sig w:usb0="00000000" w:usb1="00000000" w:usb2="00000000" w:usb3="00000000" w:csb0="000101F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405">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405">
    <w:pPr>
      <w:pStyle w:val="Footer"/>
      <w:bidi w:val="0"/>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405">
    <w:pPr>
      <w:pStyle w:val="Footer"/>
      <w:bidi w:val="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405">
    <w:pPr>
      <w:pStyle w:val="Header"/>
      <w:bidi w:val="0"/>
      <w:rPr>
        <w:rFonts w:ascii="Times New Roman" w:hAnsi="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405">
    <w:pPr>
      <w:pStyle w:val="Header"/>
      <w:bidi w:val="0"/>
      <w:rPr>
        <w:rFonts w:ascii="Times New Roman" w:hAnsi="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405">
    <w:pPr>
      <w:pStyle w:val="Header"/>
      <w:bidi w:val="0"/>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50B86"/>
    <w:multiLevelType w:val="hybridMultilevel"/>
    <w:tmpl w:val="B5FE57AE"/>
    <w:lvl w:ilvl="0">
      <w:start w:val="1"/>
      <w:numFmt w:val="decimal"/>
      <w:lvlText w:val="%1."/>
      <w:lvlJc w:val="left"/>
      <w:pPr>
        <w:ind w:left="36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CBF2D77"/>
    <w:multiLevelType w:val="hybridMultilevel"/>
    <w:tmpl w:val="F350FB76"/>
    <w:lvl w:ilvl="0">
      <w:start w:val="1"/>
      <w:numFmt w:val="decimal"/>
      <w:lvlText w:val="%1."/>
      <w:lvlJc w:val="left"/>
      <w:pPr>
        <w:ind w:left="674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F3517F2"/>
    <w:multiLevelType w:val="hybridMultilevel"/>
    <w:tmpl w:val="B06EFCE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F51536B"/>
    <w:multiLevelType w:val="hybridMultilevel"/>
    <w:tmpl w:val="A2309352"/>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15C26431"/>
    <w:multiLevelType w:val="hybridMultilevel"/>
    <w:tmpl w:val="EBFA679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1B7F0CE1"/>
    <w:multiLevelType w:val="hybridMultilevel"/>
    <w:tmpl w:val="6FFCA4A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BB51B47"/>
    <w:multiLevelType w:val="hybridMultilevel"/>
    <w:tmpl w:val="20F47A52"/>
    <w:lvl w:ilvl="0">
      <w:start w:val="1"/>
      <w:numFmt w:val="decimal"/>
      <w:lvlText w:val="%1."/>
      <w:lvlJc w:val="left"/>
      <w:pPr>
        <w:ind w:left="1068" w:hanging="360"/>
      </w:pPr>
      <w:rPr>
        <w:rFonts w:cs="Times New Roman"/>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7">
    <w:nsid w:val="2AF661AF"/>
    <w:multiLevelType w:val="hybridMultilevel"/>
    <w:tmpl w:val="45BEFA30"/>
    <w:lvl w:ilvl="0">
      <w:start w:val="1"/>
      <w:numFmt w:val="decimal"/>
      <w:lvlText w:val="%1."/>
      <w:lvlJc w:val="left"/>
      <w:pPr>
        <w:ind w:left="360" w:hanging="360"/>
      </w:pPr>
      <w:rPr>
        <w:rFonts w:cs="Times New Roman"/>
        <w:b w:val="0"/>
        <w:i w:val="0"/>
        <w:color w:val="00000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2F8007E2"/>
    <w:multiLevelType w:val="hybridMultilevel"/>
    <w:tmpl w:val="82CE9A5A"/>
    <w:lvl w:ilvl="0">
      <w:start w:val="1"/>
      <w:numFmt w:val="decimal"/>
      <w:lvlText w:val="%1."/>
      <w:lvlJc w:val="left"/>
      <w:pPr>
        <w:ind w:left="720" w:hanging="360"/>
      </w:pPr>
      <w:rPr>
        <w:rFonts w:ascii="Times New Roman" w:hAnsi="Times New Roman" w:cs="Times New Roman" w:hint="default"/>
        <w:b w:val="0"/>
        <w:i w:val="0"/>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3312785A"/>
    <w:multiLevelType w:val="hybridMultilevel"/>
    <w:tmpl w:val="8028DEB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3B277C6F"/>
    <w:multiLevelType w:val="hybridMultilevel"/>
    <w:tmpl w:val="32E4A2FC"/>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503A7E94"/>
    <w:multiLevelType w:val="hybridMultilevel"/>
    <w:tmpl w:val="7F72C2C2"/>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2">
    <w:nsid w:val="58C84892"/>
    <w:multiLevelType w:val="hybridMultilevel"/>
    <w:tmpl w:val="AA54E45C"/>
    <w:lvl w:ilvl="0">
      <w:start w:val="1"/>
      <w:numFmt w:val="upperLetter"/>
      <w:lvlText w:val="%1."/>
      <w:lvlJc w:val="left"/>
      <w:pPr>
        <w:ind w:left="1120" w:hanging="410"/>
      </w:pPr>
      <w:rPr>
        <w:rFonts w:cs="Times New Roman" w:hint="default"/>
        <w:b/>
        <w:rtl w:val="0"/>
        <w:cs w:val="0"/>
      </w:rPr>
    </w:lvl>
    <w:lvl w:ilvl="1">
      <w:start w:val="1"/>
      <w:numFmt w:val="lowerLetter"/>
      <w:lvlText w:val="%2."/>
      <w:lvlJc w:val="left"/>
      <w:pPr>
        <w:ind w:left="1790" w:hanging="360"/>
      </w:pPr>
      <w:rPr>
        <w:rFonts w:cs="Times New Roman"/>
        <w:rtl w:val="0"/>
        <w:cs w:val="0"/>
      </w:rPr>
    </w:lvl>
    <w:lvl w:ilvl="2">
      <w:start w:val="1"/>
      <w:numFmt w:val="lowerRoman"/>
      <w:lvlText w:val="%3."/>
      <w:lvlJc w:val="right"/>
      <w:pPr>
        <w:ind w:left="2510" w:hanging="180"/>
      </w:pPr>
      <w:rPr>
        <w:rFonts w:cs="Times New Roman"/>
        <w:rtl w:val="0"/>
        <w:cs w:val="0"/>
      </w:rPr>
    </w:lvl>
    <w:lvl w:ilvl="3">
      <w:start w:val="1"/>
      <w:numFmt w:val="decimal"/>
      <w:lvlText w:val="%4."/>
      <w:lvlJc w:val="left"/>
      <w:pPr>
        <w:ind w:left="3230" w:hanging="360"/>
      </w:pPr>
      <w:rPr>
        <w:rFonts w:cs="Times New Roman"/>
        <w:rtl w:val="0"/>
        <w:cs w:val="0"/>
      </w:rPr>
    </w:lvl>
    <w:lvl w:ilvl="4">
      <w:start w:val="1"/>
      <w:numFmt w:val="lowerLetter"/>
      <w:lvlText w:val="%5."/>
      <w:lvlJc w:val="left"/>
      <w:pPr>
        <w:ind w:left="3950" w:hanging="360"/>
      </w:pPr>
      <w:rPr>
        <w:rFonts w:cs="Times New Roman"/>
        <w:rtl w:val="0"/>
        <w:cs w:val="0"/>
      </w:rPr>
    </w:lvl>
    <w:lvl w:ilvl="5">
      <w:start w:val="1"/>
      <w:numFmt w:val="lowerRoman"/>
      <w:lvlText w:val="%6."/>
      <w:lvlJc w:val="right"/>
      <w:pPr>
        <w:ind w:left="4670" w:hanging="180"/>
      </w:pPr>
      <w:rPr>
        <w:rFonts w:cs="Times New Roman"/>
        <w:rtl w:val="0"/>
        <w:cs w:val="0"/>
      </w:rPr>
    </w:lvl>
    <w:lvl w:ilvl="6">
      <w:start w:val="1"/>
      <w:numFmt w:val="decimal"/>
      <w:lvlText w:val="%7."/>
      <w:lvlJc w:val="left"/>
      <w:pPr>
        <w:ind w:left="5390" w:hanging="360"/>
      </w:pPr>
      <w:rPr>
        <w:rFonts w:cs="Times New Roman"/>
        <w:rtl w:val="0"/>
        <w:cs w:val="0"/>
      </w:rPr>
    </w:lvl>
    <w:lvl w:ilvl="7">
      <w:start w:val="1"/>
      <w:numFmt w:val="lowerLetter"/>
      <w:lvlText w:val="%8."/>
      <w:lvlJc w:val="left"/>
      <w:pPr>
        <w:ind w:left="6110" w:hanging="360"/>
      </w:pPr>
      <w:rPr>
        <w:rFonts w:cs="Times New Roman"/>
        <w:rtl w:val="0"/>
        <w:cs w:val="0"/>
      </w:rPr>
    </w:lvl>
    <w:lvl w:ilvl="8">
      <w:start w:val="1"/>
      <w:numFmt w:val="lowerRoman"/>
      <w:lvlText w:val="%9."/>
      <w:lvlJc w:val="right"/>
      <w:pPr>
        <w:ind w:left="6830" w:hanging="180"/>
      </w:pPr>
      <w:rPr>
        <w:rFonts w:cs="Times New Roman"/>
        <w:rtl w:val="0"/>
        <w:cs w:val="0"/>
      </w:rPr>
    </w:lvl>
  </w:abstractNum>
  <w:abstractNum w:abstractNumId="13">
    <w:nsid w:val="61582C20"/>
    <w:multiLevelType w:val="hybridMultilevel"/>
    <w:tmpl w:val="DA1269F4"/>
    <w:lvl w:ilvl="0">
      <w:start w:val="1"/>
      <w:numFmt w:val="decimal"/>
      <w:lvlText w:val="%1."/>
      <w:lvlJc w:val="left"/>
      <w:pPr>
        <w:ind w:left="360" w:hanging="360"/>
      </w:pPr>
      <w:rPr>
        <w:rFonts w:cs="Times New Roman"/>
        <w:b w:val="0"/>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67B5501C"/>
    <w:multiLevelType w:val="hybridMultilevel"/>
    <w:tmpl w:val="315E6886"/>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7099768D"/>
    <w:multiLevelType w:val="hybridMultilevel"/>
    <w:tmpl w:val="33BAB55A"/>
    <w:lvl w:ilvl="0">
      <w:start w:val="1"/>
      <w:numFmt w:val="decimal"/>
      <w:lvlText w:val="%1."/>
      <w:lvlJc w:val="left"/>
      <w:pPr>
        <w:ind w:left="360" w:hanging="360"/>
      </w:pPr>
      <w:rPr>
        <w:rFonts w:ascii="Times New Roman" w:hAnsi="Times New Roman" w:cs="Times New Roman" w:hint="default"/>
        <w:b w:val="0"/>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79895BDF"/>
    <w:multiLevelType w:val="hybridMultilevel"/>
    <w:tmpl w:val="31A277AA"/>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num w:numId="1">
    <w:abstractNumId w:val="12"/>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 w:numId="7">
    <w:abstractNumId w:val="6"/>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3"/>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3"/>
  </w:num>
  <w:num w:numId="17">
    <w:abstractNumId w:val="9"/>
  </w:num>
  <w:num w:numId="18">
    <w:abstractNumId w:val="14"/>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2E0F39"/>
    <w:rsid w:val="00000F2C"/>
    <w:rsid w:val="00002B02"/>
    <w:rsid w:val="00016D42"/>
    <w:rsid w:val="00017101"/>
    <w:rsid w:val="00022264"/>
    <w:rsid w:val="00026536"/>
    <w:rsid w:val="00036E37"/>
    <w:rsid w:val="0005344A"/>
    <w:rsid w:val="00072D24"/>
    <w:rsid w:val="00080BDB"/>
    <w:rsid w:val="00097D40"/>
    <w:rsid w:val="000A27DF"/>
    <w:rsid w:val="000A4725"/>
    <w:rsid w:val="000B36B5"/>
    <w:rsid w:val="000B57E9"/>
    <w:rsid w:val="000C1219"/>
    <w:rsid w:val="000D11D5"/>
    <w:rsid w:val="000F4A21"/>
    <w:rsid w:val="000F7CE7"/>
    <w:rsid w:val="00106E7E"/>
    <w:rsid w:val="00115D3B"/>
    <w:rsid w:val="0011659C"/>
    <w:rsid w:val="00117C6E"/>
    <w:rsid w:val="00124A52"/>
    <w:rsid w:val="00137573"/>
    <w:rsid w:val="00142F27"/>
    <w:rsid w:val="00144A91"/>
    <w:rsid w:val="00144C16"/>
    <w:rsid w:val="0015407E"/>
    <w:rsid w:val="00157ABA"/>
    <w:rsid w:val="00172E7C"/>
    <w:rsid w:val="00174702"/>
    <w:rsid w:val="00174955"/>
    <w:rsid w:val="00180A4F"/>
    <w:rsid w:val="00186B52"/>
    <w:rsid w:val="00186F61"/>
    <w:rsid w:val="00195B23"/>
    <w:rsid w:val="001B19FF"/>
    <w:rsid w:val="001B42EF"/>
    <w:rsid w:val="001B5DFA"/>
    <w:rsid w:val="001B7EE3"/>
    <w:rsid w:val="001C1444"/>
    <w:rsid w:val="001D1D7B"/>
    <w:rsid w:val="001D7465"/>
    <w:rsid w:val="001D7E92"/>
    <w:rsid w:val="001E06A2"/>
    <w:rsid w:val="001E70BD"/>
    <w:rsid w:val="001E77B1"/>
    <w:rsid w:val="002074A4"/>
    <w:rsid w:val="00224F3D"/>
    <w:rsid w:val="002271A1"/>
    <w:rsid w:val="0023079A"/>
    <w:rsid w:val="00236746"/>
    <w:rsid w:val="00252908"/>
    <w:rsid w:val="00273C13"/>
    <w:rsid w:val="00277451"/>
    <w:rsid w:val="002807C9"/>
    <w:rsid w:val="00293328"/>
    <w:rsid w:val="00296777"/>
    <w:rsid w:val="002A4626"/>
    <w:rsid w:val="002A51B7"/>
    <w:rsid w:val="002B035E"/>
    <w:rsid w:val="002B6D17"/>
    <w:rsid w:val="002C41C8"/>
    <w:rsid w:val="002C748C"/>
    <w:rsid w:val="002D6438"/>
    <w:rsid w:val="002D7999"/>
    <w:rsid w:val="002E0F39"/>
    <w:rsid w:val="002E23A2"/>
    <w:rsid w:val="002F399A"/>
    <w:rsid w:val="002F58C9"/>
    <w:rsid w:val="002F611C"/>
    <w:rsid w:val="0030522B"/>
    <w:rsid w:val="00316271"/>
    <w:rsid w:val="003317B6"/>
    <w:rsid w:val="00367D0B"/>
    <w:rsid w:val="00371F92"/>
    <w:rsid w:val="0037354B"/>
    <w:rsid w:val="00386D14"/>
    <w:rsid w:val="003927CB"/>
    <w:rsid w:val="0039460E"/>
    <w:rsid w:val="00396B2B"/>
    <w:rsid w:val="0039792F"/>
    <w:rsid w:val="003A74A1"/>
    <w:rsid w:val="003C08E8"/>
    <w:rsid w:val="003C2A10"/>
    <w:rsid w:val="003D18FF"/>
    <w:rsid w:val="003D2166"/>
    <w:rsid w:val="003D6F07"/>
    <w:rsid w:val="003E5D5E"/>
    <w:rsid w:val="003F22CE"/>
    <w:rsid w:val="003F7533"/>
    <w:rsid w:val="00413C8B"/>
    <w:rsid w:val="0042443B"/>
    <w:rsid w:val="00424632"/>
    <w:rsid w:val="00430621"/>
    <w:rsid w:val="00435CFB"/>
    <w:rsid w:val="004400E6"/>
    <w:rsid w:val="004404AF"/>
    <w:rsid w:val="004405F8"/>
    <w:rsid w:val="00446471"/>
    <w:rsid w:val="0045055E"/>
    <w:rsid w:val="00453FB8"/>
    <w:rsid w:val="00454715"/>
    <w:rsid w:val="00456DA2"/>
    <w:rsid w:val="0046342C"/>
    <w:rsid w:val="0046544E"/>
    <w:rsid w:val="00475F91"/>
    <w:rsid w:val="00477087"/>
    <w:rsid w:val="00482757"/>
    <w:rsid w:val="00494790"/>
    <w:rsid w:val="0049489F"/>
    <w:rsid w:val="004A2E3F"/>
    <w:rsid w:val="004B07F0"/>
    <w:rsid w:val="004C7426"/>
    <w:rsid w:val="004C7786"/>
    <w:rsid w:val="004D2644"/>
    <w:rsid w:val="004D2DB9"/>
    <w:rsid w:val="004D6311"/>
    <w:rsid w:val="004D7C1D"/>
    <w:rsid w:val="004E6ADD"/>
    <w:rsid w:val="00502405"/>
    <w:rsid w:val="0050582B"/>
    <w:rsid w:val="00516FE1"/>
    <w:rsid w:val="0052255B"/>
    <w:rsid w:val="00524292"/>
    <w:rsid w:val="0053517A"/>
    <w:rsid w:val="00541A50"/>
    <w:rsid w:val="00545A46"/>
    <w:rsid w:val="0055312D"/>
    <w:rsid w:val="005757E5"/>
    <w:rsid w:val="005804CC"/>
    <w:rsid w:val="005838F0"/>
    <w:rsid w:val="005966DA"/>
    <w:rsid w:val="005A094E"/>
    <w:rsid w:val="005A4239"/>
    <w:rsid w:val="005B0246"/>
    <w:rsid w:val="005B1E91"/>
    <w:rsid w:val="005B6942"/>
    <w:rsid w:val="005E1310"/>
    <w:rsid w:val="005E1AF4"/>
    <w:rsid w:val="005E1EA8"/>
    <w:rsid w:val="005E2843"/>
    <w:rsid w:val="005F6D60"/>
    <w:rsid w:val="00601527"/>
    <w:rsid w:val="00614846"/>
    <w:rsid w:val="00625A09"/>
    <w:rsid w:val="006423F7"/>
    <w:rsid w:val="006428B8"/>
    <w:rsid w:val="006445F6"/>
    <w:rsid w:val="00644A3B"/>
    <w:rsid w:val="00652E76"/>
    <w:rsid w:val="00654129"/>
    <w:rsid w:val="00654497"/>
    <w:rsid w:val="006622BA"/>
    <w:rsid w:val="006709E5"/>
    <w:rsid w:val="0068156B"/>
    <w:rsid w:val="006820ED"/>
    <w:rsid w:val="00683B72"/>
    <w:rsid w:val="00690613"/>
    <w:rsid w:val="0069421A"/>
    <w:rsid w:val="006A02D9"/>
    <w:rsid w:val="006A0EE1"/>
    <w:rsid w:val="006D4392"/>
    <w:rsid w:val="006E04D2"/>
    <w:rsid w:val="006E10D6"/>
    <w:rsid w:val="006E4115"/>
    <w:rsid w:val="00711D56"/>
    <w:rsid w:val="00721DFB"/>
    <w:rsid w:val="00722DE9"/>
    <w:rsid w:val="00723BD9"/>
    <w:rsid w:val="00741BD4"/>
    <w:rsid w:val="0076181B"/>
    <w:rsid w:val="007629EA"/>
    <w:rsid w:val="007663DF"/>
    <w:rsid w:val="0076682E"/>
    <w:rsid w:val="00776ACC"/>
    <w:rsid w:val="00780216"/>
    <w:rsid w:val="00782ADB"/>
    <w:rsid w:val="00783A22"/>
    <w:rsid w:val="007A6823"/>
    <w:rsid w:val="007B3E77"/>
    <w:rsid w:val="007B6BB9"/>
    <w:rsid w:val="007C14C9"/>
    <w:rsid w:val="007C5919"/>
    <w:rsid w:val="007D4444"/>
    <w:rsid w:val="007D6972"/>
    <w:rsid w:val="007E6EFD"/>
    <w:rsid w:val="007E70F8"/>
    <w:rsid w:val="007F0517"/>
    <w:rsid w:val="007F3316"/>
    <w:rsid w:val="00802CCB"/>
    <w:rsid w:val="0080482A"/>
    <w:rsid w:val="00816924"/>
    <w:rsid w:val="008172F1"/>
    <w:rsid w:val="0082154D"/>
    <w:rsid w:val="00826955"/>
    <w:rsid w:val="00833478"/>
    <w:rsid w:val="00833C5D"/>
    <w:rsid w:val="00843000"/>
    <w:rsid w:val="00844E55"/>
    <w:rsid w:val="0084672F"/>
    <w:rsid w:val="00847987"/>
    <w:rsid w:val="008549D2"/>
    <w:rsid w:val="008641E6"/>
    <w:rsid w:val="00866249"/>
    <w:rsid w:val="00867155"/>
    <w:rsid w:val="00872143"/>
    <w:rsid w:val="00881487"/>
    <w:rsid w:val="0088547F"/>
    <w:rsid w:val="008A1900"/>
    <w:rsid w:val="008A450D"/>
    <w:rsid w:val="008B0DE0"/>
    <w:rsid w:val="008B556D"/>
    <w:rsid w:val="008C5B0D"/>
    <w:rsid w:val="008C74B6"/>
    <w:rsid w:val="008C74F2"/>
    <w:rsid w:val="008D03F7"/>
    <w:rsid w:val="008D1ED3"/>
    <w:rsid w:val="008D6220"/>
    <w:rsid w:val="008D68E8"/>
    <w:rsid w:val="008E1F93"/>
    <w:rsid w:val="008E2C61"/>
    <w:rsid w:val="008E676A"/>
    <w:rsid w:val="008F11D0"/>
    <w:rsid w:val="008F39F2"/>
    <w:rsid w:val="008F7250"/>
    <w:rsid w:val="009032CB"/>
    <w:rsid w:val="00912A89"/>
    <w:rsid w:val="00914060"/>
    <w:rsid w:val="00927EB0"/>
    <w:rsid w:val="00937E90"/>
    <w:rsid w:val="009503B1"/>
    <w:rsid w:val="00951675"/>
    <w:rsid w:val="0095167C"/>
    <w:rsid w:val="009707B1"/>
    <w:rsid w:val="00977032"/>
    <w:rsid w:val="00985F91"/>
    <w:rsid w:val="009909EE"/>
    <w:rsid w:val="0099334A"/>
    <w:rsid w:val="009A7AB4"/>
    <w:rsid w:val="009B5C2B"/>
    <w:rsid w:val="009B6E47"/>
    <w:rsid w:val="009B7F1D"/>
    <w:rsid w:val="009C01B7"/>
    <w:rsid w:val="009C4896"/>
    <w:rsid w:val="009D09F9"/>
    <w:rsid w:val="009D34CE"/>
    <w:rsid w:val="009E79A3"/>
    <w:rsid w:val="00A03672"/>
    <w:rsid w:val="00A06980"/>
    <w:rsid w:val="00A2253A"/>
    <w:rsid w:val="00A24AF2"/>
    <w:rsid w:val="00A325D1"/>
    <w:rsid w:val="00A34E3C"/>
    <w:rsid w:val="00A4576B"/>
    <w:rsid w:val="00A47C1C"/>
    <w:rsid w:val="00A62F29"/>
    <w:rsid w:val="00A64B0F"/>
    <w:rsid w:val="00A65A35"/>
    <w:rsid w:val="00A67A5B"/>
    <w:rsid w:val="00A71B03"/>
    <w:rsid w:val="00A72F57"/>
    <w:rsid w:val="00A81450"/>
    <w:rsid w:val="00A83346"/>
    <w:rsid w:val="00A937C3"/>
    <w:rsid w:val="00AA6297"/>
    <w:rsid w:val="00AA729E"/>
    <w:rsid w:val="00AC6EFD"/>
    <w:rsid w:val="00AD570A"/>
    <w:rsid w:val="00AF3C7D"/>
    <w:rsid w:val="00AF75AD"/>
    <w:rsid w:val="00B04589"/>
    <w:rsid w:val="00B061A9"/>
    <w:rsid w:val="00B126AD"/>
    <w:rsid w:val="00B14682"/>
    <w:rsid w:val="00B1565D"/>
    <w:rsid w:val="00B15F4B"/>
    <w:rsid w:val="00B16FA7"/>
    <w:rsid w:val="00B216BB"/>
    <w:rsid w:val="00B24220"/>
    <w:rsid w:val="00B252E1"/>
    <w:rsid w:val="00B27EB6"/>
    <w:rsid w:val="00B401F3"/>
    <w:rsid w:val="00B61007"/>
    <w:rsid w:val="00B64950"/>
    <w:rsid w:val="00B7137E"/>
    <w:rsid w:val="00B73900"/>
    <w:rsid w:val="00B76C54"/>
    <w:rsid w:val="00B965A9"/>
    <w:rsid w:val="00B96FE8"/>
    <w:rsid w:val="00BC7941"/>
    <w:rsid w:val="00BD73AB"/>
    <w:rsid w:val="00BE2903"/>
    <w:rsid w:val="00BE2A9D"/>
    <w:rsid w:val="00BF23D2"/>
    <w:rsid w:val="00BF5636"/>
    <w:rsid w:val="00C143E8"/>
    <w:rsid w:val="00C14623"/>
    <w:rsid w:val="00C20913"/>
    <w:rsid w:val="00C30A74"/>
    <w:rsid w:val="00C34375"/>
    <w:rsid w:val="00C352F8"/>
    <w:rsid w:val="00C35AF6"/>
    <w:rsid w:val="00C364AB"/>
    <w:rsid w:val="00C406A0"/>
    <w:rsid w:val="00C44DCA"/>
    <w:rsid w:val="00C47889"/>
    <w:rsid w:val="00C5317B"/>
    <w:rsid w:val="00C57736"/>
    <w:rsid w:val="00C60323"/>
    <w:rsid w:val="00C65812"/>
    <w:rsid w:val="00C830EE"/>
    <w:rsid w:val="00C86FBE"/>
    <w:rsid w:val="00C97D6B"/>
    <w:rsid w:val="00CA53FC"/>
    <w:rsid w:val="00CA5557"/>
    <w:rsid w:val="00CA61B5"/>
    <w:rsid w:val="00CA664D"/>
    <w:rsid w:val="00CB548A"/>
    <w:rsid w:val="00CE06F8"/>
    <w:rsid w:val="00CE1AF2"/>
    <w:rsid w:val="00CE2E18"/>
    <w:rsid w:val="00CE7A19"/>
    <w:rsid w:val="00CF7A08"/>
    <w:rsid w:val="00D07736"/>
    <w:rsid w:val="00D11FFD"/>
    <w:rsid w:val="00D1764E"/>
    <w:rsid w:val="00D214CA"/>
    <w:rsid w:val="00D21E16"/>
    <w:rsid w:val="00D259F2"/>
    <w:rsid w:val="00D418FD"/>
    <w:rsid w:val="00D535A0"/>
    <w:rsid w:val="00D73B41"/>
    <w:rsid w:val="00D908DD"/>
    <w:rsid w:val="00DC2F88"/>
    <w:rsid w:val="00DC4441"/>
    <w:rsid w:val="00DD1A2C"/>
    <w:rsid w:val="00DE1017"/>
    <w:rsid w:val="00DE42AD"/>
    <w:rsid w:val="00DE734D"/>
    <w:rsid w:val="00DE7FC9"/>
    <w:rsid w:val="00E04F5E"/>
    <w:rsid w:val="00E15586"/>
    <w:rsid w:val="00E16BEF"/>
    <w:rsid w:val="00E17959"/>
    <w:rsid w:val="00E30A96"/>
    <w:rsid w:val="00E3144F"/>
    <w:rsid w:val="00E32D73"/>
    <w:rsid w:val="00E37EA3"/>
    <w:rsid w:val="00E4006E"/>
    <w:rsid w:val="00E43FC5"/>
    <w:rsid w:val="00E5361E"/>
    <w:rsid w:val="00E57693"/>
    <w:rsid w:val="00E821E8"/>
    <w:rsid w:val="00E917CF"/>
    <w:rsid w:val="00EA3DF0"/>
    <w:rsid w:val="00EA4A97"/>
    <w:rsid w:val="00EB161E"/>
    <w:rsid w:val="00EE706F"/>
    <w:rsid w:val="00EE709D"/>
    <w:rsid w:val="00EF5242"/>
    <w:rsid w:val="00F034AD"/>
    <w:rsid w:val="00F036CF"/>
    <w:rsid w:val="00F06130"/>
    <w:rsid w:val="00F20AD8"/>
    <w:rsid w:val="00F35942"/>
    <w:rsid w:val="00F40139"/>
    <w:rsid w:val="00F570EA"/>
    <w:rsid w:val="00F67049"/>
    <w:rsid w:val="00F82B0D"/>
    <w:rsid w:val="00F84D47"/>
    <w:rsid w:val="00FA0071"/>
    <w:rsid w:val="00FA1BFE"/>
    <w:rsid w:val="00FA2008"/>
    <w:rsid w:val="00FA36C9"/>
    <w:rsid w:val="00FA480F"/>
    <w:rsid w:val="00FB5CAF"/>
    <w:rsid w:val="00FC0ABB"/>
    <w:rsid w:val="00FC2785"/>
    <w:rsid w:val="00FC4DC4"/>
    <w:rsid w:val="00FE14BD"/>
    <w:rsid w:val="00FE2A8D"/>
    <w:rsid w:val="00FE4076"/>
    <w:rsid w:val="00FE47D6"/>
    <w:rsid w:val="00FE4CD9"/>
    <w:rsid w:val="00FE4FA1"/>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F39"/>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2">
    <w:name w:val="heading 2"/>
    <w:basedOn w:val="Normal"/>
    <w:next w:val="Normal"/>
    <w:link w:val="Nadpis2Char"/>
    <w:uiPriority w:val="9"/>
    <w:semiHidden/>
    <w:unhideWhenUsed/>
    <w:qFormat/>
    <w:rsid w:val="002E0F39"/>
    <w:pPr>
      <w:keepNext/>
      <w:ind w:left="4500" w:firstLine="456"/>
      <w:jc w:val="both"/>
      <w:outlineLvl w:val="1"/>
    </w:pPr>
    <w:rPr>
      <w:rFonts w:ascii="Times New Roman" w:eastAsia="Arial Unicode MS" w:hAnsi="Times New Roman"/>
      <w:b/>
      <w:bCs/>
      <w:lang w:eastAsia="en-US"/>
    </w:rPr>
  </w:style>
  <w:style w:type="paragraph" w:styleId="Heading3">
    <w:name w:val="heading 3"/>
    <w:basedOn w:val="Normal"/>
    <w:next w:val="Normal"/>
    <w:link w:val="Nadpis3Char"/>
    <w:uiPriority w:val="9"/>
    <w:semiHidden/>
    <w:unhideWhenUsed/>
    <w:qFormat/>
    <w:rsid w:val="002E0F39"/>
    <w:pPr>
      <w:keepNext/>
      <w:keepLines/>
      <w:spacing w:before="200"/>
      <w:jc w:val="left"/>
      <w:outlineLvl w:val="2"/>
    </w:pPr>
    <w:rPr>
      <w:rFonts w:asciiTheme="majorHAnsi" w:eastAsiaTheme="majorEastAsia" w:hAnsiTheme="majorHAnsi"/>
      <w:b/>
      <w:bCs/>
      <w:color w:val="4F81BD" w:themeColor="accent1" w:themeShade="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2Char">
    <w:name w:val="Nadpis 2 Char"/>
    <w:basedOn w:val="DefaultParagraphFont"/>
    <w:link w:val="Heading2"/>
    <w:uiPriority w:val="9"/>
    <w:semiHidden/>
    <w:locked/>
    <w:rsid w:val="002E0F39"/>
    <w:rPr>
      <w:rFonts w:ascii="Times New Roman" w:eastAsia="Arial Unicode MS" w:hAnsi="Times New Roman" w:cs="Times New Roman"/>
      <w:b/>
      <w:bCs/>
      <w:sz w:val="24"/>
      <w:szCs w:val="24"/>
      <w:rtl w:val="0"/>
      <w:cs w:val="0"/>
    </w:rPr>
  </w:style>
  <w:style w:type="character" w:customStyle="1" w:styleId="Nadpis3Char">
    <w:name w:val="Nadpis 3 Char"/>
    <w:basedOn w:val="DefaultParagraphFont"/>
    <w:link w:val="Heading3"/>
    <w:uiPriority w:val="9"/>
    <w:semiHidden/>
    <w:locked/>
    <w:rsid w:val="002E0F39"/>
    <w:rPr>
      <w:rFonts w:asciiTheme="majorHAnsi" w:eastAsiaTheme="majorEastAsia" w:hAnsiTheme="majorHAnsi" w:cs="Times New Roman"/>
      <w:b/>
      <w:bCs/>
      <w:color w:val="4F81BD" w:themeColor="accent1" w:themeShade="FF"/>
      <w:sz w:val="24"/>
      <w:szCs w:val="24"/>
      <w:rtl w:val="0"/>
      <w:cs w:val="0"/>
      <w:lang w:val="x-none" w:eastAsia="sk-SK"/>
    </w:rPr>
  </w:style>
  <w:style w:type="paragraph" w:styleId="BodyText">
    <w:name w:val="Body Text"/>
    <w:basedOn w:val="Normal"/>
    <w:link w:val="ZkladntextChar"/>
    <w:uiPriority w:val="99"/>
    <w:unhideWhenUsed/>
    <w:rsid w:val="002E0F39"/>
    <w:pPr>
      <w:jc w:val="both"/>
    </w:pPr>
  </w:style>
  <w:style w:type="character" w:customStyle="1" w:styleId="ZkladntextChar">
    <w:name w:val="Základný text Char"/>
    <w:basedOn w:val="DefaultParagraphFont"/>
    <w:link w:val="BodyText"/>
    <w:uiPriority w:val="99"/>
    <w:locked/>
    <w:rsid w:val="002E0F39"/>
    <w:rPr>
      <w:rFonts w:ascii="Times New Roman" w:hAnsi="Times New Roman" w:cs="Times New Roman"/>
      <w:sz w:val="24"/>
      <w:szCs w:val="24"/>
      <w:rtl w:val="0"/>
      <w:cs w:val="0"/>
      <w:lang w:val="x-none" w:eastAsia="sk-SK"/>
    </w:rPr>
  </w:style>
  <w:style w:type="paragraph" w:styleId="ListParagraph">
    <w:name w:val="List Paragraph"/>
    <w:basedOn w:val="Normal"/>
    <w:uiPriority w:val="99"/>
    <w:qFormat/>
    <w:rsid w:val="002E0F39"/>
    <w:pPr>
      <w:ind w:left="720"/>
      <w:contextualSpacing/>
      <w:jc w:val="left"/>
    </w:pPr>
  </w:style>
  <w:style w:type="paragraph" w:styleId="Header">
    <w:name w:val="header"/>
    <w:basedOn w:val="Normal"/>
    <w:link w:val="HlavikaChar"/>
    <w:uiPriority w:val="99"/>
    <w:unhideWhenUsed/>
    <w:rsid w:val="002E0F39"/>
    <w:pPr>
      <w:tabs>
        <w:tab w:val="center" w:pos="4536"/>
        <w:tab w:val="right" w:pos="9072"/>
      </w:tabs>
      <w:jc w:val="left"/>
    </w:pPr>
  </w:style>
  <w:style w:type="character" w:customStyle="1" w:styleId="HlavikaChar">
    <w:name w:val="Hlavička Char"/>
    <w:basedOn w:val="DefaultParagraphFont"/>
    <w:link w:val="Header"/>
    <w:uiPriority w:val="99"/>
    <w:locked/>
    <w:rsid w:val="002E0F39"/>
    <w:rPr>
      <w:rFonts w:ascii="Times New Roman" w:hAnsi="Times New Roman" w:cs="Times New Roman"/>
      <w:sz w:val="24"/>
      <w:szCs w:val="24"/>
      <w:rtl w:val="0"/>
      <w:cs w:val="0"/>
      <w:lang w:val="x-none" w:eastAsia="sk-SK"/>
    </w:rPr>
  </w:style>
  <w:style w:type="paragraph" w:styleId="Footer">
    <w:name w:val="footer"/>
    <w:basedOn w:val="Normal"/>
    <w:link w:val="PtaChar"/>
    <w:uiPriority w:val="99"/>
    <w:unhideWhenUsed/>
    <w:rsid w:val="002E0F39"/>
    <w:pPr>
      <w:tabs>
        <w:tab w:val="center" w:pos="4536"/>
        <w:tab w:val="right" w:pos="9072"/>
      </w:tabs>
      <w:jc w:val="left"/>
    </w:pPr>
  </w:style>
  <w:style w:type="character" w:customStyle="1" w:styleId="PtaChar">
    <w:name w:val="Päta Char"/>
    <w:basedOn w:val="DefaultParagraphFont"/>
    <w:link w:val="Footer"/>
    <w:uiPriority w:val="99"/>
    <w:locked/>
    <w:rsid w:val="002E0F39"/>
    <w:rPr>
      <w:rFonts w:ascii="Times New Roman" w:hAnsi="Times New Roman" w:cs="Times New Roman"/>
      <w:sz w:val="24"/>
      <w:szCs w:val="24"/>
      <w:rtl w:val="0"/>
      <w:cs w:val="0"/>
      <w:lang w:val="x-none" w:eastAsia="sk-SK"/>
    </w:rPr>
  </w:style>
  <w:style w:type="character" w:styleId="Emphasis">
    <w:name w:val="Emphasis"/>
    <w:basedOn w:val="DefaultParagraphFont"/>
    <w:uiPriority w:val="20"/>
    <w:qFormat/>
    <w:rsid w:val="0082154D"/>
    <w:rPr>
      <w:rFonts w:ascii="Times New Roman" w:hAnsi="Times New Roman" w:cs="Times New Roman"/>
      <w:i/>
      <w:iCs/>
      <w:rtl w:val="0"/>
      <w:cs w:val="0"/>
    </w:rPr>
  </w:style>
  <w:style w:type="paragraph" w:customStyle="1" w:styleId="TxBrp9">
    <w:name w:val="TxBr_p9"/>
    <w:basedOn w:val="Normal"/>
    <w:rsid w:val="008549D2"/>
    <w:pPr>
      <w:widowControl w:val="0"/>
      <w:tabs>
        <w:tab w:val="left" w:pos="204"/>
      </w:tabs>
      <w:autoSpaceDE w:val="0"/>
      <w:autoSpaceDN w:val="0"/>
      <w:adjustRightInd w:val="0"/>
      <w:spacing w:line="240" w:lineRule="atLeast"/>
      <w:jc w:val="both"/>
    </w:pPr>
    <w:rPr>
      <w:sz w:val="20"/>
      <w:lang w:val="en-US"/>
    </w:rPr>
  </w:style>
  <w:style w:type="paragraph" w:customStyle="1" w:styleId="TxBrp1">
    <w:name w:val="TxBr_p1"/>
    <w:basedOn w:val="Normal"/>
    <w:rsid w:val="00A325D1"/>
    <w:pPr>
      <w:widowControl w:val="0"/>
      <w:tabs>
        <w:tab w:val="left" w:pos="1020"/>
      </w:tabs>
      <w:autoSpaceDE w:val="0"/>
      <w:autoSpaceDN w:val="0"/>
      <w:adjustRightInd w:val="0"/>
      <w:spacing w:line="240" w:lineRule="atLeast"/>
      <w:ind w:left="346"/>
      <w:jc w:val="both"/>
    </w:pPr>
    <w:rPr>
      <w:sz w:val="20"/>
      <w:lang w:val="en-US"/>
    </w:rPr>
  </w:style>
  <w:style w:type="character" w:customStyle="1" w:styleId="ppp-input-value1">
    <w:name w:val="ppp-input-value1"/>
    <w:uiPriority w:val="99"/>
    <w:rsid w:val="00C5317B"/>
    <w:rPr>
      <w:rFonts w:ascii="Tahoma" w:hAnsi="Tahoma" w:cs="Tahoma"/>
      <w:color w:val="837A73"/>
      <w:sz w:val="16"/>
    </w:rPr>
  </w:style>
  <w:style w:type="paragraph" w:styleId="BalloonText">
    <w:name w:val="Balloon Text"/>
    <w:basedOn w:val="Normal"/>
    <w:link w:val="TextbublinyChar"/>
    <w:uiPriority w:val="99"/>
    <w:semiHidden/>
    <w:unhideWhenUsed/>
    <w:rsid w:val="00B1565D"/>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B1565D"/>
    <w:rPr>
      <w:rFonts w:ascii="Tahoma" w:hAnsi="Tahoma" w:cs="Tahoma"/>
      <w:sz w:val="16"/>
      <w:szCs w:val="16"/>
      <w:rtl w:val="0"/>
      <w:cs w:val="0"/>
      <w:lang w:val="x-none" w:eastAsia="sk-SK"/>
    </w:rPr>
  </w:style>
  <w:style w:type="character" w:styleId="Strong">
    <w:name w:val="Strong"/>
    <w:basedOn w:val="DefaultParagraphFont"/>
    <w:uiPriority w:val="22"/>
    <w:qFormat/>
    <w:rsid w:val="000B36B5"/>
    <w:rPr>
      <w:rFonts w:cs="Times New Roman"/>
      <w:b/>
      <w:bCs/>
      <w:rtl w:val="0"/>
      <w:cs w:val="0"/>
    </w:rPr>
  </w:style>
  <w:style w:type="character" w:styleId="PlaceholderText">
    <w:name w:val="Placeholder Text"/>
    <w:basedOn w:val="DefaultParagraphFont"/>
    <w:uiPriority w:val="99"/>
    <w:semiHidden/>
    <w:rsid w:val="00A34E3C"/>
    <w:rPr>
      <w:rFonts w:ascii="Times New Roman" w:hAnsi="Times New Roman" w:cs="Times New Roman"/>
      <w:color w:val="808080"/>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2546E-C608-495E-8DCB-C230A66EE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141</TotalTime>
  <Pages>6</Pages>
  <Words>1849</Words>
  <Characters>10544</Characters>
  <Application>Microsoft Office Word</Application>
  <DocSecurity>0</DocSecurity>
  <Lines>0</Lines>
  <Paragraphs>0</Paragraphs>
  <ScaleCrop>false</ScaleCrop>
  <Company>Kancelaria NR SR</Company>
  <LinksUpToDate>false</LinksUpToDate>
  <CharactersWithSpaces>12369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lujzinka</dc:creator>
  <cp:lastModifiedBy>Okruhlicová, Martina, JUDr.</cp:lastModifiedBy>
  <cp:revision>141</cp:revision>
  <cp:lastPrinted>2014-11-20T10:57:00Z</cp:lastPrinted>
  <dcterms:created xsi:type="dcterms:W3CDTF">2014-03-25T09:40:00Z</dcterms:created>
  <dcterms:modified xsi:type="dcterms:W3CDTF">2014-11-21T09:46:00Z</dcterms:modified>
</cp:coreProperties>
</file>