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255451">
      <w:pPr>
        <w:bidi w:val="0"/>
        <w:ind w:firstLine="567"/>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2212B1">
        <w:rPr>
          <w:rFonts w:ascii="Arial" w:hAnsi="Arial" w:cs="Arial"/>
        </w:rPr>
        <w:t>31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EE46DB">
        <w:rPr>
          <w:rFonts w:ascii="Arial" w:hAnsi="Arial" w:cs="Arial"/>
          <w:color w:val="auto"/>
          <w:lang w:val="sk-SK"/>
        </w:rPr>
        <w:t>275</w:t>
      </w:r>
      <w:r w:rsidRPr="00F046BA" w:rsidR="00EA5DC2">
        <w:rPr>
          <w:rFonts w:ascii="Arial" w:hAnsi="Arial" w:cs="Arial"/>
          <w:iCs/>
          <w:color w:val="auto"/>
          <w:lang w:val="sk-SK"/>
        </w:rPr>
        <w:t>/201</w:t>
      </w:r>
      <w:r w:rsidR="008B0E59">
        <w:rPr>
          <w:rFonts w:ascii="Arial" w:hAnsi="Arial" w:cs="Arial"/>
          <w:iCs/>
          <w:color w:val="auto"/>
          <w:lang w:val="sk-SK"/>
        </w:rPr>
        <w:t>3</w:t>
      </w:r>
      <w:r w:rsidRPr="00F046BA" w:rsidR="00EA5DC2">
        <w:rPr>
          <w:rFonts w:ascii="Arial" w:hAnsi="Arial" w:cs="Arial"/>
          <w:iCs/>
          <w:color w:val="auto"/>
          <w:lang w:val="sk-SK"/>
        </w:rPr>
        <w:t xml:space="preserve"> - VHZ </w:t>
      </w:r>
    </w:p>
    <w:p w:rsidR="00EE46DB" w:rsidP="003F758D">
      <w:pPr>
        <w:pStyle w:val="BodyTextIndent"/>
        <w:bidi w:val="0"/>
        <w:rPr>
          <w:rFonts w:ascii="Arial" w:hAnsi="Arial" w:cs="Arial"/>
          <w:iCs/>
          <w:color w:val="auto"/>
          <w:lang w:val="sk-SK"/>
        </w:rPr>
      </w:pPr>
    </w:p>
    <w:p w:rsidR="00EE46DB" w:rsidP="003F758D">
      <w:pPr>
        <w:pStyle w:val="BodyTextIndent"/>
        <w:bidi w:val="0"/>
        <w:rPr>
          <w:rFonts w:ascii="Arial" w:hAnsi="Arial" w:cs="Arial"/>
          <w:iCs/>
          <w:color w:val="auto"/>
          <w:lang w:val="sk-SK"/>
        </w:rPr>
      </w:pPr>
    </w:p>
    <w:p w:rsidR="00EE46DB" w:rsidP="003F758D">
      <w:pPr>
        <w:pStyle w:val="BodyTextIndent"/>
        <w:bidi w:val="0"/>
        <w:rPr>
          <w:rFonts w:ascii="Arial" w:hAnsi="Arial" w:cs="Arial"/>
          <w:iCs/>
          <w:color w:val="auto"/>
          <w:lang w:val="sk-SK"/>
        </w:rPr>
      </w:pPr>
    </w:p>
    <w:p w:rsidR="00EA5DC2" w:rsidP="003F758D">
      <w:pPr>
        <w:bidi w:val="0"/>
        <w:jc w:val="center"/>
        <w:rPr>
          <w:rFonts w:ascii="Arial" w:hAnsi="Arial" w:cs="Arial"/>
          <w:b/>
          <w:sz w:val="32"/>
          <w:szCs w:val="28"/>
        </w:rPr>
      </w:pPr>
      <w:r w:rsidR="00E36805">
        <w:rPr>
          <w:rFonts w:ascii="Arial" w:hAnsi="Arial" w:cs="Arial"/>
          <w:b/>
          <w:sz w:val="32"/>
          <w:szCs w:val="28"/>
        </w:rPr>
        <w:t>132</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2212B1">
        <w:rPr>
          <w:rFonts w:ascii="Arial" w:hAnsi="Arial" w:cs="Arial"/>
        </w:rPr>
        <w:t>o 7</w:t>
      </w:r>
      <w:r w:rsidR="009B43AD">
        <w:rPr>
          <w:rFonts w:ascii="Arial" w:hAnsi="Arial" w:cs="Arial"/>
        </w:rPr>
        <w:t>.</w:t>
      </w:r>
      <w:r w:rsidRPr="00F046BA" w:rsidR="00EA5DC2">
        <w:rPr>
          <w:rFonts w:ascii="Arial" w:hAnsi="Arial" w:cs="Arial"/>
        </w:rPr>
        <w:t xml:space="preserve"> </w:t>
      </w:r>
      <w:r w:rsidR="002212B1">
        <w:rPr>
          <w:rFonts w:ascii="Arial" w:hAnsi="Arial" w:cs="Arial"/>
        </w:rPr>
        <w:t>mája</w:t>
      </w:r>
      <w:r w:rsidR="00444C9D">
        <w:rPr>
          <w:rFonts w:ascii="Arial" w:hAnsi="Arial" w:cs="Arial"/>
        </w:rPr>
        <w:t xml:space="preserve"> </w:t>
      </w:r>
      <w:r w:rsidRPr="00F046BA" w:rsidR="00EA5DC2">
        <w:rPr>
          <w:rFonts w:ascii="Arial" w:hAnsi="Arial" w:cs="Arial"/>
        </w:rPr>
        <w:t>201</w:t>
      </w:r>
      <w:r w:rsidR="0031566C">
        <w:rPr>
          <w:rFonts w:ascii="Arial" w:hAnsi="Arial" w:cs="Arial"/>
        </w:rPr>
        <w:t>3</w:t>
      </w:r>
    </w:p>
    <w:p w:rsidR="00C34355" w:rsidP="00C34355">
      <w:pPr>
        <w:bidi w:val="0"/>
        <w:jc w:val="center"/>
        <w:rPr>
          <w:rFonts w:ascii="Arial" w:hAnsi="Arial" w:cs="Arial"/>
        </w:rPr>
      </w:pPr>
    </w:p>
    <w:p w:rsidR="00EE46DB" w:rsidRPr="00F046BA" w:rsidP="00C34355">
      <w:pPr>
        <w:bidi w:val="0"/>
        <w:jc w:val="center"/>
        <w:rPr>
          <w:rFonts w:ascii="Arial" w:hAnsi="Arial" w:cs="Arial"/>
        </w:rPr>
      </w:pPr>
    </w:p>
    <w:p w:rsidR="005242C8" w:rsidRPr="00EE46DB"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w:t>
      </w:r>
      <w:r w:rsidRPr="00B73B73" w:rsidR="006D6597">
        <w:rPr>
          <w:rFonts w:ascii="Arial" w:hAnsi="Arial" w:cs="Arial"/>
          <w:color w:val="auto"/>
        </w:rPr>
        <w:t>dnemu</w:t>
      </w:r>
      <w:r w:rsidRPr="00B73B73" w:rsidR="006D6597">
        <w:rPr>
          <w:rFonts w:ascii="Arial" w:hAnsi="Arial" w:cs="Arial"/>
          <w:color w:val="auto"/>
          <w:szCs w:val="22"/>
        </w:rPr>
        <w:t xml:space="preserve"> </w:t>
      </w:r>
      <w:r w:rsidRPr="00E6126C" w:rsidR="006D6597">
        <w:rPr>
          <w:rFonts w:ascii="Arial" w:hAnsi="Arial" w:cs="Arial"/>
          <w:color w:val="auto"/>
          <w:szCs w:val="22"/>
        </w:rPr>
        <w:t xml:space="preserve">návrhu </w:t>
      </w:r>
      <w:r w:rsidRPr="00EE46DB" w:rsidR="00EE46DB">
        <w:rPr>
          <w:rFonts w:ascii="Arial" w:hAnsi="Arial" w:cs="Arial"/>
          <w:color w:val="auto"/>
        </w:rPr>
        <w:t>zákona, ktorým sa mení a dopĺňa zákon č. 78/2012 Z. z. o bezpečnosti hračiek a o zmene a doplnení zákona č. 128/2002 Z. z. o štátnej kontrole vnútorného trhu vo veciach ochrany spotrebiteľa a o zmene a doplnení niektorých zákonov v znení neskorších predpisov</w:t>
      </w:r>
      <w:r w:rsidRPr="00EE46DB" w:rsidR="00EE46DB">
        <w:rPr>
          <w:rFonts w:ascii="Arial" w:hAnsi="Arial" w:cs="Arial"/>
          <w:bCs/>
          <w:color w:val="auto"/>
        </w:rPr>
        <w:t xml:space="preserve"> </w:t>
      </w:r>
      <w:r w:rsidRPr="00EE46DB" w:rsidR="00EE46DB">
        <w:rPr>
          <w:rFonts w:ascii="Arial" w:hAnsi="Arial" w:cs="Arial"/>
          <w:color w:val="auto"/>
        </w:rPr>
        <w:t xml:space="preserve">(tlač </w:t>
      </w:r>
      <w:r w:rsidRPr="00EE46DB" w:rsidR="00EE46DB">
        <w:rPr>
          <w:rFonts w:ascii="Arial" w:hAnsi="Arial" w:cs="Arial"/>
          <w:b/>
          <w:color w:val="auto"/>
        </w:rPr>
        <w:t>385</w:t>
      </w:r>
      <w:r w:rsidRPr="00EE46DB" w:rsidR="00EE46DB">
        <w:rPr>
          <w:rFonts w:ascii="Arial" w:hAnsi="Arial" w:cs="Arial"/>
          <w:color w:val="auto"/>
        </w:rPr>
        <w:t>)</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CD3485" w:rsidP="00CD3485">
      <w:pPr>
        <w:pStyle w:val="BodyTextIndent2"/>
        <w:bidi w:val="0"/>
        <w:ind w:firstLine="360"/>
        <w:rPr>
          <w:rFonts w:ascii="Arial" w:hAnsi="Arial" w:cs="Arial"/>
          <w:b/>
          <w:color w:val="auto"/>
          <w:lang w:val="sk-SK"/>
        </w:rPr>
      </w:pPr>
      <w:r w:rsidRPr="0031566C" w:rsidR="005242C8">
        <w:rPr>
          <w:rFonts w:ascii="Arial" w:hAnsi="Arial" w:cs="Arial"/>
          <w:b/>
          <w:color w:val="auto"/>
          <w:lang w:val="sk-SK"/>
        </w:rPr>
        <w:t xml:space="preserve"> </w:t>
      </w:r>
    </w:p>
    <w:p w:rsidR="00EE46DB" w:rsidP="00EE46DB">
      <w:pPr>
        <w:pStyle w:val="BodyTextIndent2"/>
        <w:numPr>
          <w:numId w:val="43"/>
        </w:numPr>
        <w:bidi w:val="0"/>
        <w:rPr>
          <w:rFonts w:ascii="Arial" w:hAnsi="Arial" w:cs="Arial"/>
          <w:b/>
          <w:color w:val="auto"/>
          <w:lang w:val="sk-SK"/>
        </w:rPr>
      </w:pPr>
      <w:r w:rsidRPr="0031566C" w:rsidR="005242C8">
        <w:rPr>
          <w:rFonts w:ascii="Arial" w:hAnsi="Arial" w:cs="Arial"/>
          <w:b/>
          <w:color w:val="auto"/>
          <w:lang w:val="sk-SK"/>
        </w:rPr>
        <w:t>s ú h l a s</w:t>
      </w:r>
      <w:r w:rsidR="00CD3485">
        <w:rPr>
          <w:rFonts w:ascii="Arial" w:hAnsi="Arial" w:cs="Arial"/>
          <w:b/>
          <w:color w:val="auto"/>
          <w:lang w:val="sk-SK"/>
        </w:rPr>
        <w:t> </w:t>
      </w:r>
      <w:r w:rsidRPr="0031566C" w:rsidR="005242C8">
        <w:rPr>
          <w:rFonts w:ascii="Arial" w:hAnsi="Arial" w:cs="Arial"/>
          <w:b/>
          <w:color w:val="auto"/>
          <w:lang w:val="sk-SK"/>
        </w:rPr>
        <w:t>í</w:t>
      </w:r>
      <w:r w:rsidR="00CD3485">
        <w:rPr>
          <w:rFonts w:ascii="Arial" w:hAnsi="Arial" w:cs="Arial"/>
          <w:b/>
          <w:color w:val="auto"/>
          <w:lang w:val="sk-SK"/>
        </w:rPr>
        <w:t xml:space="preserve"> </w:t>
      </w:r>
    </w:p>
    <w:p w:rsidR="00EE46DB" w:rsidP="00CD3485">
      <w:pPr>
        <w:pStyle w:val="BodyTextIndent2"/>
        <w:bidi w:val="0"/>
        <w:ind w:firstLine="360"/>
        <w:rPr>
          <w:rFonts w:ascii="Arial" w:hAnsi="Arial" w:cs="Arial"/>
          <w:b/>
          <w:color w:val="auto"/>
          <w:lang w:val="sk-SK"/>
        </w:rPr>
      </w:pPr>
    </w:p>
    <w:p w:rsidR="005242C8" w:rsidRPr="00F046BA" w:rsidP="00CD3485">
      <w:pPr>
        <w:pStyle w:val="BodyTextIndent2"/>
        <w:bidi w:val="0"/>
        <w:ind w:firstLine="360"/>
        <w:rPr>
          <w:rFonts w:ascii="Arial" w:hAnsi="Arial" w:cs="Arial"/>
          <w:color w:val="auto"/>
          <w:u w:val="single"/>
          <w:lang w:val="sk-SK"/>
        </w:rPr>
      </w:pPr>
      <w:r w:rsidRPr="00F046BA">
        <w:rPr>
          <w:rFonts w:ascii="Arial" w:hAnsi="Arial" w:cs="Arial"/>
          <w:color w:val="auto"/>
          <w:lang w:val="sk-SK"/>
        </w:rPr>
        <w:t>s</w:t>
      </w:r>
      <w:r w:rsidR="00F046BA">
        <w:rPr>
          <w:rFonts w:ascii="Arial" w:hAnsi="Arial" w:cs="Arial"/>
          <w:color w:val="auto"/>
          <w:lang w:val="sk-SK"/>
        </w:rPr>
        <w:t xml:space="preserve"> vl</w:t>
      </w:r>
      <w:r w:rsidRPr="00B73B73" w:rsidR="00F046BA">
        <w:rPr>
          <w:rFonts w:ascii="Arial" w:hAnsi="Arial" w:cs="Arial"/>
          <w:color w:val="auto"/>
          <w:lang w:val="sk-SK"/>
        </w:rPr>
        <w:t>ádnym</w:t>
      </w:r>
      <w:r w:rsidRPr="00B73B73" w:rsidR="00A96D39">
        <w:rPr>
          <w:rFonts w:ascii="Arial" w:hAnsi="Arial" w:cs="Arial"/>
          <w:color w:val="auto"/>
          <w:lang w:val="sk-SK"/>
        </w:rPr>
        <w:t> </w:t>
      </w:r>
      <w:r w:rsidRPr="00B73B73" w:rsidR="00171B83">
        <w:rPr>
          <w:rFonts w:ascii="Arial" w:hAnsi="Arial" w:cs="Arial"/>
          <w:color w:val="auto"/>
          <w:lang w:val="sk-SK"/>
        </w:rPr>
        <w:t xml:space="preserve">návrhom </w:t>
      </w:r>
      <w:r w:rsidRPr="00EE46DB" w:rsidR="00EE46DB">
        <w:rPr>
          <w:rFonts w:ascii="Arial" w:hAnsi="Arial" w:cs="Arial"/>
          <w:color w:val="auto"/>
        </w:rPr>
        <w:t>zákona, ktorým sa mení a dopĺňa zákon č. 78/2012 Z. z. o bezpečnosti hračiek a o zmene a doplnení zákona č. 128/2002 Z. z. o štátnej kontrole vnútorného trhu vo veciach ochrany spotrebiteľa a o zmene a doplnení niektorých zákonov v znení neskorších predpisov</w:t>
      </w:r>
      <w:r w:rsidRPr="00EE46DB" w:rsidR="00EE46DB">
        <w:rPr>
          <w:rFonts w:ascii="Arial" w:hAnsi="Arial" w:cs="Arial"/>
          <w:bCs/>
          <w:color w:val="auto"/>
        </w:rPr>
        <w:t xml:space="preserve"> </w:t>
      </w:r>
      <w:r w:rsidRPr="00EE46DB" w:rsidR="00EE46DB">
        <w:rPr>
          <w:rFonts w:ascii="Arial" w:hAnsi="Arial" w:cs="Arial"/>
          <w:color w:val="auto"/>
        </w:rPr>
        <w:t xml:space="preserve">(tlač </w:t>
      </w:r>
      <w:r w:rsidRPr="00EE46DB" w:rsidR="00EE46DB">
        <w:rPr>
          <w:rFonts w:ascii="Arial" w:hAnsi="Arial" w:cs="Arial"/>
          <w:b/>
          <w:color w:val="auto"/>
        </w:rPr>
        <w:t>385</w:t>
      </w:r>
      <w:r w:rsidRPr="00EE46DB" w:rsidR="00EE46DB">
        <w:rPr>
          <w:rFonts w:ascii="Arial" w:hAnsi="Arial" w:cs="Arial"/>
          <w:color w:val="auto"/>
        </w:rPr>
        <w:t>)</w:t>
      </w:r>
      <w:r w:rsidRPr="00444C9D">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EE46DB" w:rsidRPr="00EE46DB" w:rsidP="00EE46DB">
      <w:pPr>
        <w:bidi w:val="0"/>
        <w:rPr>
          <w:rFonts w:ascii="Times New Roman" w:hAnsi="Times New Roman"/>
        </w:rPr>
      </w:pPr>
    </w:p>
    <w:p w:rsidR="005242C8" w:rsidRPr="00F046BA" w:rsidP="003F758D">
      <w:pPr>
        <w:pStyle w:val="BodyTextIndent2"/>
        <w:bidi w:val="0"/>
        <w:ind w:firstLine="360"/>
        <w:rPr>
          <w:rFonts w:ascii="Arial" w:hAnsi="Arial" w:cs="Arial"/>
          <w:color w:val="auto"/>
          <w:lang w:val="sk-SK"/>
        </w:rPr>
      </w:pPr>
      <w:r w:rsidRPr="00F046BA">
        <w:rPr>
          <w:rFonts w:ascii="Arial" w:hAnsi="Arial" w:cs="Arial"/>
          <w:color w:val="auto"/>
          <w:lang w:val="sk-SK"/>
        </w:rPr>
        <w:t xml:space="preserve">     </w:t>
      </w:r>
      <w:r w:rsidR="00F046BA">
        <w:rPr>
          <w:rFonts w:ascii="Arial" w:hAnsi="Arial" w:cs="Arial"/>
          <w:color w:val="auto"/>
          <w:lang w:val="sk-SK"/>
        </w:rPr>
        <w:t>vlád</w:t>
      </w:r>
      <w:r w:rsidRPr="00B73B73" w:rsidR="00F046BA">
        <w:rPr>
          <w:rFonts w:ascii="Arial" w:hAnsi="Arial" w:cs="Arial"/>
          <w:color w:val="auto"/>
          <w:lang w:val="sk-SK"/>
        </w:rPr>
        <w:t xml:space="preserve">ny </w:t>
      </w:r>
      <w:r w:rsidRPr="00B73B73" w:rsidR="00154657">
        <w:rPr>
          <w:rFonts w:ascii="Arial" w:hAnsi="Arial" w:cs="Arial"/>
          <w:color w:val="auto"/>
          <w:lang w:val="sk-SK"/>
        </w:rPr>
        <w:t xml:space="preserve">návrh </w:t>
      </w:r>
      <w:r w:rsidRPr="00E6126C" w:rsidR="00E6126C">
        <w:rPr>
          <w:rFonts w:ascii="Arial" w:hAnsi="Arial" w:cs="Arial"/>
          <w:color w:val="auto"/>
          <w:szCs w:val="22"/>
        </w:rPr>
        <w:t xml:space="preserve"> </w:t>
      </w:r>
      <w:r w:rsidRPr="00EE46DB" w:rsidR="00EE46DB">
        <w:rPr>
          <w:rFonts w:ascii="Arial" w:hAnsi="Arial" w:cs="Arial"/>
          <w:color w:val="auto"/>
        </w:rPr>
        <w:t>zákona, ktorým sa mení a dopĺňa zákon č. 78/2012 Z. z. o bezpečnosti hračiek a o zmene a doplnení zákona č. 128/2002 Z. z. o štátnej kontrole vnútorného trhu vo veciach ochrany spotrebiteľa a o zmene a doplnení niektorých zákonov v znení neskorších predpisov</w:t>
      </w:r>
      <w:r w:rsidRPr="00EE46DB" w:rsidR="00EE46DB">
        <w:rPr>
          <w:rFonts w:ascii="Arial" w:hAnsi="Arial" w:cs="Arial"/>
          <w:bCs/>
          <w:color w:val="auto"/>
        </w:rPr>
        <w:t xml:space="preserve"> </w:t>
      </w:r>
      <w:r w:rsidRPr="00EE46DB" w:rsidR="00EE46DB">
        <w:rPr>
          <w:rFonts w:ascii="Arial" w:hAnsi="Arial" w:cs="Arial"/>
          <w:color w:val="auto"/>
        </w:rPr>
        <w:t xml:space="preserve">(tlač </w:t>
      </w:r>
      <w:r w:rsidRPr="00EE46DB" w:rsidR="00EE46DB">
        <w:rPr>
          <w:rFonts w:ascii="Arial" w:hAnsi="Arial" w:cs="Arial"/>
          <w:b/>
          <w:color w:val="auto"/>
        </w:rPr>
        <w:t>385</w:t>
      </w:r>
      <w:r w:rsidRPr="00EE46DB" w:rsidR="00EE46DB">
        <w:rPr>
          <w:rFonts w:ascii="Arial" w:hAnsi="Arial" w:cs="Arial"/>
          <w:color w:val="auto"/>
        </w:rPr>
        <w:t>)</w:t>
      </w:r>
      <w:r w:rsidR="002212B1">
        <w:rPr>
          <w:rFonts w:ascii="Arial" w:hAnsi="Arial" w:cs="Arial"/>
          <w:b/>
          <w:color w:val="auto"/>
          <w:szCs w:val="22"/>
        </w:rPr>
        <w:t xml:space="preserve"> </w:t>
      </w:r>
      <w:r w:rsidRPr="00D9311A" w:rsidR="00AB2A6A">
        <w:rPr>
          <w:rFonts w:ascii="Arial" w:hAnsi="Arial" w:cs="Arial"/>
          <w:color w:val="auto"/>
          <w:lang w:val="sk-SK"/>
        </w:rPr>
        <w:t>s</w:t>
      </w:r>
      <w:r w:rsidRPr="00D9311A" w:rsidR="00AB2A6A">
        <w:rPr>
          <w:rFonts w:ascii="Arial" w:hAnsi="Arial" w:cs="Arial"/>
          <w:bCs/>
          <w:color w:val="auto"/>
          <w:lang w:val="sk-SK"/>
        </w:rPr>
        <w:t>chváliť</w:t>
      </w:r>
      <w:r w:rsidR="00AB2A6A">
        <w:rPr>
          <w:rFonts w:ascii="Arial" w:hAnsi="Arial" w:cs="Arial"/>
          <w:bCs/>
          <w:color w:val="auto"/>
          <w:lang w:val="sk-SK"/>
        </w:rPr>
        <w:t xml:space="preserve"> s pozmeňujúcimi a doplňujúcimi návrhmi uvedenými v prílohe</w:t>
      </w:r>
      <w:r w:rsidRPr="00F046BA">
        <w:rPr>
          <w:rFonts w:ascii="Arial" w:hAnsi="Arial" w:cs="Arial"/>
          <w:bCs/>
          <w:color w:val="auto"/>
          <w:lang w:val="sk-SK"/>
        </w:rPr>
        <w:t xml:space="preserve">; </w:t>
      </w:r>
    </w:p>
    <w:p w:rsidR="005242C8" w:rsidP="003F758D">
      <w:pPr>
        <w:bidi w:val="0"/>
        <w:ind w:firstLine="360"/>
        <w:jc w:val="both"/>
        <w:rPr>
          <w:rFonts w:ascii="Arial" w:hAnsi="Arial" w:cs="Arial"/>
        </w:rPr>
      </w:pPr>
    </w:p>
    <w:p w:rsidR="005242C8"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EE46DB" w:rsidRPr="00EE46DB" w:rsidP="00EE46DB">
      <w:pPr>
        <w:bidi w:val="0"/>
        <w:rPr>
          <w:rFonts w:ascii="Times New Roman" w:hAnsi="Times New Roman"/>
        </w:rPr>
      </w:pPr>
    </w:p>
    <w:p w:rsidR="005242C8"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002212B1">
        <w:rPr>
          <w:rFonts w:ascii="Arial" w:hAnsi="Arial" w:cs="Arial"/>
        </w:rPr>
        <w:t>7</w:t>
      </w:r>
      <w:r w:rsidRPr="001458F5" w:rsidR="00C62C12">
        <w:rPr>
          <w:rFonts w:ascii="Arial" w:hAnsi="Arial" w:cs="Arial"/>
        </w:rPr>
        <w:t>.</w:t>
      </w:r>
      <w:r w:rsidRPr="001458F5">
        <w:rPr>
          <w:rFonts w:ascii="Arial" w:hAnsi="Arial" w:cs="Arial"/>
        </w:rPr>
        <w:t xml:space="preserve"> </w:t>
      </w:r>
      <w:r w:rsidR="002212B1">
        <w:rPr>
          <w:rFonts w:ascii="Arial" w:hAnsi="Arial" w:cs="Arial"/>
        </w:rPr>
        <w:t>mája</w:t>
      </w:r>
      <w:r w:rsidRPr="001458F5" w:rsidR="009B349B">
        <w:rPr>
          <w:rFonts w:ascii="Arial" w:hAnsi="Arial" w:cs="Arial"/>
        </w:rPr>
        <w:t xml:space="preserve"> </w:t>
      </w:r>
      <w:r w:rsidRPr="001458F5" w:rsidR="004B21BB">
        <w:rPr>
          <w:rFonts w:ascii="Arial" w:hAnsi="Arial" w:cs="Arial"/>
        </w:rPr>
        <w:t xml:space="preserve"> 201</w:t>
      </w:r>
      <w:r w:rsidRPr="001458F5" w:rsidR="0031566C">
        <w:rPr>
          <w:rFonts w:ascii="Arial" w:hAnsi="Arial" w:cs="Arial"/>
        </w:rPr>
        <w:t>3</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EE46DB" w:rsidP="00EE46DB">
      <w:pPr>
        <w:bidi w:val="0"/>
        <w:ind w:left="720"/>
        <w:jc w:val="both"/>
        <w:rPr>
          <w:rFonts w:ascii="Arial" w:hAnsi="Arial" w:cs="Arial"/>
        </w:rPr>
      </w:pPr>
    </w:p>
    <w:p w:rsidR="00EE46DB" w:rsidP="00EE46DB">
      <w:pPr>
        <w:bidi w:val="0"/>
        <w:ind w:left="720"/>
        <w:jc w:val="both"/>
        <w:rPr>
          <w:rFonts w:ascii="Arial" w:hAnsi="Arial" w:cs="Arial"/>
        </w:rPr>
      </w:pPr>
    </w:p>
    <w:p w:rsidR="00EE46DB" w:rsidP="00EE46DB">
      <w:pPr>
        <w:bidi w:val="0"/>
        <w:ind w:left="720"/>
        <w:jc w:val="both"/>
        <w:rPr>
          <w:rFonts w:ascii="Arial" w:hAnsi="Arial" w:cs="Arial"/>
        </w:rPr>
      </w:pP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002212B1">
        <w:rPr>
          <w:rFonts w:ascii="Arial" w:hAnsi="Arial" w:cs="Arial"/>
          <w:bCs/>
        </w:rPr>
        <w:t>L</w:t>
      </w:r>
      <w:r w:rsidR="00977DD0">
        <w:rPr>
          <w:rFonts w:ascii="Arial" w:hAnsi="Arial" w:cs="Arial"/>
          <w:bCs/>
        </w:rPr>
        <w:t xml:space="preserve">. </w:t>
      </w:r>
      <w:r w:rsidR="002212B1">
        <w:rPr>
          <w:rFonts w:ascii="Arial" w:hAnsi="Arial" w:cs="Arial"/>
          <w:b/>
          <w:bCs/>
        </w:rPr>
        <w:t>Grečkovú</w:t>
      </w:r>
      <w:r w:rsidR="00977DD0">
        <w:rPr>
          <w:rFonts w:ascii="Arial" w:hAnsi="Arial" w:cs="Arial"/>
          <w:b/>
          <w:bCs/>
        </w:rPr>
        <w:t xml:space="preserve"> </w:t>
      </w:r>
      <w:r w:rsidR="00EE46DB">
        <w:rPr>
          <w:rFonts w:ascii="Arial" w:hAnsi="Arial" w:cs="Arial"/>
          <w:b/>
          <w:bCs/>
        </w:rPr>
        <w:t>(</w:t>
      </w:r>
      <w:r w:rsidR="00EE46DB">
        <w:rPr>
          <w:rFonts w:ascii="Arial" w:hAnsi="Arial" w:cs="Arial"/>
          <w:bCs/>
        </w:rPr>
        <w:t xml:space="preserve">M. </w:t>
      </w:r>
      <w:r w:rsidR="00EE46DB">
        <w:rPr>
          <w:rFonts w:ascii="Arial" w:hAnsi="Arial" w:cs="Arial"/>
          <w:b/>
          <w:bCs/>
        </w:rPr>
        <w:t>Kondróta</w:t>
      </w:r>
      <w:r w:rsidRPr="00F046BA" w:rsidR="00EE46DB">
        <w:rPr>
          <w:rFonts w:ascii="Arial" w:hAnsi="Arial" w:cs="Arial"/>
          <w:bCs/>
        </w:rPr>
        <w:t xml:space="preserve"> </w:t>
      </w:r>
      <w:r w:rsidRPr="00F046BA" w:rsidR="00EA5DC2">
        <w:rPr>
          <w:rFonts w:ascii="Arial" w:hAnsi="Arial" w:cs="Arial"/>
          <w:bCs/>
        </w:rPr>
        <w:t xml:space="preserve">/ </w:t>
      </w:r>
      <w:r w:rsidR="00EE46DB">
        <w:rPr>
          <w:rFonts w:ascii="Arial" w:hAnsi="Arial" w:cs="Arial"/>
          <w:bCs/>
        </w:rPr>
        <w:t>J</w:t>
      </w:r>
      <w:r w:rsidRPr="00F046BA" w:rsidR="00D51767">
        <w:rPr>
          <w:rFonts w:ascii="Arial" w:hAnsi="Arial" w:cs="Arial"/>
          <w:bCs/>
        </w:rPr>
        <w:t>.</w:t>
      </w:r>
      <w:r w:rsidR="008B0E59">
        <w:rPr>
          <w:rFonts w:ascii="Arial" w:hAnsi="Arial" w:cs="Arial"/>
          <w:bCs/>
        </w:rPr>
        <w:t xml:space="preserve"> </w:t>
      </w:r>
      <w:r w:rsidR="00EE46DB">
        <w:rPr>
          <w:rFonts w:ascii="Arial" w:hAnsi="Arial" w:cs="Arial"/>
          <w:b/>
          <w:bCs/>
        </w:rPr>
        <w:t>Mikuša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4040AB"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2212B1"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EA5DC2" w:rsidRPr="00F046BA" w:rsidP="00911B3A">
      <w:pPr>
        <w:bidi w:val="0"/>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bidi w:val="0"/>
        <w:jc w:val="both"/>
        <w:rPr>
          <w:rFonts w:ascii="Arial" w:hAnsi="Arial" w:cs="Arial"/>
          <w:b/>
          <w:bCs/>
        </w:rPr>
      </w:pPr>
      <w:r w:rsidR="0031566C">
        <w:rPr>
          <w:rFonts w:ascii="Arial" w:hAnsi="Arial" w:cs="Arial"/>
        </w:rPr>
        <w:t>Alojz</w:t>
      </w:r>
      <w:r w:rsidRPr="00F046BA" w:rsidR="00EA5DC2">
        <w:rPr>
          <w:rFonts w:ascii="Arial" w:hAnsi="Arial" w:cs="Arial"/>
        </w:rPr>
        <w:t xml:space="preserve">  </w:t>
      </w:r>
      <w:r w:rsidR="0031566C">
        <w:rPr>
          <w:rFonts w:ascii="Arial" w:hAnsi="Arial" w:cs="Arial"/>
          <w:b/>
          <w:bCs/>
        </w:rPr>
        <w:t>P ř i d a</w:t>
      </w:r>
      <w:r w:rsidR="00EE46DB">
        <w:rPr>
          <w:rFonts w:ascii="Arial" w:hAnsi="Arial" w:cs="Arial"/>
          <w:b/>
          <w:bCs/>
        </w:rPr>
        <w:t> </w:t>
      </w:r>
      <w:r w:rsidR="0031566C">
        <w:rPr>
          <w:rFonts w:ascii="Arial" w:hAnsi="Arial" w:cs="Arial"/>
          <w:b/>
          <w:bCs/>
        </w:rPr>
        <w:t>l</w:t>
      </w: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EE46DB" w:rsidP="003F758D">
      <w:pPr>
        <w:bidi w:val="0"/>
        <w:jc w:val="both"/>
        <w:rPr>
          <w:rFonts w:ascii="Arial" w:hAnsi="Arial" w:cs="Arial"/>
          <w:b/>
          <w:bCs/>
        </w:rPr>
      </w:pP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sidR="002212B1">
        <w:rPr>
          <w:rFonts w:ascii="Arial" w:hAnsi="Arial" w:cs="Arial"/>
        </w:rPr>
        <w:t>31</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sidR="005F5E74">
        <w:rPr>
          <w:rFonts w:ascii="Arial" w:hAnsi="Arial" w:cs="Arial"/>
          <w:bCs/>
        </w:rPr>
        <w:t>132</w:t>
      </w:r>
    </w:p>
    <w:p w:rsidR="00613099" w:rsidRPr="00F046BA" w:rsidP="00613099">
      <w:pPr>
        <w:pStyle w:val="BodyTextIndent"/>
        <w:bidi w:val="0"/>
        <w:rPr>
          <w:rFonts w:ascii="Arial" w:hAnsi="Arial" w:cs="Arial"/>
          <w:color w:val="auto"/>
          <w:lang w:val="sk-SK"/>
        </w:rPr>
      </w:pPr>
      <w:r w:rsidRPr="00F046BA">
        <w:rPr>
          <w:rFonts w:ascii="Arial" w:hAnsi="Arial" w:cs="Arial"/>
          <w:iCs/>
          <w:color w:val="auto"/>
          <w:lang w:val="sk-SK"/>
        </w:rPr>
        <w:t xml:space="preserve">  </w:t>
      </w: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p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 xml:space="preserve">k vládnemu návrhu </w:t>
      </w:r>
      <w:r w:rsidRPr="00EE46DB" w:rsidR="00EE46DB">
        <w:rPr>
          <w:rFonts w:ascii="Arial" w:hAnsi="Arial" w:cs="Arial"/>
        </w:rPr>
        <w:t>zákona, ktorým sa mení a dopĺňa zákon č. 78/2012 Z. z. o bezpečnosti hračiek a o zmene a doplnení zákona č. 128/2002 Z. z. o štátnej kontrole vnútorného trhu vo veciach ochrany spotrebiteľa a o zmene a doplnení niektorých zákonov v znení neskorších predpisov</w:t>
      </w:r>
      <w:r w:rsidRPr="00EE46DB" w:rsidR="00EE46DB">
        <w:rPr>
          <w:rFonts w:ascii="Arial" w:hAnsi="Arial" w:cs="Arial"/>
          <w:bCs/>
        </w:rPr>
        <w:t xml:space="preserve"> </w:t>
      </w:r>
      <w:r w:rsidRPr="00EE46DB" w:rsidR="00EE46DB">
        <w:rPr>
          <w:rFonts w:ascii="Arial" w:hAnsi="Arial" w:cs="Arial"/>
        </w:rPr>
        <w:t xml:space="preserve">(tlač </w:t>
      </w:r>
      <w:r w:rsidRPr="00EE46DB" w:rsidR="00EE46DB">
        <w:rPr>
          <w:rFonts w:ascii="Arial" w:hAnsi="Arial" w:cs="Arial"/>
          <w:b/>
        </w:rPr>
        <w:t>385</w:t>
      </w:r>
      <w:r w:rsidRPr="00EE46DB" w:rsidR="00EE46DB">
        <w:rPr>
          <w:rFonts w:ascii="Arial" w:hAnsi="Arial" w:cs="Arial"/>
        </w:rPr>
        <w:t>)</w:t>
      </w:r>
    </w:p>
    <w:p w:rsidR="00613099" w:rsidP="003F758D">
      <w:pPr>
        <w:bidi w:val="0"/>
        <w:jc w:val="both"/>
        <w:rPr>
          <w:rFonts w:ascii="Arial" w:hAnsi="Arial" w:cs="Arial"/>
          <w:b/>
          <w:bCs/>
        </w:rPr>
      </w:pPr>
    </w:p>
    <w:p w:rsidR="003E64FC" w:rsidRPr="003E64FC" w:rsidP="001C6FBA">
      <w:pPr>
        <w:pStyle w:val="ListParagraph"/>
        <w:bidi w:val="0"/>
        <w:ind w:left="0"/>
        <w:jc w:val="both"/>
        <w:rPr>
          <w:rFonts w:ascii="Arial" w:hAnsi="Arial" w:cs="Arial"/>
        </w:rPr>
      </w:pPr>
      <w:r w:rsidR="00A53E86">
        <w:rPr>
          <w:rFonts w:ascii="Calibri" w:hAnsi="Calibri"/>
          <w:b/>
          <w:sz w:val="22"/>
          <w:szCs w:val="22"/>
        </w:rPr>
        <w:t xml:space="preserve">  </w:t>
      </w:r>
    </w:p>
    <w:p w:rsidR="001C6FBA" w:rsidRPr="001C6FBA" w:rsidP="00B36DCA">
      <w:pPr>
        <w:pStyle w:val="ListParagraph"/>
        <w:numPr>
          <w:numId w:val="48"/>
        </w:numPr>
        <w:tabs>
          <w:tab w:val="left" w:pos="0"/>
        </w:tabs>
        <w:bidi w:val="0"/>
        <w:jc w:val="both"/>
        <w:rPr>
          <w:rFonts w:ascii="Arial" w:hAnsi="Arial" w:cs="Arial"/>
          <w:u w:val="single"/>
        </w:rPr>
      </w:pPr>
      <w:r w:rsidRPr="001C6FBA">
        <w:rPr>
          <w:rFonts w:ascii="Arial" w:hAnsi="Arial" w:cs="Arial"/>
          <w:u w:val="single"/>
        </w:rPr>
        <w:t>V čl. I sa doterajší 2. bod  vypúšťa.</w:t>
      </w:r>
    </w:p>
    <w:p w:rsidR="001C6FBA" w:rsidP="00B36DCA">
      <w:pPr>
        <w:pStyle w:val="ListParagraph"/>
        <w:bidi w:val="0"/>
        <w:ind w:left="426"/>
        <w:jc w:val="both"/>
        <w:rPr>
          <w:rFonts w:ascii="Arial" w:hAnsi="Arial" w:cs="Arial"/>
        </w:rPr>
      </w:pPr>
      <w:r>
        <w:rPr>
          <w:rFonts w:ascii="Arial" w:hAnsi="Arial" w:cs="Arial"/>
        </w:rPr>
        <w:t>Doterajšie body sa primerane prečíslujú.</w:t>
      </w:r>
    </w:p>
    <w:p w:rsidR="001C6FBA" w:rsidP="001C6FBA">
      <w:pPr>
        <w:pStyle w:val="ListParagraph"/>
        <w:tabs>
          <w:tab w:val="left" w:pos="5245"/>
        </w:tabs>
        <w:bidi w:val="0"/>
        <w:jc w:val="both"/>
        <w:rPr>
          <w:rFonts w:ascii="Arial" w:hAnsi="Arial" w:cs="Arial"/>
          <w:u w:val="single"/>
        </w:rPr>
      </w:pPr>
    </w:p>
    <w:p w:rsidR="001C6FBA" w:rsidP="001C6FBA">
      <w:pPr>
        <w:pStyle w:val="ListParagraph"/>
        <w:bidi w:val="0"/>
        <w:ind w:left="2268"/>
        <w:jc w:val="both"/>
        <w:rPr>
          <w:rFonts w:ascii="Arial" w:hAnsi="Arial" w:cs="Arial"/>
        </w:rPr>
      </w:pPr>
      <w:r>
        <w:rPr>
          <w:rFonts w:ascii="Arial" w:hAnsi="Arial" w:cs="Arial"/>
        </w:rPr>
        <w:t>Navrhuje sa vypustenie novelizačného bodu v súvislosti so spoločným splnomocňovacím ustanovením, ktoré je navrhnuté v jedenástom bode tohto doplňujúceho návrhu. Ide o legislatívno-technickú úpravu.</w:t>
      </w:r>
    </w:p>
    <w:p w:rsidR="001C6FBA" w:rsidP="001C6FBA">
      <w:pPr>
        <w:pStyle w:val="ListParagraph"/>
        <w:bidi w:val="0"/>
        <w:ind w:left="2268"/>
        <w:jc w:val="both"/>
        <w:rPr>
          <w:rFonts w:ascii="Arial" w:hAnsi="Arial" w:cs="Arial"/>
        </w:rPr>
      </w:pPr>
    </w:p>
    <w:p w:rsidR="001C6FBA" w:rsidRPr="001C6FBA" w:rsidP="00B36DCA">
      <w:pPr>
        <w:pStyle w:val="ListParagraph"/>
        <w:numPr>
          <w:numId w:val="48"/>
        </w:numPr>
        <w:bidi w:val="0"/>
        <w:spacing w:line="276" w:lineRule="auto"/>
        <w:jc w:val="both"/>
        <w:rPr>
          <w:rFonts w:ascii="Arial" w:hAnsi="Arial" w:cs="Arial"/>
          <w:u w:val="single"/>
        </w:rPr>
      </w:pPr>
      <w:r>
        <w:rPr>
          <w:rFonts w:ascii="Arial" w:hAnsi="Arial" w:cs="Arial"/>
          <w:u w:val="single"/>
        </w:rPr>
        <w:t>V čl. I d</w:t>
      </w:r>
      <w:r w:rsidRPr="001C6FBA">
        <w:rPr>
          <w:rFonts w:ascii="Arial" w:hAnsi="Arial" w:cs="Arial"/>
          <w:u w:val="single"/>
        </w:rPr>
        <w:t>oterajší 9. bod znie:</w:t>
      </w:r>
    </w:p>
    <w:p w:rsidR="001C6FBA" w:rsidP="001C6FBA">
      <w:pPr>
        <w:pStyle w:val="ListParagraph"/>
        <w:bidi w:val="0"/>
        <w:ind w:left="426"/>
        <w:jc w:val="both"/>
        <w:rPr>
          <w:rFonts w:ascii="Arial" w:hAnsi="Arial" w:cs="Arial"/>
        </w:rPr>
      </w:pPr>
      <w:r>
        <w:rPr>
          <w:rFonts w:ascii="Arial" w:hAnsi="Arial" w:cs="Arial"/>
        </w:rPr>
        <w:t>„9. V § 10 ods. 1 druhá veta znie:</w:t>
      </w:r>
    </w:p>
    <w:p w:rsidR="001C6FBA" w:rsidP="001C6FBA">
      <w:pPr>
        <w:pStyle w:val="ListParagraph"/>
        <w:bidi w:val="0"/>
        <w:ind w:left="426"/>
        <w:jc w:val="both"/>
        <w:rPr>
          <w:rFonts w:ascii="Arial" w:hAnsi="Arial" w:cs="Arial"/>
        </w:rPr>
      </w:pPr>
      <w:r>
        <w:rPr>
          <w:rFonts w:ascii="Arial" w:hAnsi="Arial" w:cs="Arial"/>
        </w:rPr>
        <w:t>„Upozornenia, ktoré majú vplyv na rozhodovanie spotrebiteľa o kúpe hračky, upozornenia podľa odseku 3 a osobitné upozornenia podľa všeobecne záväzného právneho predpisu, ktorý vydá Ministerstvo hospodárstva Slovenskej republiky (ďalej len „ministerstvo“), je výrobca povinný uviesť na spotrebiteľskom obale alebo iným spôsobom tak, aby boli pre spotrebiteľa viditeľné pred kúpou hračky.“.</w:t>
      </w:r>
    </w:p>
    <w:p w:rsidR="001C6FBA" w:rsidP="001C6FBA">
      <w:pPr>
        <w:bidi w:val="0"/>
        <w:ind w:left="709"/>
        <w:jc w:val="both"/>
        <w:rPr>
          <w:rFonts w:ascii="Arial" w:hAnsi="Arial" w:cs="Arial"/>
          <w:u w:val="single"/>
        </w:rPr>
      </w:pPr>
    </w:p>
    <w:p w:rsidR="001C6FBA" w:rsidP="001C6FBA">
      <w:pPr>
        <w:pStyle w:val="ListParagraph"/>
        <w:bidi w:val="0"/>
        <w:ind w:left="2268"/>
        <w:jc w:val="both"/>
        <w:rPr>
          <w:rFonts w:ascii="Arial" w:hAnsi="Arial" w:cs="Arial"/>
        </w:rPr>
      </w:pPr>
      <w:r>
        <w:rPr>
          <w:rFonts w:ascii="Arial" w:hAnsi="Arial" w:cs="Arial"/>
        </w:rPr>
        <w:t>Ide o sprehľadnenie textu, zároveň o jeho zosúladenie s čl. 11 ods. 2 smernice.</w:t>
      </w:r>
    </w:p>
    <w:p w:rsidR="001C6FBA" w:rsidP="001C6FBA">
      <w:pPr>
        <w:pStyle w:val="ListParagraph"/>
        <w:bidi w:val="0"/>
        <w:ind w:left="2268"/>
        <w:jc w:val="both"/>
        <w:rPr>
          <w:rFonts w:ascii="Arial" w:hAnsi="Arial" w:cs="Arial"/>
        </w:rPr>
      </w:pPr>
    </w:p>
    <w:p w:rsidR="001C6FBA" w:rsidRPr="007D644E" w:rsidP="00B36DCA">
      <w:pPr>
        <w:pStyle w:val="ListParagraph"/>
        <w:numPr>
          <w:numId w:val="48"/>
        </w:numPr>
        <w:autoSpaceDE w:val="0"/>
        <w:autoSpaceDN w:val="0"/>
        <w:bidi w:val="0"/>
        <w:adjustRightInd w:val="0"/>
        <w:ind w:left="426" w:firstLine="0"/>
        <w:jc w:val="both"/>
        <w:rPr>
          <w:rFonts w:ascii="Arial" w:hAnsi="Arial" w:cs="Arial"/>
        </w:rPr>
      </w:pPr>
      <w:r w:rsidRPr="00B36DCA">
        <w:rPr>
          <w:rFonts w:ascii="Arial" w:hAnsi="Arial" w:cs="Arial"/>
          <w:u w:val="single"/>
        </w:rPr>
        <w:t>V čl. I</w:t>
      </w:r>
      <w:r w:rsidR="00B44276">
        <w:rPr>
          <w:rFonts w:ascii="Arial" w:hAnsi="Arial" w:cs="Arial"/>
          <w:u w:val="single"/>
        </w:rPr>
        <w:t xml:space="preserve"> doterajšom </w:t>
      </w:r>
      <w:r w:rsidRPr="00B36DCA">
        <w:rPr>
          <w:rFonts w:ascii="Arial" w:hAnsi="Arial" w:cs="Arial"/>
          <w:u w:val="single"/>
        </w:rPr>
        <w:t>10. bode v § 10 ods. 3</w:t>
      </w:r>
      <w:r w:rsidRPr="007D644E">
        <w:rPr>
          <w:rFonts w:ascii="Arial" w:hAnsi="Arial" w:cs="Arial"/>
        </w:rPr>
        <w:t xml:space="preserve"> sa slová „dospelej osoby“ nahrádzajú slovom „dospelého“.</w:t>
      </w:r>
    </w:p>
    <w:p w:rsidR="001C6FBA" w:rsidRPr="007D644E" w:rsidP="001C6FBA">
      <w:pPr>
        <w:bidi w:val="0"/>
        <w:jc w:val="both"/>
        <w:rPr>
          <w:rFonts w:ascii="Arial" w:hAnsi="Arial" w:cs="Arial"/>
        </w:rPr>
      </w:pPr>
    </w:p>
    <w:p w:rsidR="001C6FBA" w:rsidRPr="007D644E" w:rsidP="001C6FBA">
      <w:pPr>
        <w:bidi w:val="0"/>
        <w:ind w:left="2268"/>
        <w:jc w:val="both"/>
        <w:rPr>
          <w:rFonts w:ascii="Arial" w:hAnsi="Arial" w:cs="Arial"/>
        </w:rPr>
      </w:pPr>
      <w:r w:rsidRPr="007D644E">
        <w:rPr>
          <w:rFonts w:ascii="Arial" w:hAnsi="Arial" w:cs="Arial"/>
        </w:rPr>
        <w:t>Legislatívno-technická pripomienka, zosúlaďujúca terminológiu návrhu so zákonom [§ 2 písm. e), f), m), § 3 ods. 1, § 10 ods. 2].</w:t>
      </w:r>
    </w:p>
    <w:p w:rsidR="001C6FBA" w:rsidP="001C6FBA">
      <w:pPr>
        <w:pStyle w:val="ListParagraph"/>
        <w:bidi w:val="0"/>
        <w:ind w:left="2268"/>
        <w:jc w:val="both"/>
        <w:rPr>
          <w:rFonts w:ascii="Arial" w:hAnsi="Arial" w:cs="Arial"/>
        </w:rPr>
      </w:pPr>
    </w:p>
    <w:p w:rsidR="001C6FBA" w:rsidRPr="00B36DCA" w:rsidP="00345A7B">
      <w:pPr>
        <w:pStyle w:val="ListParagraph"/>
        <w:numPr>
          <w:numId w:val="48"/>
        </w:numPr>
        <w:bidi w:val="0"/>
        <w:spacing w:line="276" w:lineRule="auto"/>
        <w:jc w:val="both"/>
        <w:rPr>
          <w:rFonts w:ascii="Arial" w:hAnsi="Arial" w:cs="Arial"/>
          <w:u w:val="single"/>
        </w:rPr>
      </w:pPr>
      <w:r w:rsidRPr="00B36DCA" w:rsidR="00B36DCA">
        <w:rPr>
          <w:rFonts w:ascii="Arial" w:hAnsi="Arial" w:cs="Arial"/>
          <w:u w:val="single"/>
        </w:rPr>
        <w:t>V čl. I d</w:t>
      </w:r>
      <w:r w:rsidRPr="00B36DCA">
        <w:rPr>
          <w:rFonts w:ascii="Arial" w:hAnsi="Arial" w:cs="Arial"/>
          <w:u w:val="single"/>
        </w:rPr>
        <w:t>oterajší 11. bod znie:</w:t>
      </w:r>
    </w:p>
    <w:p w:rsidR="001C6FBA" w:rsidP="00B36DCA">
      <w:pPr>
        <w:pStyle w:val="ListParagraph"/>
        <w:bidi w:val="0"/>
        <w:ind w:left="426"/>
        <w:jc w:val="both"/>
        <w:rPr>
          <w:rFonts w:ascii="Arial" w:hAnsi="Arial" w:cs="Arial"/>
        </w:rPr>
      </w:pPr>
      <w:r>
        <w:rPr>
          <w:rFonts w:ascii="Arial" w:hAnsi="Arial" w:cs="Arial"/>
        </w:rPr>
        <w:t>„11. V § 10 ods. 4 sa slová „sprievodnej dokumentácii“ nahrádzajú slovami „bezpečnostných pokynoch“</w:t>
      </w:r>
      <w:r w:rsidR="00201607">
        <w:rPr>
          <w:rFonts w:ascii="Arial" w:hAnsi="Arial" w:cs="Arial"/>
        </w:rPr>
        <w:t>.</w:t>
      </w:r>
      <w:r w:rsidR="008B1542">
        <w:rPr>
          <w:rFonts w:ascii="Arial" w:hAnsi="Arial" w:cs="Arial"/>
        </w:rPr>
        <w:t xml:space="preserve"> </w:t>
      </w:r>
      <w:r>
        <w:rPr>
          <w:rFonts w:ascii="Arial" w:hAnsi="Arial" w:cs="Arial"/>
        </w:rPr>
        <w:t>“.</w:t>
      </w:r>
    </w:p>
    <w:p w:rsidR="001C6FBA" w:rsidP="001C6FBA">
      <w:pPr>
        <w:pStyle w:val="ListParagraph"/>
        <w:bidi w:val="0"/>
        <w:ind w:left="426" w:firstLine="294"/>
        <w:jc w:val="both"/>
        <w:rPr>
          <w:rFonts w:ascii="Arial" w:hAnsi="Arial" w:cs="Arial"/>
        </w:rPr>
      </w:pPr>
    </w:p>
    <w:p w:rsidR="001C6FBA" w:rsidP="001C6FBA">
      <w:pPr>
        <w:tabs>
          <w:tab w:val="left" w:pos="-284"/>
        </w:tabs>
        <w:bidi w:val="0"/>
        <w:ind w:left="2268"/>
        <w:jc w:val="both"/>
        <w:rPr>
          <w:rFonts w:ascii="Arial" w:hAnsi="Arial" w:cs="Arial"/>
        </w:rPr>
      </w:pPr>
      <w:r>
        <w:rPr>
          <w:rFonts w:ascii="Arial" w:hAnsi="Arial" w:cs="Arial"/>
        </w:rPr>
        <w:t>Navrhuje sa vypustenie splnomocňovacieho ustanovenia v súvislosti so spoločným splnomocňovacím ustanovením, ktoré je navrhnuté v jedenástom bode tohto doplňujúceho návrhu. Ide o legislatívno-technickú úpravu. Zároveň sa namiesto úplného znenia § 10 ods. 4 navrhuje iba zmena niektorých slov, nakoľko po vypustení splnomocňovacieho ustanovenia už nie je potrebné navrhnúť nové znenie § 10 ods. 4.</w:t>
      </w:r>
    </w:p>
    <w:p w:rsidR="00345A7B" w:rsidP="001C6FBA">
      <w:pPr>
        <w:tabs>
          <w:tab w:val="left" w:pos="-284"/>
        </w:tabs>
        <w:bidi w:val="0"/>
        <w:ind w:left="2268"/>
        <w:jc w:val="both"/>
        <w:rPr>
          <w:rFonts w:ascii="Arial" w:hAnsi="Arial" w:cs="Arial"/>
        </w:rPr>
      </w:pPr>
    </w:p>
    <w:p w:rsidR="001C6FBA" w:rsidRPr="00345A7B" w:rsidP="00345A7B">
      <w:pPr>
        <w:pStyle w:val="ListParagraph"/>
        <w:numPr>
          <w:numId w:val="48"/>
        </w:numPr>
        <w:bidi w:val="0"/>
        <w:spacing w:line="276" w:lineRule="auto"/>
        <w:jc w:val="both"/>
        <w:rPr>
          <w:rFonts w:ascii="Arial" w:hAnsi="Arial" w:cs="Arial"/>
          <w:u w:val="single"/>
        </w:rPr>
      </w:pPr>
      <w:r w:rsidR="00345A7B">
        <w:rPr>
          <w:rFonts w:ascii="Arial" w:hAnsi="Arial" w:cs="Arial"/>
          <w:u w:val="single"/>
        </w:rPr>
        <w:t>V čl. I d</w:t>
      </w:r>
      <w:r w:rsidRPr="00345A7B">
        <w:rPr>
          <w:rFonts w:ascii="Arial" w:hAnsi="Arial" w:cs="Arial"/>
          <w:u w:val="single"/>
        </w:rPr>
        <w:t>oterajší 13. bod sa vypúšťa.</w:t>
      </w:r>
    </w:p>
    <w:p w:rsidR="001C6FBA" w:rsidP="00345A7B">
      <w:pPr>
        <w:pStyle w:val="ListParagraph"/>
        <w:bidi w:val="0"/>
        <w:jc w:val="both"/>
        <w:rPr>
          <w:rFonts w:ascii="Arial" w:hAnsi="Arial" w:cs="Arial"/>
        </w:rPr>
      </w:pPr>
      <w:r>
        <w:rPr>
          <w:rFonts w:ascii="Arial" w:hAnsi="Arial" w:cs="Arial"/>
        </w:rPr>
        <w:t>Doterajšie body sa primerane prečíslujú.</w:t>
      </w:r>
    </w:p>
    <w:p w:rsidR="001C6FBA" w:rsidP="001C6FBA">
      <w:pPr>
        <w:bidi w:val="0"/>
        <w:ind w:left="709"/>
        <w:jc w:val="both"/>
        <w:rPr>
          <w:rFonts w:ascii="Arial" w:hAnsi="Arial" w:cs="Arial"/>
          <w:u w:val="single"/>
        </w:rPr>
      </w:pPr>
    </w:p>
    <w:p w:rsidR="001C6FBA" w:rsidP="001C6FBA">
      <w:pPr>
        <w:pStyle w:val="ListParagraph"/>
        <w:bidi w:val="0"/>
        <w:ind w:left="2268"/>
        <w:jc w:val="both"/>
        <w:rPr>
          <w:rFonts w:ascii="Arial" w:hAnsi="Arial" w:cs="Arial"/>
        </w:rPr>
      </w:pPr>
      <w:r>
        <w:rPr>
          <w:rFonts w:ascii="Arial" w:hAnsi="Arial" w:cs="Arial"/>
        </w:rPr>
        <w:t>Navrhuje sa vypustenie nadpisu v súvislosti s navrhovanou úpravou § 18.</w:t>
      </w:r>
    </w:p>
    <w:p w:rsidR="00345A7B" w:rsidP="001C6FBA">
      <w:pPr>
        <w:pStyle w:val="ListParagraph"/>
        <w:bidi w:val="0"/>
        <w:ind w:left="2268"/>
        <w:jc w:val="both"/>
        <w:rPr>
          <w:rFonts w:ascii="Arial" w:hAnsi="Arial" w:cs="Arial"/>
        </w:rPr>
      </w:pPr>
    </w:p>
    <w:p w:rsidR="001C6FBA" w:rsidRPr="00345A7B" w:rsidP="00345A7B">
      <w:pPr>
        <w:pStyle w:val="ListParagraph"/>
        <w:numPr>
          <w:numId w:val="48"/>
        </w:numPr>
        <w:bidi w:val="0"/>
        <w:spacing w:line="276" w:lineRule="auto"/>
        <w:jc w:val="both"/>
        <w:rPr>
          <w:rFonts w:ascii="Arial" w:hAnsi="Arial" w:cs="Arial"/>
          <w:u w:val="single"/>
        </w:rPr>
      </w:pPr>
      <w:r w:rsidR="00345A7B">
        <w:rPr>
          <w:rFonts w:ascii="Arial" w:hAnsi="Arial" w:cs="Arial"/>
          <w:u w:val="single"/>
        </w:rPr>
        <w:t>V čl. I d</w:t>
      </w:r>
      <w:r w:rsidRPr="00345A7B">
        <w:rPr>
          <w:rFonts w:ascii="Arial" w:hAnsi="Arial" w:cs="Arial"/>
          <w:u w:val="single"/>
        </w:rPr>
        <w:t>oterajší 14. bod znie:</w:t>
      </w:r>
    </w:p>
    <w:p w:rsidR="001C6FBA" w:rsidP="00345A7B">
      <w:pPr>
        <w:pStyle w:val="ListParagraph"/>
        <w:bidi w:val="0"/>
        <w:rPr>
          <w:rFonts w:ascii="Arial" w:hAnsi="Arial" w:cs="Arial"/>
        </w:rPr>
      </w:pPr>
      <w:r>
        <w:rPr>
          <w:rFonts w:ascii="Arial" w:hAnsi="Arial" w:cs="Arial"/>
        </w:rPr>
        <w:t>„14. § 18 znie:</w:t>
      </w:r>
    </w:p>
    <w:p w:rsidR="001C6FBA" w:rsidP="001C6FBA">
      <w:pPr>
        <w:pStyle w:val="ListParagraph"/>
        <w:bidi w:val="0"/>
        <w:jc w:val="center"/>
        <w:rPr>
          <w:rFonts w:ascii="Arial" w:hAnsi="Arial" w:cs="Arial"/>
        </w:rPr>
      </w:pPr>
      <w:r>
        <w:rPr>
          <w:rFonts w:ascii="Arial" w:hAnsi="Arial" w:cs="Arial"/>
        </w:rPr>
        <w:t>„§ 18</w:t>
      </w:r>
    </w:p>
    <w:p w:rsidR="001C6FBA" w:rsidP="001C6FBA">
      <w:pPr>
        <w:pStyle w:val="ListParagraph"/>
        <w:bidi w:val="0"/>
        <w:jc w:val="both"/>
        <w:rPr>
          <w:rFonts w:ascii="Arial" w:hAnsi="Arial" w:cs="Arial"/>
        </w:rPr>
      </w:pPr>
      <w:r>
        <w:rPr>
          <w:rFonts w:ascii="Arial" w:hAnsi="Arial" w:cs="Arial"/>
        </w:rPr>
        <w:t>(1) Posudzovanie zhody podľa tohto zákona môže vykonávať len notifikovaná osoba podľa </w:t>
      </w:r>
      <w:hyperlink r:id="rId5" w:anchor="f7061813" w:history="1">
        <w:r w:rsidRPr="00345A7B">
          <w:rPr>
            <w:rStyle w:val="Hyperlink"/>
            <w:rFonts w:ascii="Arial" w:hAnsi="Arial" w:cs="Arial"/>
            <w:color w:val="auto"/>
            <w:u w:val="none"/>
          </w:rPr>
          <w:t>§ 19 ods. 2</w:t>
        </w:r>
      </w:hyperlink>
      <w:r w:rsidRPr="00345A7B">
        <w:rPr>
          <w:rFonts w:ascii="Arial" w:hAnsi="Arial" w:cs="Arial"/>
        </w:rPr>
        <w:t> a </w:t>
      </w:r>
      <w:hyperlink r:id="rId5" w:anchor="f7061814" w:history="1">
        <w:r w:rsidRPr="00345A7B">
          <w:rPr>
            <w:rStyle w:val="Hyperlink"/>
            <w:rFonts w:ascii="Arial" w:hAnsi="Arial" w:cs="Arial"/>
            <w:color w:val="auto"/>
            <w:u w:val="none"/>
          </w:rPr>
          <w:t>3</w:t>
        </w:r>
      </w:hyperlink>
      <w:r>
        <w:rPr>
          <w:rFonts w:ascii="Arial" w:hAnsi="Arial" w:cs="Arial"/>
        </w:rPr>
        <w:t xml:space="preserve">. </w:t>
      </w:r>
    </w:p>
    <w:p w:rsidR="001C6FBA" w:rsidP="001C6FBA">
      <w:pPr>
        <w:pStyle w:val="ListParagraph"/>
        <w:bidi w:val="0"/>
        <w:jc w:val="both"/>
        <w:rPr>
          <w:rFonts w:ascii="Arial" w:hAnsi="Arial" w:cs="Arial"/>
        </w:rPr>
      </w:pPr>
      <w:r>
        <w:rPr>
          <w:rFonts w:ascii="Arial" w:hAnsi="Arial" w:cs="Arial"/>
        </w:rPr>
        <w:t xml:space="preserve">(2) Žiadosť o notifikáciu sa podáva písomne na úrad. Žiadosť o notifikáciu môže podať iba právnická osoba (ďalej len „žiadateľ“). Úrad skúma, či žiadateľ  </w:t>
      </w:r>
    </w:p>
    <w:p w:rsidR="001C6FBA" w:rsidP="001C6FBA">
      <w:pPr>
        <w:pStyle w:val="ListParagraph"/>
        <w:bidi w:val="0"/>
        <w:jc w:val="both"/>
        <w:rPr>
          <w:rFonts w:ascii="Arial" w:hAnsi="Arial" w:cs="Arial"/>
        </w:rPr>
      </w:pPr>
      <w:r>
        <w:rPr>
          <w:rFonts w:ascii="Arial" w:hAnsi="Arial" w:cs="Arial"/>
        </w:rPr>
        <w:t xml:space="preserve">a) má pre hračku a pre vykonávanie požadovaného postupu posudzovania zhody potrebný počet zamestnancov, ktorí majú </w:t>
      </w:r>
    </w:p>
    <w:p w:rsidR="001C6FBA" w:rsidP="001C6FBA">
      <w:pPr>
        <w:pStyle w:val="ListParagraph"/>
        <w:bidi w:val="0"/>
        <w:jc w:val="both"/>
        <w:rPr>
          <w:rFonts w:ascii="Arial" w:hAnsi="Arial" w:cs="Arial"/>
        </w:rPr>
      </w:pPr>
      <w:r>
        <w:rPr>
          <w:rFonts w:ascii="Arial" w:hAnsi="Arial" w:cs="Arial"/>
        </w:rPr>
        <w:t xml:space="preserve">1. odborné vedomosti a praktické zručnosti pre vykonávanie požadovaného postupu posudzovania zhody, </w:t>
      </w:r>
    </w:p>
    <w:p w:rsidR="001C6FBA" w:rsidP="001C6FBA">
      <w:pPr>
        <w:pStyle w:val="ListParagraph"/>
        <w:bidi w:val="0"/>
        <w:jc w:val="both"/>
        <w:rPr>
          <w:rFonts w:ascii="Arial" w:hAnsi="Arial" w:cs="Arial"/>
        </w:rPr>
      </w:pPr>
      <w:r>
        <w:rPr>
          <w:rFonts w:ascii="Arial" w:hAnsi="Arial" w:cs="Arial"/>
        </w:rPr>
        <w:t xml:space="preserve">2. povinnosť dodržiavať mlčanlivosť o informáciách, ktoré sa dozvedia pri vykonávaní posudzovania zhody, </w:t>
      </w:r>
    </w:p>
    <w:p w:rsidR="001C6FBA" w:rsidP="001C6FBA">
      <w:pPr>
        <w:pStyle w:val="ListParagraph"/>
        <w:bidi w:val="0"/>
        <w:jc w:val="both"/>
        <w:rPr>
          <w:rFonts w:ascii="Arial" w:hAnsi="Arial" w:cs="Arial"/>
        </w:rPr>
      </w:pPr>
      <w:r>
        <w:rPr>
          <w:rFonts w:ascii="Arial" w:hAnsi="Arial" w:cs="Arial"/>
        </w:rPr>
        <w:t xml:space="preserve">b) má zdokumentované postupy, podľa ktorých vykonáva posudzovanie zhody s cieľom zabezpečiť správnosť výsledku, transparentnosť a opakovateľnosť týchto postupov, </w:t>
      </w:r>
    </w:p>
    <w:p w:rsidR="001C6FBA" w:rsidP="001C6FBA">
      <w:pPr>
        <w:pStyle w:val="ListParagraph"/>
        <w:bidi w:val="0"/>
        <w:jc w:val="both"/>
        <w:rPr>
          <w:rFonts w:ascii="Arial" w:hAnsi="Arial" w:cs="Arial"/>
        </w:rPr>
      </w:pPr>
      <w:r>
        <w:rPr>
          <w:rFonts w:ascii="Arial" w:hAnsi="Arial" w:cs="Arial"/>
        </w:rPr>
        <w:t xml:space="preserve">c) má zavedené postupy, ktorými jednoznačne rozlišuje medzi činnosťou notifikovanej osoby a ostatnými činnosťami vykonávanými žiadateľom, </w:t>
      </w:r>
    </w:p>
    <w:p w:rsidR="001C6FBA" w:rsidP="001C6FBA">
      <w:pPr>
        <w:pStyle w:val="ListParagraph"/>
        <w:bidi w:val="0"/>
        <w:jc w:val="both"/>
        <w:rPr>
          <w:rFonts w:ascii="Arial" w:hAnsi="Arial" w:cs="Arial"/>
        </w:rPr>
      </w:pPr>
      <w:r>
        <w:rPr>
          <w:rFonts w:ascii="Arial" w:hAnsi="Arial" w:cs="Arial"/>
        </w:rPr>
        <w:t>d) pri svojej činnosti  zohľadňuje veľkosť výrobcu alebo splnomocneného zástupcu, odvetvie, v ktorom podniká, štruktúru jeho podniku, stupeň zložitosti príslušnej technológie používanej pri výrobe  hračky a hromadný alebo sériový charakter výrobného procesu,</w:t>
      </w:r>
    </w:p>
    <w:p w:rsidR="001C6FBA" w:rsidP="001C6FBA">
      <w:pPr>
        <w:pStyle w:val="ListParagraph"/>
        <w:bidi w:val="0"/>
        <w:jc w:val="both"/>
        <w:rPr>
          <w:rFonts w:ascii="Arial" w:hAnsi="Arial" w:cs="Arial"/>
        </w:rPr>
      </w:pPr>
      <w:r>
        <w:rPr>
          <w:rFonts w:ascii="Arial" w:hAnsi="Arial" w:cs="Arial"/>
        </w:rPr>
        <w:t xml:space="preserve">e) má technické vybavenie potrebné na vykonávanie posudzovania zhody alebo má prístup k takémuto technickému vybaveniu, </w:t>
      </w:r>
    </w:p>
    <w:p w:rsidR="001C6FBA" w:rsidP="001C6FBA">
      <w:pPr>
        <w:pStyle w:val="ListParagraph"/>
        <w:bidi w:val="0"/>
        <w:jc w:val="both"/>
        <w:rPr>
          <w:rFonts w:ascii="Arial" w:hAnsi="Arial" w:cs="Arial"/>
        </w:rPr>
      </w:pPr>
      <w:r>
        <w:rPr>
          <w:rFonts w:ascii="Arial" w:hAnsi="Arial" w:cs="Arial"/>
        </w:rPr>
        <w:t xml:space="preserve">f) je nezávislý od výrobcu, splnomocneného zástupcu, dovozcu alebo distribútora, ktorého hračku posudzuje a od hračky; za nezávislého žiadateľa sa považuje aj žiadateľ, ktorý patrí do profesijného združenia, ktoré zastupuje osoby zapojené do navrhovania, výroby, obstarávania, montáže, používania alebo údržby hračky, ktorú posudzuje, ak je preukázaná nezávislosť žiadateľa a nedochádza ku konfliktu záujmov, </w:t>
      </w:r>
    </w:p>
    <w:p w:rsidR="001C6FBA" w:rsidP="001C6FBA">
      <w:pPr>
        <w:pStyle w:val="ListParagraph"/>
        <w:bidi w:val="0"/>
        <w:jc w:val="both"/>
        <w:rPr>
          <w:rFonts w:ascii="Arial" w:hAnsi="Arial" w:cs="Arial"/>
        </w:rPr>
      </w:pPr>
      <w:r>
        <w:rPr>
          <w:rFonts w:ascii="Arial" w:hAnsi="Arial" w:cs="Arial"/>
        </w:rPr>
        <w:t xml:space="preserve">g) a jeho štatutárny orgán ako aj jeho zamestnanci, ktorí vykonávajú posudzovanie zhody, nie sú dizajnérmi, výrobcami, dodávateľmi, osobami vykonávajúcimi inštaláciu, nákupcami, vlastníkmi, používateľmi alebo osobami vykonávajúcimi údržbu hračky, ktorú posudzujú, ani splnomocnenými zástupcami žiadnej z týchto osôb; notifikovaná osoba môže použiť posudzovanú hračku na výkon činností alebo na osobné účely, </w:t>
      </w:r>
    </w:p>
    <w:p w:rsidR="001C6FBA" w:rsidP="001C6FBA">
      <w:pPr>
        <w:pStyle w:val="ListParagraph"/>
        <w:bidi w:val="0"/>
        <w:jc w:val="both"/>
        <w:rPr>
          <w:rFonts w:ascii="Arial" w:hAnsi="Arial" w:cs="Arial"/>
        </w:rPr>
      </w:pPr>
      <w:r>
        <w:rPr>
          <w:rFonts w:ascii="Arial" w:hAnsi="Arial" w:cs="Arial"/>
        </w:rPr>
        <w:t xml:space="preserve">h) a jeho štatutárny orgán ako aj jeho zamestnanci, ktorí vykonávajú posudzovanie zhody, nie sú priamo zapojení do navrhovania, výroby, konštrukcie, uvádzania na trh, inštalácie, používania alebo údržby hračky, ani nezastupujú osoby zapojené do týchto činností, nepodieľajú sa na činnostiach, ktoré by mohli ovplyvniť ich nezávislý posudok alebo nestrannosť vo vzťahu k činnostiam posudzovania zhody, pre ktoré boli notifikované, najmä na poradenských službách, </w:t>
      </w:r>
    </w:p>
    <w:p w:rsidR="001C6FBA" w:rsidP="001C6FBA">
      <w:pPr>
        <w:pStyle w:val="ListParagraph"/>
        <w:bidi w:val="0"/>
        <w:jc w:val="both"/>
        <w:rPr>
          <w:rFonts w:ascii="Arial" w:hAnsi="Arial" w:cs="Arial"/>
        </w:rPr>
      </w:pPr>
      <w:r>
        <w:rPr>
          <w:rFonts w:ascii="Arial" w:hAnsi="Arial" w:cs="Arial"/>
        </w:rPr>
        <w:t xml:space="preserve">i) a jeho štatutárny orgán ako aj jeho zamestnanci, ktorí vykonávajú posudzovanie zhody, sú nestranní, </w:t>
      </w:r>
    </w:p>
    <w:p w:rsidR="001C6FBA" w:rsidP="001C6FBA">
      <w:pPr>
        <w:pStyle w:val="ListParagraph"/>
        <w:bidi w:val="0"/>
        <w:jc w:val="both"/>
        <w:rPr>
          <w:rFonts w:ascii="Arial" w:hAnsi="Arial" w:cs="Arial"/>
        </w:rPr>
      </w:pPr>
      <w:r>
        <w:rPr>
          <w:rFonts w:ascii="Arial" w:hAnsi="Arial" w:cs="Arial"/>
        </w:rPr>
        <w:t xml:space="preserve">j) zabezpečuje, aby činnosť organizačnej zložky alebo subdodávateľa neovplyvňovala dôvernosť, objektivitu a nestrannosť posudzovania zhody, </w:t>
      </w:r>
    </w:p>
    <w:p w:rsidR="001C6FBA" w:rsidP="001C6FBA">
      <w:pPr>
        <w:pStyle w:val="ListParagraph"/>
        <w:bidi w:val="0"/>
        <w:jc w:val="both"/>
        <w:rPr>
          <w:rFonts w:ascii="Arial" w:hAnsi="Arial" w:cs="Arial"/>
        </w:rPr>
      </w:pPr>
      <w:r>
        <w:rPr>
          <w:rFonts w:ascii="Arial" w:hAnsi="Arial" w:cs="Arial"/>
        </w:rPr>
        <w:t xml:space="preserve">k) zabezpečuje ochranu obchodného tajomstva a údajov, ktoré by mohli byť zneužité, </w:t>
      </w:r>
    </w:p>
    <w:p w:rsidR="001C6FBA" w:rsidP="001C6FBA">
      <w:pPr>
        <w:pStyle w:val="ListParagraph"/>
        <w:bidi w:val="0"/>
        <w:jc w:val="both"/>
        <w:rPr>
          <w:rFonts w:ascii="Arial" w:hAnsi="Arial" w:cs="Arial"/>
        </w:rPr>
      </w:pPr>
      <w:r>
        <w:rPr>
          <w:rFonts w:ascii="Arial" w:hAnsi="Arial" w:cs="Arial"/>
        </w:rPr>
        <w:t xml:space="preserve">l) zabezpečuje, že odmeňovanie štatutárneho orgánu a zamestnancov, ktorí vykonávajú posudzovanie zhody, nezávisí od počtu vykonaných posúdení ani výsledkov posúdení, </w:t>
      </w:r>
    </w:p>
    <w:p w:rsidR="001C6FBA" w:rsidP="001C6FBA">
      <w:pPr>
        <w:pStyle w:val="ListParagraph"/>
        <w:bidi w:val="0"/>
        <w:jc w:val="both"/>
        <w:rPr>
          <w:rFonts w:ascii="Arial" w:hAnsi="Arial" w:cs="Arial"/>
        </w:rPr>
      </w:pPr>
      <w:r>
        <w:rPr>
          <w:rFonts w:ascii="Arial" w:hAnsi="Arial" w:cs="Arial"/>
        </w:rPr>
        <w:t xml:space="preserve">m) má zmluvné zabezpečenie tých činností, ktoré sám pri posudzovaní zhody nie je schopný vykonať, </w:t>
      </w:r>
    </w:p>
    <w:p w:rsidR="001C6FBA" w:rsidP="001C6FBA">
      <w:pPr>
        <w:pStyle w:val="ListParagraph"/>
        <w:bidi w:val="0"/>
        <w:jc w:val="both"/>
        <w:rPr>
          <w:rFonts w:ascii="Arial" w:hAnsi="Arial" w:cs="Arial"/>
        </w:rPr>
      </w:pPr>
      <w:r>
        <w:rPr>
          <w:rFonts w:ascii="Arial" w:hAnsi="Arial" w:cs="Arial"/>
        </w:rPr>
        <w:t xml:space="preserve">n) má poistenie zodpovednosti za škodu spôsobenú svojou činnosťou v rozsahu notifikácie, o ktorú žiada, </w:t>
      </w:r>
    </w:p>
    <w:p w:rsidR="001C6FBA" w:rsidP="001C6FBA">
      <w:pPr>
        <w:pStyle w:val="ListParagraph"/>
        <w:bidi w:val="0"/>
        <w:jc w:val="both"/>
        <w:rPr>
          <w:rFonts w:ascii="Arial" w:hAnsi="Arial" w:cs="Arial"/>
        </w:rPr>
      </w:pPr>
      <w:r>
        <w:rPr>
          <w:rFonts w:ascii="Arial" w:hAnsi="Arial" w:cs="Arial"/>
        </w:rPr>
        <w:t xml:space="preserve">o) má sídlo na území Slovenskej republiky. </w:t>
      </w:r>
    </w:p>
    <w:p w:rsidR="001C6FBA" w:rsidP="001C6FBA">
      <w:pPr>
        <w:pStyle w:val="ListParagraph"/>
        <w:bidi w:val="0"/>
        <w:jc w:val="both"/>
        <w:rPr>
          <w:rFonts w:ascii="Arial" w:hAnsi="Arial" w:cs="Arial"/>
        </w:rPr>
      </w:pPr>
      <w:r>
        <w:rPr>
          <w:rFonts w:ascii="Arial" w:hAnsi="Arial" w:cs="Arial"/>
        </w:rPr>
        <w:t>(3) Žiadateľ v žiadosti o notifikáciu uvedie</w:t>
      </w:r>
    </w:p>
    <w:p w:rsidR="001C6FBA" w:rsidP="001C6FBA">
      <w:pPr>
        <w:pStyle w:val="ListParagraph"/>
        <w:bidi w:val="0"/>
        <w:jc w:val="both"/>
        <w:rPr>
          <w:rFonts w:ascii="Arial" w:hAnsi="Arial" w:cs="Arial"/>
        </w:rPr>
      </w:pPr>
      <w:r>
        <w:rPr>
          <w:rFonts w:ascii="Arial" w:hAnsi="Arial" w:cs="Arial"/>
        </w:rPr>
        <w:t>a) zoznam činností, ktoré sa týkajú posudzovania zhody,</w:t>
      </w:r>
    </w:p>
    <w:p w:rsidR="001C6FBA" w:rsidP="001C6FBA">
      <w:pPr>
        <w:pStyle w:val="ListParagraph"/>
        <w:bidi w:val="0"/>
        <w:jc w:val="both"/>
        <w:rPr>
          <w:rFonts w:ascii="Arial" w:hAnsi="Arial" w:cs="Arial"/>
        </w:rPr>
      </w:pPr>
      <w:r>
        <w:rPr>
          <w:rFonts w:ascii="Arial" w:hAnsi="Arial" w:cs="Arial"/>
        </w:rPr>
        <w:t>b) opis postupov posudzovania zhody,</w:t>
      </w:r>
    </w:p>
    <w:p w:rsidR="001C6FBA" w:rsidP="001C6FBA">
      <w:pPr>
        <w:pStyle w:val="ListParagraph"/>
        <w:bidi w:val="0"/>
        <w:jc w:val="both"/>
        <w:rPr>
          <w:rFonts w:ascii="Arial" w:hAnsi="Arial" w:cs="Arial"/>
        </w:rPr>
      </w:pPr>
      <w:r>
        <w:rPr>
          <w:rFonts w:ascii="Arial" w:hAnsi="Arial" w:cs="Arial"/>
        </w:rPr>
        <w:t>c) opis hračky, o ktorom žiadateľ tvrdí, že je spôsobilý posudzovať jeho zhodu podľa technických požiadaviek.</w:t>
      </w:r>
    </w:p>
    <w:p w:rsidR="001C6FBA" w:rsidP="001C6FBA">
      <w:pPr>
        <w:pStyle w:val="ListParagraph"/>
        <w:bidi w:val="0"/>
        <w:jc w:val="both"/>
        <w:rPr>
          <w:rFonts w:ascii="Arial" w:hAnsi="Arial" w:cs="Arial"/>
        </w:rPr>
      </w:pPr>
      <w:r>
        <w:rPr>
          <w:rFonts w:ascii="Arial" w:hAnsi="Arial" w:cs="Arial"/>
        </w:rPr>
        <w:t>(4) Prílohou k žiadosti o  notifikáciu sú</w:t>
      </w:r>
    </w:p>
    <w:p w:rsidR="001C6FBA" w:rsidP="001C6FBA">
      <w:pPr>
        <w:pStyle w:val="ListParagraph"/>
        <w:bidi w:val="0"/>
        <w:jc w:val="both"/>
        <w:rPr>
          <w:rFonts w:ascii="Arial" w:hAnsi="Arial" w:cs="Arial"/>
        </w:rPr>
      </w:pPr>
      <w:r>
        <w:rPr>
          <w:rFonts w:ascii="Arial" w:hAnsi="Arial" w:cs="Arial"/>
        </w:rPr>
        <w:t>a) osvedčenie o akreditácii,</w:t>
      </w:r>
      <w:r w:rsidRPr="00B44276">
        <w:rPr>
          <w:rFonts w:ascii="Arial" w:hAnsi="Arial" w:cs="Arial"/>
          <w:vertAlign w:val="superscript"/>
        </w:rPr>
        <w:t>21</w:t>
      </w:r>
      <w:r>
        <w:rPr>
          <w:rFonts w:ascii="Arial" w:hAnsi="Arial" w:cs="Arial"/>
        </w:rPr>
        <w:t>) ktoré osvedčuje, že žiadateľ spĺňa všetky požiadavky podľa odseku 2,</w:t>
      </w:r>
    </w:p>
    <w:p w:rsidR="001C6FBA" w:rsidP="001C6FBA">
      <w:pPr>
        <w:pStyle w:val="ListParagraph"/>
        <w:bidi w:val="0"/>
        <w:jc w:val="both"/>
        <w:rPr>
          <w:rFonts w:ascii="Arial" w:hAnsi="Arial" w:cs="Arial"/>
        </w:rPr>
      </w:pPr>
      <w:r>
        <w:rPr>
          <w:rFonts w:ascii="Arial" w:hAnsi="Arial" w:cs="Arial"/>
        </w:rPr>
        <w:t>b) osvedčenie o akreditácii, ktoré osvedčuje, že žiadateľ spĺňa niektoré požiadavky podľa odseku 2 a písomné doklady, ktoré sú potrebné na overenie, uznanie a pravidelné sledovanie plnenia požiadaviek podľa odseku 2, ak žiadateľ nemôže predložiť osvedčenie o akreditácii podľa písmena a), alebo</w:t>
      </w:r>
    </w:p>
    <w:p w:rsidR="001C6FBA" w:rsidP="001C6FBA">
      <w:pPr>
        <w:pStyle w:val="ListParagraph"/>
        <w:bidi w:val="0"/>
        <w:jc w:val="both"/>
        <w:rPr>
          <w:rFonts w:ascii="Arial" w:hAnsi="Arial" w:cs="Arial"/>
        </w:rPr>
      </w:pPr>
      <w:r>
        <w:rPr>
          <w:rFonts w:ascii="Arial" w:hAnsi="Arial" w:cs="Arial"/>
        </w:rPr>
        <w:t>c) písomné doklady, ktoré sú potrebné na overenie, uznanie a pravidelné sledovanie plnenia všetkých požiadaviek podľa odseku 2,  ak žiadateľ nevie preukázať ich splnenie predložím osvedčenia o akreditácii podľa písmena a) alebo písmena b).</w:t>
      </w:r>
    </w:p>
    <w:p w:rsidR="001C6FBA" w:rsidP="001C6FBA">
      <w:pPr>
        <w:pStyle w:val="ListParagraph"/>
        <w:bidi w:val="0"/>
        <w:jc w:val="both"/>
        <w:rPr>
          <w:rFonts w:ascii="Arial" w:hAnsi="Arial" w:cs="Arial"/>
        </w:rPr>
      </w:pPr>
      <w:r>
        <w:rPr>
          <w:rFonts w:ascii="Arial" w:hAnsi="Arial" w:cs="Arial"/>
        </w:rPr>
        <w:t>(5) Ak žiadateľ predložil osvedčenie o akreditácii podľa odseku 4 písm. a), má sa za to, že žiadateľ spĺňa požiadavky podľa odseku 2 v plnom rozsahu a úrad ich splnenie neskúma.</w:t>
      </w:r>
    </w:p>
    <w:p w:rsidR="001C6FBA" w:rsidP="001C6FBA">
      <w:pPr>
        <w:pStyle w:val="ListParagraph"/>
        <w:bidi w:val="0"/>
        <w:jc w:val="both"/>
        <w:rPr>
          <w:rFonts w:ascii="Arial" w:hAnsi="Arial" w:cs="Arial"/>
        </w:rPr>
      </w:pPr>
      <w:r>
        <w:rPr>
          <w:rFonts w:ascii="Arial" w:hAnsi="Arial" w:cs="Arial"/>
        </w:rPr>
        <w:t>(6) Ak žiadateľ predložil doklady podľa odseku 4 písm. b) alebo písm. c), úrad preskúma splnenie požiadaviek podľa odseku 2.</w:t>
      </w:r>
    </w:p>
    <w:p w:rsidR="001C6FBA" w:rsidP="001C6FBA">
      <w:pPr>
        <w:pStyle w:val="ListParagraph"/>
        <w:bidi w:val="0"/>
        <w:jc w:val="both"/>
        <w:rPr>
          <w:rFonts w:ascii="Arial" w:hAnsi="Arial" w:cs="Arial"/>
        </w:rPr>
      </w:pPr>
      <w:r>
        <w:rPr>
          <w:rFonts w:ascii="Arial" w:hAnsi="Arial" w:cs="Arial"/>
        </w:rPr>
        <w:t>(7) Úrad vykoná notifikáciu podľa </w:t>
      </w:r>
      <w:hyperlink r:id="rId5" w:anchor="f7061812" w:history="1">
        <w:r w:rsidRPr="00345A7B">
          <w:rPr>
            <w:rStyle w:val="Hyperlink"/>
            <w:rFonts w:ascii="Arial" w:hAnsi="Arial" w:cs="Arial"/>
            <w:color w:val="auto"/>
            <w:u w:val="none"/>
          </w:rPr>
          <w:t>§ 19 ods. 1</w:t>
        </w:r>
      </w:hyperlink>
      <w:r>
        <w:rPr>
          <w:rFonts w:ascii="Arial" w:hAnsi="Arial" w:cs="Arial"/>
        </w:rPr>
        <w:t>, ak žiadateľ predložil žiadosť o  notifikáciu podľa odsekov 3 a 4 a zároveň spĺňa podmienky podľa odseku 2, a žiadateľovi vydá o tom potvrdenie.</w:t>
      </w:r>
    </w:p>
    <w:p w:rsidR="001C6FBA" w:rsidP="001C6FBA">
      <w:pPr>
        <w:pStyle w:val="ListParagraph"/>
        <w:bidi w:val="0"/>
        <w:jc w:val="both"/>
        <w:rPr>
          <w:rFonts w:ascii="Arial" w:hAnsi="Arial" w:cs="Arial"/>
        </w:rPr>
      </w:pPr>
      <w:r>
        <w:rPr>
          <w:rFonts w:ascii="Arial" w:hAnsi="Arial" w:cs="Arial"/>
        </w:rPr>
        <w:t>(8) Úrad rozhodne o zamietnutí žiadosti o notifikáciu, ak žiadateľ nespĺňa požiadavky podľa odseku 2.“.</w:t>
      </w:r>
    </w:p>
    <w:p w:rsidR="001C6FBA" w:rsidP="001C6FBA">
      <w:pPr>
        <w:pStyle w:val="ListParagraph"/>
        <w:bidi w:val="0"/>
        <w:jc w:val="both"/>
        <w:rPr>
          <w:rFonts w:ascii="Arial" w:hAnsi="Arial" w:cs="Arial"/>
        </w:rPr>
      </w:pPr>
      <w:r>
        <w:rPr>
          <w:rFonts w:ascii="Arial" w:hAnsi="Arial" w:cs="Arial"/>
        </w:rPr>
        <w:t>Poznámka pod čiarou k odkazu 20 sa vypúšťa.“.</w:t>
      </w:r>
    </w:p>
    <w:p w:rsidR="001C6FBA" w:rsidP="001C6FBA">
      <w:pPr>
        <w:bidi w:val="0"/>
        <w:ind w:left="709"/>
        <w:jc w:val="both"/>
        <w:rPr>
          <w:rFonts w:ascii="Arial" w:hAnsi="Arial" w:cs="Arial"/>
          <w:u w:val="single"/>
        </w:rPr>
      </w:pPr>
    </w:p>
    <w:p w:rsidR="001C6FBA" w:rsidP="001C6FBA">
      <w:pPr>
        <w:pStyle w:val="ListParagraph"/>
        <w:bidi w:val="0"/>
        <w:ind w:left="2268"/>
        <w:jc w:val="both"/>
        <w:rPr>
          <w:rFonts w:ascii="Arial" w:hAnsi="Arial" w:cs="Arial"/>
        </w:rPr>
      </w:pPr>
      <w:r>
        <w:rPr>
          <w:rFonts w:ascii="Arial" w:hAnsi="Arial" w:cs="Arial"/>
        </w:rPr>
        <w:t>Navrhuje sa vypustiť z textu zákona inštitút autorizácie ako nadbytočný. Podľa predloženého návrhu mala autorizácia, ako overovacia činnosť úradu, iba deklaratórny charakter, pričom nebol vyjasnený vzťah autorizácie k akreditácii. Výsledkom posudzovania zo strany úradu malo byť iba osvedčenie o autorizácii, pričom žiadateľ mohol vykonávať svoju činnosť až po splnení podmienok uvedených v § 19 ods. 2 a 3, t.j. až po notifikácii. Z tohto dôvodu sa navrhuje, aby bol ponechaný doterajší režim notifikácie bez akýchkoľvek medzistupňov, ktoré neprinášajú žiadnu pridanú hodnotu ani pre orgány verejnej moci, ani pre žiadateľov o notifikáciu. Zároveň sa navrhuje, aby namiesto odkazu pod čiarou na rozhodnutie Komisie č. 768/2008 boli v zákone priamo uvedené požiadavky pre notifikované osoby z dôvodu právnej istoty. V uvedenom rozhodnutí totiž nie je uvedené, pre koho je určené, a stanovuje sa ním iba tzv. rámec pre ďalšiu legislatívnu činnosť Európskej komisie.</w:t>
      </w:r>
    </w:p>
    <w:p w:rsidR="00345A7B" w:rsidP="001C6FBA">
      <w:pPr>
        <w:pStyle w:val="ListParagraph"/>
        <w:bidi w:val="0"/>
        <w:ind w:left="2268"/>
        <w:jc w:val="both"/>
        <w:rPr>
          <w:rFonts w:ascii="Arial" w:hAnsi="Arial" w:cs="Arial"/>
        </w:rPr>
      </w:pPr>
    </w:p>
    <w:p w:rsidR="006B6E80" w:rsidRPr="007D644E" w:rsidP="006B6E80">
      <w:pPr>
        <w:pStyle w:val="ListParagraph"/>
        <w:numPr>
          <w:numId w:val="48"/>
        </w:numPr>
        <w:bidi w:val="0"/>
        <w:contextualSpacing/>
        <w:jc w:val="both"/>
        <w:rPr>
          <w:rFonts w:ascii="Arial" w:hAnsi="Arial" w:cs="Arial"/>
        </w:rPr>
      </w:pPr>
      <w:r w:rsidRPr="006B6E80">
        <w:rPr>
          <w:rFonts w:ascii="Arial" w:hAnsi="Arial" w:cs="Arial"/>
          <w:u w:val="single"/>
        </w:rPr>
        <w:t>V  čl. I</w:t>
      </w:r>
      <w:r w:rsidR="00B44276">
        <w:rPr>
          <w:rFonts w:ascii="Arial" w:hAnsi="Arial" w:cs="Arial"/>
          <w:u w:val="single"/>
        </w:rPr>
        <w:t xml:space="preserve"> doterajšom </w:t>
      </w:r>
      <w:r w:rsidRPr="006B6E80">
        <w:rPr>
          <w:rFonts w:ascii="Arial" w:hAnsi="Arial" w:cs="Arial"/>
          <w:u w:val="single"/>
        </w:rPr>
        <w:t>14. bode v § 18 ods. 7 písm. c)</w:t>
      </w:r>
      <w:r w:rsidRPr="007D644E">
        <w:rPr>
          <w:rFonts w:ascii="Arial" w:hAnsi="Arial" w:cs="Arial"/>
        </w:rPr>
        <w:t xml:space="preserve"> sa pred slovo „osoby“ vkladá slovo „fyzickej“ a pred slovo „osôb“ sa vkladá slovo „fyzických“.</w:t>
      </w:r>
    </w:p>
    <w:p w:rsidR="006B6E80" w:rsidRPr="007D644E" w:rsidP="006B6E80">
      <w:pPr>
        <w:bidi w:val="0"/>
        <w:contextualSpacing/>
        <w:jc w:val="both"/>
        <w:rPr>
          <w:rFonts w:ascii="Arial" w:hAnsi="Arial" w:cs="Arial"/>
        </w:rPr>
      </w:pPr>
    </w:p>
    <w:p w:rsidR="006B6E80" w:rsidRPr="007D644E" w:rsidP="006B6E80">
      <w:pPr>
        <w:pStyle w:val="ListParagraph"/>
        <w:bidi w:val="0"/>
        <w:ind w:left="2268"/>
        <w:contextualSpacing/>
        <w:jc w:val="both"/>
        <w:rPr>
          <w:rFonts w:ascii="Arial" w:hAnsi="Arial" w:cs="Arial"/>
          <w:highlight w:val="yellow"/>
        </w:rPr>
      </w:pPr>
      <w:r w:rsidRPr="007D644E">
        <w:rPr>
          <w:rFonts w:ascii="Arial" w:hAnsi="Arial" w:cs="Arial"/>
        </w:rPr>
        <w:t>Legislatívna pripomienka, zo znenia§ 18 ods. 7 písm. c) (meno, priezvisko, trvalý pobyt) je zrejmé, že môže ísť len o fyzickú osobu, pojem „osoba“ sa však používa v právnom poriadku pre označenie množiny zahŕňajúcej tak fyzické osoby, ako aj právnické osoby.</w:t>
      </w:r>
    </w:p>
    <w:p w:rsidR="006B6E80" w:rsidP="001C6FBA">
      <w:pPr>
        <w:pStyle w:val="ListParagraph"/>
        <w:bidi w:val="0"/>
        <w:ind w:left="2268"/>
        <w:jc w:val="both"/>
        <w:rPr>
          <w:rFonts w:ascii="Arial" w:hAnsi="Arial" w:cs="Arial"/>
        </w:rPr>
      </w:pPr>
    </w:p>
    <w:p w:rsidR="001C6FBA" w:rsidP="00345A7B">
      <w:pPr>
        <w:pStyle w:val="ListParagraph"/>
        <w:numPr>
          <w:numId w:val="48"/>
        </w:numPr>
        <w:bidi w:val="0"/>
        <w:spacing w:after="200" w:line="276" w:lineRule="auto"/>
        <w:jc w:val="both"/>
        <w:rPr>
          <w:rFonts w:ascii="Arial" w:hAnsi="Arial" w:cs="Arial"/>
        </w:rPr>
      </w:pPr>
      <w:r w:rsidR="00345A7B">
        <w:rPr>
          <w:rFonts w:ascii="Arial" w:hAnsi="Arial" w:cs="Arial"/>
          <w:u w:val="single"/>
        </w:rPr>
        <w:t xml:space="preserve">V čl. I v </w:t>
      </w:r>
      <w:r w:rsidRPr="00345A7B">
        <w:rPr>
          <w:rFonts w:ascii="Arial" w:hAnsi="Arial" w:cs="Arial"/>
          <w:u w:val="single"/>
        </w:rPr>
        <w:t xml:space="preserve"> doterajšom 17. bode </w:t>
      </w:r>
      <w:r>
        <w:rPr>
          <w:rFonts w:ascii="Arial" w:hAnsi="Arial" w:cs="Arial"/>
        </w:rPr>
        <w:t>sa za slová „podľa § 18 ods. 4 písm. b)“ vkladajú slová „alebo písm. c)“</w:t>
      </w:r>
    </w:p>
    <w:p w:rsidR="001C6FBA" w:rsidP="001C6FBA">
      <w:pPr>
        <w:bidi w:val="0"/>
        <w:ind w:left="2268"/>
        <w:jc w:val="both"/>
        <w:rPr>
          <w:rFonts w:ascii="Arial" w:hAnsi="Arial" w:cs="Arial"/>
        </w:rPr>
      </w:pPr>
      <w:r>
        <w:rPr>
          <w:rFonts w:ascii="Arial" w:hAnsi="Arial" w:cs="Arial"/>
        </w:rPr>
        <w:t>Ide o legislatívno-technickú úpravu v súvislosti s navrhnutým novým znením § 18 v piatom bode tohto doplňujúceho návrhu.</w:t>
      </w:r>
    </w:p>
    <w:p w:rsidR="00345A7B" w:rsidP="001C6FBA">
      <w:pPr>
        <w:bidi w:val="0"/>
        <w:ind w:left="2268"/>
        <w:jc w:val="both"/>
        <w:rPr>
          <w:rFonts w:ascii="Arial" w:hAnsi="Arial" w:cs="Arial"/>
        </w:rPr>
      </w:pPr>
    </w:p>
    <w:p w:rsidR="001C6FBA" w:rsidP="00345A7B">
      <w:pPr>
        <w:pStyle w:val="ListParagraph"/>
        <w:numPr>
          <w:numId w:val="48"/>
        </w:numPr>
        <w:bidi w:val="0"/>
        <w:spacing w:line="276" w:lineRule="auto"/>
        <w:jc w:val="both"/>
        <w:rPr>
          <w:rFonts w:ascii="Arial" w:hAnsi="Arial" w:cs="Arial"/>
        </w:rPr>
      </w:pPr>
      <w:r w:rsidRPr="00345A7B" w:rsidR="00345A7B">
        <w:rPr>
          <w:rFonts w:ascii="Arial" w:hAnsi="Arial" w:cs="Arial"/>
          <w:u w:val="single"/>
        </w:rPr>
        <w:t>V čl. I</w:t>
      </w:r>
      <w:r w:rsidR="00345A7B">
        <w:rPr>
          <w:rFonts w:ascii="Arial" w:hAnsi="Arial" w:cs="Arial"/>
          <w:u w:val="single"/>
        </w:rPr>
        <w:t xml:space="preserve"> sa</w:t>
      </w:r>
      <w:r w:rsidRPr="00345A7B" w:rsidR="00345A7B">
        <w:rPr>
          <w:rFonts w:ascii="Arial" w:hAnsi="Arial" w:cs="Arial"/>
          <w:u w:val="single"/>
        </w:rPr>
        <w:t xml:space="preserve"> d</w:t>
      </w:r>
      <w:r w:rsidRPr="00345A7B">
        <w:rPr>
          <w:rFonts w:ascii="Arial" w:hAnsi="Arial" w:cs="Arial"/>
          <w:u w:val="single"/>
        </w:rPr>
        <w:t>oterajší 19. bod  vypúšťa</w:t>
      </w:r>
      <w:r>
        <w:rPr>
          <w:rFonts w:ascii="Arial" w:hAnsi="Arial" w:cs="Arial"/>
        </w:rPr>
        <w:t>.</w:t>
      </w:r>
    </w:p>
    <w:p w:rsidR="00345A7B" w:rsidP="00345A7B">
      <w:pPr>
        <w:pStyle w:val="ListParagraph"/>
        <w:tabs>
          <w:tab w:val="center" w:pos="-567"/>
        </w:tabs>
        <w:bidi w:val="0"/>
        <w:ind w:left="66"/>
        <w:jc w:val="both"/>
        <w:rPr>
          <w:rFonts w:ascii="Arial" w:hAnsi="Arial" w:cs="Arial"/>
        </w:rPr>
      </w:pPr>
      <w:r>
        <w:rPr>
          <w:rFonts w:ascii="Arial" w:hAnsi="Arial" w:cs="Arial"/>
        </w:rPr>
        <w:tab/>
      </w:r>
      <w:r w:rsidR="001C6FBA">
        <w:rPr>
          <w:rFonts w:ascii="Arial" w:hAnsi="Arial" w:cs="Arial"/>
        </w:rPr>
        <w:t>Doterajšie body sa primerane prečíslujú.</w:t>
      </w:r>
    </w:p>
    <w:p w:rsidR="001C6FBA" w:rsidP="00345A7B">
      <w:pPr>
        <w:pStyle w:val="ListParagraph"/>
        <w:tabs>
          <w:tab w:val="center" w:pos="4896"/>
        </w:tabs>
        <w:bidi w:val="0"/>
        <w:ind w:left="66"/>
        <w:jc w:val="both"/>
        <w:rPr>
          <w:rFonts w:ascii="Arial" w:hAnsi="Arial" w:cs="Arial"/>
        </w:rPr>
      </w:pPr>
      <w:r>
        <w:rPr>
          <w:rFonts w:ascii="Arial" w:hAnsi="Arial" w:cs="Arial"/>
        </w:rPr>
        <w:tab/>
      </w:r>
    </w:p>
    <w:p w:rsidR="001C6FBA" w:rsidP="001C6FBA">
      <w:pPr>
        <w:pStyle w:val="ListParagraph"/>
        <w:bidi w:val="0"/>
        <w:ind w:left="2268"/>
        <w:jc w:val="both"/>
        <w:rPr>
          <w:rFonts w:ascii="Arial" w:hAnsi="Arial" w:cs="Arial"/>
        </w:rPr>
      </w:pPr>
      <w:r>
        <w:rPr>
          <w:rFonts w:ascii="Arial" w:hAnsi="Arial" w:cs="Arial"/>
        </w:rPr>
        <w:t>Ide o legislatívno-technickú úpravu v súvislosti s navrhnutým novým znením § 18 v piatom bode tohto doplňujúceho návrhu.</w:t>
      </w:r>
    </w:p>
    <w:p w:rsidR="00345A7B" w:rsidP="001C6FBA">
      <w:pPr>
        <w:pStyle w:val="ListParagraph"/>
        <w:bidi w:val="0"/>
        <w:ind w:left="2268"/>
        <w:jc w:val="both"/>
        <w:rPr>
          <w:rFonts w:ascii="Arial" w:hAnsi="Arial" w:cs="Arial"/>
        </w:rPr>
      </w:pPr>
    </w:p>
    <w:p w:rsidR="001C6FBA" w:rsidRPr="00345A7B" w:rsidP="00345A7B">
      <w:pPr>
        <w:pStyle w:val="ListParagraph"/>
        <w:numPr>
          <w:numId w:val="48"/>
        </w:numPr>
        <w:bidi w:val="0"/>
        <w:spacing w:line="276" w:lineRule="auto"/>
        <w:jc w:val="both"/>
        <w:rPr>
          <w:rFonts w:ascii="Arial" w:hAnsi="Arial" w:cs="Arial"/>
          <w:u w:val="single"/>
        </w:rPr>
      </w:pPr>
      <w:r w:rsidRPr="00345A7B" w:rsidR="00345A7B">
        <w:rPr>
          <w:rFonts w:ascii="Arial" w:hAnsi="Arial" w:cs="Arial"/>
          <w:u w:val="single"/>
        </w:rPr>
        <w:t>V čl. I sa d</w:t>
      </w:r>
      <w:r w:rsidRPr="00345A7B">
        <w:rPr>
          <w:rFonts w:ascii="Arial" w:hAnsi="Arial" w:cs="Arial"/>
          <w:u w:val="single"/>
        </w:rPr>
        <w:t>oterajší 29. bod vypúšťa.</w:t>
      </w:r>
    </w:p>
    <w:p w:rsidR="001C6FBA" w:rsidP="00345A7B">
      <w:pPr>
        <w:pStyle w:val="ListParagraph"/>
        <w:tabs>
          <w:tab w:val="center" w:pos="4896"/>
        </w:tabs>
        <w:bidi w:val="0"/>
        <w:jc w:val="both"/>
        <w:rPr>
          <w:rFonts w:ascii="Arial" w:hAnsi="Arial" w:cs="Arial"/>
        </w:rPr>
      </w:pPr>
      <w:r>
        <w:rPr>
          <w:rFonts w:ascii="Arial" w:hAnsi="Arial" w:cs="Arial"/>
        </w:rPr>
        <w:t>Doterajšie body sa primerane prečíslujú.</w:t>
        <w:tab/>
      </w:r>
    </w:p>
    <w:p w:rsidR="00345A7B" w:rsidP="001C6FBA">
      <w:pPr>
        <w:tabs>
          <w:tab w:val="left" w:pos="5245"/>
        </w:tabs>
        <w:bidi w:val="0"/>
        <w:ind w:left="2268"/>
        <w:jc w:val="both"/>
        <w:rPr>
          <w:rFonts w:ascii="Arial" w:hAnsi="Arial" w:cs="Arial"/>
        </w:rPr>
      </w:pPr>
    </w:p>
    <w:p w:rsidR="001C6FBA" w:rsidP="001C6FBA">
      <w:pPr>
        <w:tabs>
          <w:tab w:val="left" w:pos="5245"/>
        </w:tabs>
        <w:bidi w:val="0"/>
        <w:ind w:left="2268"/>
        <w:jc w:val="both"/>
        <w:rPr>
          <w:rFonts w:ascii="Arial" w:hAnsi="Arial" w:cs="Arial"/>
        </w:rPr>
      </w:pPr>
      <w:r>
        <w:rPr>
          <w:rFonts w:ascii="Arial" w:hAnsi="Arial" w:cs="Arial"/>
        </w:rPr>
        <w:t>Ide o legislatívno-technickú úpravu v súvislosti s navrhnutým novým znením § 18 v piatom bode tohto doplňujúceho návrhu.</w:t>
      </w:r>
    </w:p>
    <w:p w:rsidR="00345A7B" w:rsidP="001C6FBA">
      <w:pPr>
        <w:tabs>
          <w:tab w:val="left" w:pos="5245"/>
        </w:tabs>
        <w:bidi w:val="0"/>
        <w:ind w:left="2268"/>
        <w:jc w:val="both"/>
        <w:rPr>
          <w:rFonts w:ascii="Arial" w:hAnsi="Arial" w:cs="Arial"/>
        </w:rPr>
      </w:pPr>
    </w:p>
    <w:p w:rsidR="001C6FBA" w:rsidP="00345A7B">
      <w:pPr>
        <w:pStyle w:val="ListParagraph"/>
        <w:numPr>
          <w:numId w:val="48"/>
        </w:numPr>
        <w:bidi w:val="0"/>
        <w:spacing w:after="200" w:line="276" w:lineRule="auto"/>
        <w:jc w:val="both"/>
        <w:rPr>
          <w:rFonts w:ascii="Arial" w:hAnsi="Arial" w:cs="Arial"/>
        </w:rPr>
      </w:pPr>
      <w:r w:rsidR="00345A7B">
        <w:rPr>
          <w:rFonts w:ascii="Arial" w:hAnsi="Arial" w:cs="Arial"/>
          <w:u w:val="single"/>
        </w:rPr>
        <w:t>V čl. I sa d</w:t>
      </w:r>
      <w:r w:rsidRPr="00345A7B">
        <w:rPr>
          <w:rFonts w:ascii="Arial" w:hAnsi="Arial" w:cs="Arial"/>
          <w:u w:val="single"/>
        </w:rPr>
        <w:t>oterajší 31. bod vypúšťa</w:t>
      </w:r>
      <w:r>
        <w:rPr>
          <w:rFonts w:ascii="Arial" w:hAnsi="Arial" w:cs="Arial"/>
        </w:rPr>
        <w:t>.</w:t>
      </w:r>
    </w:p>
    <w:p w:rsidR="001C6FBA" w:rsidP="001C6FBA">
      <w:pPr>
        <w:pStyle w:val="ListParagraph"/>
        <w:tabs>
          <w:tab w:val="center" w:pos="4896"/>
        </w:tabs>
        <w:bidi w:val="0"/>
        <w:jc w:val="both"/>
        <w:rPr>
          <w:rFonts w:ascii="Arial" w:hAnsi="Arial" w:cs="Arial"/>
        </w:rPr>
      </w:pPr>
      <w:r>
        <w:rPr>
          <w:rFonts w:ascii="Arial" w:hAnsi="Arial" w:cs="Arial"/>
        </w:rPr>
        <w:t>Doterajšie body sa primerane prečíslujú.</w:t>
        <w:tab/>
      </w:r>
    </w:p>
    <w:p w:rsidR="001C6FBA" w:rsidP="001C6FBA">
      <w:pPr>
        <w:pStyle w:val="ListParagraph"/>
        <w:bidi w:val="0"/>
        <w:jc w:val="both"/>
        <w:rPr>
          <w:rFonts w:ascii="Arial" w:hAnsi="Arial" w:cs="Arial"/>
        </w:rPr>
      </w:pPr>
    </w:p>
    <w:p w:rsidR="001C6FBA" w:rsidP="001C6FBA">
      <w:pPr>
        <w:pStyle w:val="ListParagraph"/>
        <w:tabs>
          <w:tab w:val="left" w:pos="5245"/>
        </w:tabs>
        <w:bidi w:val="0"/>
        <w:ind w:left="2268"/>
        <w:jc w:val="both"/>
        <w:rPr>
          <w:rFonts w:ascii="Arial" w:hAnsi="Arial" w:cs="Arial"/>
        </w:rPr>
      </w:pPr>
      <w:r>
        <w:rPr>
          <w:rFonts w:ascii="Arial" w:hAnsi="Arial" w:cs="Arial"/>
        </w:rPr>
        <w:t>Ide o legislatívno-technickú úpravu v súvislosti s navrhnutým novým znením § 18 v piatom bode tohto doplňujúceho návrhu.</w:t>
      </w:r>
    </w:p>
    <w:p w:rsidR="00345A7B" w:rsidP="001C6FBA">
      <w:pPr>
        <w:pStyle w:val="ListParagraph"/>
        <w:tabs>
          <w:tab w:val="left" w:pos="5245"/>
        </w:tabs>
        <w:bidi w:val="0"/>
        <w:ind w:left="2268"/>
        <w:jc w:val="both"/>
        <w:rPr>
          <w:rFonts w:ascii="Arial" w:hAnsi="Arial" w:cs="Arial"/>
        </w:rPr>
      </w:pPr>
    </w:p>
    <w:p w:rsidR="00F83909" w:rsidP="001C6FBA">
      <w:pPr>
        <w:pStyle w:val="ListParagraph"/>
        <w:tabs>
          <w:tab w:val="left" w:pos="5245"/>
        </w:tabs>
        <w:bidi w:val="0"/>
        <w:ind w:left="2268"/>
        <w:jc w:val="both"/>
        <w:rPr>
          <w:rFonts w:ascii="Arial" w:hAnsi="Arial" w:cs="Arial"/>
        </w:rPr>
      </w:pPr>
    </w:p>
    <w:p w:rsidR="00F83909" w:rsidP="001C6FBA">
      <w:pPr>
        <w:pStyle w:val="ListParagraph"/>
        <w:tabs>
          <w:tab w:val="left" w:pos="5245"/>
        </w:tabs>
        <w:bidi w:val="0"/>
        <w:ind w:left="2268"/>
        <w:jc w:val="both"/>
        <w:rPr>
          <w:rFonts w:ascii="Arial" w:hAnsi="Arial" w:cs="Arial"/>
        </w:rPr>
      </w:pPr>
    </w:p>
    <w:p w:rsidR="001C6FBA" w:rsidRPr="00345A7B" w:rsidP="00345A7B">
      <w:pPr>
        <w:pStyle w:val="ListParagraph"/>
        <w:numPr>
          <w:numId w:val="48"/>
        </w:numPr>
        <w:bidi w:val="0"/>
        <w:spacing w:line="276" w:lineRule="auto"/>
        <w:jc w:val="both"/>
        <w:rPr>
          <w:rFonts w:ascii="Arial" w:hAnsi="Arial" w:cs="Arial"/>
          <w:u w:val="single"/>
        </w:rPr>
      </w:pPr>
      <w:r w:rsidRPr="00345A7B" w:rsidR="00345A7B">
        <w:rPr>
          <w:rFonts w:ascii="Arial" w:hAnsi="Arial" w:cs="Arial"/>
          <w:u w:val="single"/>
        </w:rPr>
        <w:t>V čl I. d</w:t>
      </w:r>
      <w:r w:rsidRPr="00345A7B">
        <w:rPr>
          <w:rFonts w:ascii="Arial" w:hAnsi="Arial" w:cs="Arial"/>
          <w:u w:val="single"/>
        </w:rPr>
        <w:t>oterajší 39. bod znie:</w:t>
      </w:r>
    </w:p>
    <w:p w:rsidR="00345A7B" w:rsidP="00345A7B">
      <w:pPr>
        <w:pStyle w:val="ListParagraph"/>
        <w:tabs>
          <w:tab w:val="center" w:pos="4896"/>
        </w:tabs>
        <w:bidi w:val="0"/>
        <w:jc w:val="both"/>
        <w:rPr>
          <w:rFonts w:ascii="Arial" w:hAnsi="Arial" w:cs="Arial"/>
        </w:rPr>
      </w:pPr>
      <w:r w:rsidR="001C6FBA">
        <w:rPr>
          <w:rFonts w:ascii="Arial" w:hAnsi="Arial" w:cs="Arial"/>
        </w:rPr>
        <w:t>„39. Nadpis nad § 27 znie: „Spoločné, splnomocňovacie, prechodné a zrušovacie ustanovenia“.“.</w:t>
      </w:r>
    </w:p>
    <w:p w:rsidR="001C6FBA" w:rsidP="00345A7B">
      <w:pPr>
        <w:pStyle w:val="ListParagraph"/>
        <w:tabs>
          <w:tab w:val="center" w:pos="4896"/>
        </w:tabs>
        <w:bidi w:val="0"/>
        <w:jc w:val="both"/>
        <w:rPr>
          <w:rFonts w:ascii="Arial" w:hAnsi="Arial" w:cs="Arial"/>
        </w:rPr>
      </w:pPr>
      <w:r>
        <w:rPr>
          <w:rFonts w:ascii="Arial" w:hAnsi="Arial" w:cs="Arial"/>
        </w:rPr>
        <w:tab/>
      </w:r>
    </w:p>
    <w:p w:rsidR="001C6FBA" w:rsidP="001C6FBA">
      <w:pPr>
        <w:tabs>
          <w:tab w:val="left" w:pos="5245"/>
        </w:tabs>
        <w:bidi w:val="0"/>
        <w:ind w:left="2268"/>
        <w:jc w:val="both"/>
        <w:rPr>
          <w:rFonts w:ascii="Arial" w:hAnsi="Arial" w:cs="Arial"/>
        </w:rPr>
      </w:pPr>
      <w:r>
        <w:rPr>
          <w:rFonts w:ascii="Arial" w:hAnsi="Arial" w:cs="Arial"/>
        </w:rPr>
        <w:t>Ide o legislatívno-technickú úpravu.</w:t>
      </w:r>
    </w:p>
    <w:p w:rsidR="00345A7B" w:rsidP="001C6FBA">
      <w:pPr>
        <w:tabs>
          <w:tab w:val="left" w:pos="5245"/>
        </w:tabs>
        <w:bidi w:val="0"/>
        <w:ind w:left="2268"/>
        <w:jc w:val="both"/>
        <w:rPr>
          <w:rFonts w:ascii="Arial" w:hAnsi="Arial" w:cs="Arial"/>
        </w:rPr>
      </w:pPr>
    </w:p>
    <w:p w:rsidR="001C6FBA" w:rsidRPr="00345A7B" w:rsidP="00345A7B">
      <w:pPr>
        <w:pStyle w:val="ListParagraph"/>
        <w:numPr>
          <w:numId w:val="48"/>
        </w:numPr>
        <w:bidi w:val="0"/>
        <w:spacing w:after="200" w:line="276" w:lineRule="auto"/>
        <w:jc w:val="both"/>
        <w:rPr>
          <w:rFonts w:ascii="Arial" w:hAnsi="Arial" w:cs="Arial"/>
          <w:u w:val="single"/>
        </w:rPr>
      </w:pPr>
      <w:r w:rsidRPr="00345A7B" w:rsidR="00345A7B">
        <w:rPr>
          <w:rFonts w:ascii="Arial" w:hAnsi="Arial" w:cs="Arial"/>
          <w:u w:val="single"/>
        </w:rPr>
        <w:t>V čl. I sa z</w:t>
      </w:r>
      <w:r w:rsidRPr="00345A7B">
        <w:rPr>
          <w:rFonts w:ascii="Arial" w:hAnsi="Arial" w:cs="Arial"/>
          <w:u w:val="single"/>
        </w:rPr>
        <w:t>a doterajší 39. bod vkladá nový bod 40., ktorý znie:</w:t>
      </w:r>
    </w:p>
    <w:p w:rsidR="001C6FBA" w:rsidP="001C6FBA">
      <w:pPr>
        <w:pStyle w:val="ListParagraph"/>
        <w:bidi w:val="0"/>
        <w:rPr>
          <w:rFonts w:ascii="Arial" w:hAnsi="Arial" w:cs="Arial"/>
        </w:rPr>
      </w:pPr>
      <w:r>
        <w:rPr>
          <w:rFonts w:ascii="Arial" w:hAnsi="Arial" w:cs="Arial"/>
        </w:rPr>
        <w:t>„40. Za § 27 sa vkladá § 27a, ktorý vrátane nadpisu znie:</w:t>
      </w:r>
    </w:p>
    <w:p w:rsidR="00F83909" w:rsidP="001C6FBA">
      <w:pPr>
        <w:pStyle w:val="ListParagraph"/>
        <w:bidi w:val="0"/>
        <w:rPr>
          <w:rFonts w:ascii="Arial" w:hAnsi="Arial" w:cs="Arial"/>
        </w:rPr>
      </w:pPr>
    </w:p>
    <w:p w:rsidR="001C6FBA" w:rsidP="001C6FBA">
      <w:pPr>
        <w:pStyle w:val="ListParagraph"/>
        <w:bidi w:val="0"/>
        <w:jc w:val="center"/>
        <w:rPr>
          <w:rFonts w:ascii="Arial" w:hAnsi="Arial" w:cs="Arial"/>
        </w:rPr>
      </w:pPr>
      <w:r>
        <w:rPr>
          <w:rFonts w:ascii="Arial" w:hAnsi="Arial" w:cs="Arial"/>
        </w:rPr>
        <w:t>„§ 27a</w:t>
      </w:r>
    </w:p>
    <w:p w:rsidR="001C6FBA" w:rsidP="001C6FBA">
      <w:pPr>
        <w:pStyle w:val="ListParagraph"/>
        <w:bidi w:val="0"/>
        <w:jc w:val="center"/>
        <w:rPr>
          <w:rFonts w:ascii="Arial" w:hAnsi="Arial" w:cs="Arial"/>
        </w:rPr>
      </w:pPr>
      <w:r>
        <w:rPr>
          <w:rFonts w:ascii="Arial" w:hAnsi="Arial" w:cs="Arial"/>
        </w:rPr>
        <w:t>Splnomocňovacie ustanovenie</w:t>
      </w:r>
    </w:p>
    <w:p w:rsidR="001C6FBA" w:rsidP="001C6FBA">
      <w:pPr>
        <w:pStyle w:val="ListParagraph"/>
        <w:bidi w:val="0"/>
        <w:jc w:val="both"/>
        <w:rPr>
          <w:rFonts w:ascii="Arial" w:hAnsi="Arial" w:cs="Arial"/>
        </w:rPr>
      </w:pPr>
      <w:r>
        <w:rPr>
          <w:rFonts w:ascii="Arial" w:hAnsi="Arial" w:cs="Arial"/>
        </w:rPr>
        <w:t xml:space="preserve">Všeobecne záväzný právny predpis, ktorý vydá ministerstvo, ustanoví </w:t>
      </w:r>
    </w:p>
    <w:p w:rsidR="001C6FBA" w:rsidP="001C6FBA">
      <w:pPr>
        <w:pStyle w:val="ListParagraph"/>
        <w:numPr>
          <w:numId w:val="46"/>
        </w:numPr>
        <w:bidi w:val="0"/>
        <w:spacing w:after="200" w:line="276" w:lineRule="auto"/>
        <w:jc w:val="both"/>
        <w:rPr>
          <w:rFonts w:ascii="Arial" w:hAnsi="Arial" w:cs="Arial"/>
        </w:rPr>
      </w:pPr>
      <w:r>
        <w:rPr>
          <w:rFonts w:ascii="Arial" w:hAnsi="Arial" w:cs="Arial"/>
        </w:rPr>
        <w:t>podrobnosti o osobitných bezpečnostných požiadavkách na chemické látky a chemické zmesi obsiahnuté v hračkách a na chemické vlastnosti hračiek,</w:t>
      </w:r>
    </w:p>
    <w:p w:rsidR="001C6FBA" w:rsidP="001C6FBA">
      <w:pPr>
        <w:pStyle w:val="ListParagraph"/>
        <w:numPr>
          <w:numId w:val="46"/>
        </w:numPr>
        <w:bidi w:val="0"/>
        <w:spacing w:after="200" w:line="276" w:lineRule="auto"/>
        <w:jc w:val="both"/>
        <w:rPr>
          <w:rFonts w:ascii="Arial" w:hAnsi="Arial" w:cs="Arial"/>
        </w:rPr>
      </w:pPr>
      <w:r>
        <w:rPr>
          <w:rFonts w:ascii="Arial" w:hAnsi="Arial" w:cs="Arial"/>
        </w:rPr>
        <w:t>osobitné upozornenia a opatrenia, ktoré sa majú dodržiavať pri používaní niektorých kategórií hračiek.“.“.</w:t>
      </w:r>
    </w:p>
    <w:p w:rsidR="00345A7B" w:rsidP="001C6FBA">
      <w:pPr>
        <w:pStyle w:val="ListParagraph"/>
        <w:bidi w:val="0"/>
        <w:jc w:val="both"/>
        <w:rPr>
          <w:rFonts w:ascii="Arial" w:hAnsi="Arial" w:cs="Arial"/>
        </w:rPr>
      </w:pPr>
      <w:r w:rsidR="001C6FBA">
        <w:rPr>
          <w:rFonts w:ascii="Arial" w:hAnsi="Arial" w:cs="Arial"/>
        </w:rPr>
        <w:t xml:space="preserve"> Doterajšie body sa primerane prečíslujú.</w:t>
      </w:r>
    </w:p>
    <w:p w:rsidR="001C6FBA" w:rsidP="001C6FBA">
      <w:pPr>
        <w:pStyle w:val="ListParagraph"/>
        <w:bidi w:val="0"/>
        <w:jc w:val="both"/>
        <w:rPr>
          <w:rFonts w:ascii="Arial" w:hAnsi="Arial" w:cs="Arial"/>
        </w:rPr>
      </w:pPr>
      <w:r>
        <w:rPr>
          <w:rFonts w:ascii="Arial" w:hAnsi="Arial" w:cs="Arial"/>
        </w:rPr>
        <w:tab/>
      </w:r>
    </w:p>
    <w:p w:rsidR="001C6FBA" w:rsidP="001C6FBA">
      <w:pPr>
        <w:tabs>
          <w:tab w:val="left" w:pos="5245"/>
        </w:tabs>
        <w:bidi w:val="0"/>
        <w:ind w:left="2268"/>
        <w:jc w:val="both"/>
        <w:rPr>
          <w:rFonts w:ascii="Arial" w:hAnsi="Arial" w:cs="Arial"/>
        </w:rPr>
      </w:pPr>
      <w:r>
        <w:rPr>
          <w:rFonts w:ascii="Arial" w:hAnsi="Arial" w:cs="Arial"/>
        </w:rPr>
        <w:t>Ide o legislatívno-technickú úpravu v súvislosti s prvým a tretím bodom tohto doplňujúceho návrhu. Navrhovateľ vo svojom návrhu navrhol dve splnomocňovacie ustanovenia na rôznych miestach zákona. Z hľadiska prehľadnosti textu sa navrhuje jedno, spoločné splnomocňovacie ustanovenie.</w:t>
      </w:r>
    </w:p>
    <w:p w:rsidR="00345A7B" w:rsidP="001C6FBA">
      <w:pPr>
        <w:tabs>
          <w:tab w:val="left" w:pos="5245"/>
        </w:tabs>
        <w:bidi w:val="0"/>
        <w:ind w:left="2268"/>
        <w:jc w:val="both"/>
        <w:rPr>
          <w:rFonts w:ascii="Arial" w:hAnsi="Arial" w:cs="Arial"/>
        </w:rPr>
      </w:pPr>
    </w:p>
    <w:p w:rsidR="001C6FBA" w:rsidRPr="00345A7B" w:rsidP="00345A7B">
      <w:pPr>
        <w:pStyle w:val="ListParagraph"/>
        <w:numPr>
          <w:numId w:val="48"/>
        </w:numPr>
        <w:bidi w:val="0"/>
        <w:jc w:val="both"/>
        <w:rPr>
          <w:rFonts w:ascii="Arial" w:hAnsi="Arial" w:cs="Arial"/>
          <w:u w:val="single"/>
        </w:rPr>
      </w:pPr>
      <w:r w:rsidRPr="00345A7B" w:rsidR="00345A7B">
        <w:rPr>
          <w:rFonts w:ascii="Arial" w:hAnsi="Arial" w:cs="Arial"/>
          <w:u w:val="single"/>
        </w:rPr>
        <w:t xml:space="preserve">V čl. I sa za doterajší 41. bod </w:t>
      </w:r>
      <w:r w:rsidRPr="00345A7B">
        <w:rPr>
          <w:rFonts w:ascii="Arial" w:hAnsi="Arial" w:cs="Arial"/>
          <w:u w:val="single"/>
        </w:rPr>
        <w:t xml:space="preserve"> vkladá nový bod 42, ktorý znie:</w:t>
      </w:r>
    </w:p>
    <w:p w:rsidR="001C6FBA" w:rsidP="00345A7B">
      <w:pPr>
        <w:pStyle w:val="ListParagraph"/>
        <w:bidi w:val="0"/>
        <w:ind w:left="426" w:firstLine="294"/>
        <w:jc w:val="both"/>
        <w:rPr>
          <w:rFonts w:ascii="Arial" w:hAnsi="Arial" w:cs="Arial"/>
        </w:rPr>
      </w:pPr>
      <w:r>
        <w:rPr>
          <w:rFonts w:ascii="Arial" w:hAnsi="Arial" w:cs="Arial"/>
        </w:rPr>
        <w:t>„42. Nadpis nad § 30 sa vypúšťa.“.</w:t>
      </w:r>
    </w:p>
    <w:p w:rsidR="00345A7B" w:rsidP="00345A7B">
      <w:pPr>
        <w:pStyle w:val="ListParagraph"/>
        <w:bidi w:val="0"/>
        <w:ind w:left="426" w:firstLine="294"/>
        <w:jc w:val="both"/>
        <w:rPr>
          <w:rFonts w:ascii="Arial" w:hAnsi="Arial" w:cs="Arial"/>
        </w:rPr>
      </w:pPr>
    </w:p>
    <w:p w:rsidR="001C6FBA" w:rsidP="001C6FBA">
      <w:pPr>
        <w:bidi w:val="0"/>
        <w:ind w:firstLine="2268"/>
        <w:rPr>
          <w:rFonts w:ascii="Arial" w:hAnsi="Arial" w:cs="Arial"/>
        </w:rPr>
      </w:pPr>
      <w:r>
        <w:rPr>
          <w:rFonts w:ascii="Arial" w:hAnsi="Arial" w:cs="Arial"/>
        </w:rPr>
        <w:t>Ide o legislatívno-technickú úpravu v súvislosti s úpravou § 27.</w:t>
      </w:r>
    </w:p>
    <w:p w:rsidR="007D644E" w:rsidRPr="007D644E" w:rsidP="007D644E">
      <w:pPr>
        <w:bidi w:val="0"/>
        <w:contextualSpacing/>
        <w:jc w:val="both"/>
        <w:rPr>
          <w:rFonts w:ascii="Arial" w:hAnsi="Arial" w:cs="Arial"/>
        </w:rPr>
      </w:pPr>
    </w:p>
    <w:p w:rsidR="007D644E" w:rsidRPr="00DF5ACB" w:rsidP="007D644E">
      <w:pPr>
        <w:bidi w:val="0"/>
        <w:spacing w:line="360" w:lineRule="auto"/>
        <w:contextualSpacing/>
        <w:jc w:val="both"/>
        <w:rPr>
          <w:rFonts w:ascii="Times New Roman" w:hAnsi="Times New Roman"/>
          <w:highlight w:val="yellow"/>
        </w:rPr>
      </w:pPr>
    </w:p>
    <w:p w:rsidR="003E64FC" w:rsidP="003F758D">
      <w:pPr>
        <w:bidi w:val="0"/>
        <w:jc w:val="both"/>
        <w:rPr>
          <w:rFonts w:ascii="Arial" w:hAnsi="Arial" w:cs="Arial"/>
          <w:b/>
          <w:bCs/>
        </w:rPr>
      </w:pPr>
    </w:p>
    <w:sectPr w:rsidSect="00B12DA5">
      <w:footerReference w:type="even" r:id="rId6"/>
      <w:footerReference w:type="default" r:id="rId7"/>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Lucida Grande">
    <w:altName w:val="Arial"/>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7B"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45A7B"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7B"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01607">
      <w:rPr>
        <w:rStyle w:val="PageNumber"/>
        <w:rFonts w:ascii="Times New Roman" w:hAnsi="Times New Roman"/>
        <w:noProof/>
      </w:rPr>
      <w:t>3</w:t>
    </w:r>
    <w:r>
      <w:rPr>
        <w:rStyle w:val="PageNumber"/>
        <w:rFonts w:ascii="Times New Roman" w:hAnsi="Times New Roman"/>
      </w:rPr>
      <w:fldChar w:fldCharType="end"/>
    </w:r>
  </w:p>
  <w:p w:rsidR="00345A7B"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9DE36D0"/>
    <w:multiLevelType w:val="hybridMultilevel"/>
    <w:tmpl w:val="C3A2C0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4D727DE"/>
    <w:multiLevelType w:val="hybridMultilevel"/>
    <w:tmpl w:val="80E452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180" w:hanging="180"/>
      </w:pPr>
      <w:rPr>
        <w:rFonts w:cs="Times New Roman" w:hint="default"/>
        <w:b w:val="0"/>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CD661B1"/>
    <w:multiLevelType w:val="hybridMultilevel"/>
    <w:tmpl w:val="97E25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06633F6"/>
    <w:multiLevelType w:val="hybridMultilevel"/>
    <w:tmpl w:val="87EE37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5D80217"/>
    <w:multiLevelType w:val="hybridMultilevel"/>
    <w:tmpl w:val="D71E361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1">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2B0B7041"/>
    <w:multiLevelType w:val="hybridMultilevel"/>
    <w:tmpl w:val="071883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2E327E93"/>
    <w:multiLevelType w:val="hybridMultilevel"/>
    <w:tmpl w:val="5CCEE0B6"/>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31762DA5"/>
    <w:multiLevelType w:val="hybridMultilevel"/>
    <w:tmpl w:val="762A90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3464441"/>
    <w:multiLevelType w:val="hybridMultilevel"/>
    <w:tmpl w:val="CB109D34"/>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9">
    <w:nsid w:val="339E7FBB"/>
    <w:multiLevelType w:val="hybridMultilevel"/>
    <w:tmpl w:val="D4F44FE8"/>
    <w:lvl w:ilvl="0">
      <w:start w:val="1"/>
      <w:numFmt w:val="decimal"/>
      <w:lvlText w:val="%1."/>
      <w:lvlJc w:val="left"/>
      <w:pPr>
        <w:ind w:left="1495"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3">
    <w:nsid w:val="40720952"/>
    <w:multiLevelType w:val="hybridMultilevel"/>
    <w:tmpl w:val="2474DA80"/>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4">
    <w:nsid w:val="475B3203"/>
    <w:multiLevelType w:val="multilevel"/>
    <w:tmpl w:val="7AE040EE"/>
    <w:lvl w:ilvl="0">
      <w:start w:val="1"/>
      <w:numFmt w:val="none"/>
      <w:suff w:val="nothing"/>
      <w:lvlJc w:val="left"/>
      <w:pPr>
        <w:ind w:left="720"/>
      </w:pPr>
      <w:rPr>
        <w:rFonts w:cs="Times New Roman"/>
        <w:rtl w:val="0"/>
        <w:cs w:val="0"/>
      </w:rPr>
    </w:lvl>
    <w:lvl w:ilvl="1">
      <w:start w:val="1"/>
      <w:numFmt w:val="none"/>
      <w:pStyle w:val="AONormal"/>
      <w:suff w:val="nothing"/>
      <w:lvlJc w:val="left"/>
      <w:pPr>
        <w:ind w:left="1440"/>
      </w:pPr>
      <w:rPr>
        <w:rFonts w:cs="Times New Roman"/>
        <w:rtl w:val="0"/>
        <w:cs w:val="0"/>
      </w:rPr>
    </w:lvl>
    <w:lvl w:ilvl="2">
      <w:start w:val="1"/>
      <w:numFmt w:val="none"/>
      <w:pStyle w:val="AODocTxt"/>
      <w:suff w:val="nothing"/>
      <w:lvlJc w:val="left"/>
      <w:pPr>
        <w:ind w:left="2160"/>
      </w:pPr>
      <w:rPr>
        <w:rFonts w:cs="Times New Roman"/>
        <w:rtl w:val="0"/>
        <w:cs w:val="0"/>
      </w:rPr>
    </w:lvl>
    <w:lvl w:ilvl="3">
      <w:start w:val="1"/>
      <w:numFmt w:val="none"/>
      <w:pStyle w:val="AODocTxtL1"/>
      <w:suff w:val="nothing"/>
      <w:lvlJc w:val="left"/>
      <w:pPr>
        <w:ind w:left="2880"/>
      </w:pPr>
      <w:rPr>
        <w:rFonts w:cs="Times New Roman"/>
        <w:rtl w:val="0"/>
        <w:cs w:val="0"/>
      </w:rPr>
    </w:lvl>
    <w:lvl w:ilvl="4">
      <w:start w:val="1"/>
      <w:numFmt w:val="none"/>
      <w:pStyle w:val="AODocTxtL2"/>
      <w:suff w:val="nothing"/>
      <w:lvlJc w:val="left"/>
      <w:pPr>
        <w:ind w:left="3600"/>
      </w:pPr>
      <w:rPr>
        <w:rFonts w:cs="Times New Roman"/>
        <w:rtl w:val="0"/>
        <w:cs w:val="0"/>
      </w:rPr>
    </w:lvl>
    <w:lvl w:ilvl="5">
      <w:start w:val="1"/>
      <w:numFmt w:val="none"/>
      <w:pStyle w:val="AODocTxtL3"/>
      <w:suff w:val="nothing"/>
      <w:lvlJc w:val="left"/>
      <w:pPr>
        <w:ind w:left="4320"/>
      </w:pPr>
      <w:rPr>
        <w:rFonts w:cs="Times New Roman"/>
        <w:rtl w:val="0"/>
        <w:cs w:val="0"/>
      </w:rPr>
    </w:lvl>
    <w:lvl w:ilvl="6">
      <w:start w:val="1"/>
      <w:numFmt w:val="none"/>
      <w:pStyle w:val="AODocTxtL4"/>
      <w:suff w:val="nothing"/>
      <w:lvlJc w:val="left"/>
      <w:pPr>
        <w:ind w:left="5040"/>
      </w:pPr>
      <w:rPr>
        <w:rFonts w:cs="Times New Roman"/>
        <w:rtl w:val="0"/>
        <w:cs w:val="0"/>
      </w:rPr>
    </w:lvl>
    <w:lvl w:ilvl="7">
      <w:start w:val="1"/>
      <w:numFmt w:val="none"/>
      <w:pStyle w:val="AODocTxtL5"/>
      <w:suff w:val="nothing"/>
      <w:lvlJc w:val="left"/>
      <w:pPr>
        <w:ind w:left="5760"/>
      </w:pPr>
      <w:rPr>
        <w:rFonts w:cs="Times New Roman"/>
        <w:rtl w:val="0"/>
        <w:cs w:val="0"/>
      </w:rPr>
    </w:lvl>
    <w:lvl w:ilvl="8">
      <w:start w:val="1"/>
      <w:numFmt w:val="none"/>
      <w:pStyle w:val="AODocTxtL6"/>
      <w:suff w:val="nothing"/>
      <w:lvlJc w:val="left"/>
      <w:pPr>
        <w:ind w:left="6480"/>
      </w:pPr>
      <w:rPr>
        <w:rFonts w:cs="Times New Roman"/>
        <w:rtl w:val="0"/>
        <w:cs w:val="0"/>
      </w:rPr>
    </w:lvl>
  </w:abstractNum>
  <w:abstractNum w:abstractNumId="25">
    <w:nsid w:val="48AB7D04"/>
    <w:multiLevelType w:val="hybridMultilevel"/>
    <w:tmpl w:val="AF70F1D8"/>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BEF6150"/>
    <w:multiLevelType w:val="hybridMultilevel"/>
    <w:tmpl w:val="EE7EE2C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9">
    <w:nsid w:val="4F663CDC"/>
    <w:multiLevelType w:val="hybridMultilevel"/>
    <w:tmpl w:val="493E53EE"/>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0">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32">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4">
    <w:nsid w:val="5CBE21B9"/>
    <w:multiLevelType w:val="hybridMultilevel"/>
    <w:tmpl w:val="E7182A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D863AD5"/>
    <w:multiLevelType w:val="hybridMultilevel"/>
    <w:tmpl w:val="EA8C7BD6"/>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6">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8C63BE9"/>
    <w:multiLevelType w:val="hybridMultilevel"/>
    <w:tmpl w:val="6580565C"/>
    <w:lvl w:ilvl="0">
      <w:start w:val="1"/>
      <w:numFmt w:val="lowerLetter"/>
      <w:lvlText w:val="%1)"/>
      <w:lvlJc w:val="left"/>
      <w:pPr>
        <w:tabs>
          <w:tab w:val="num" w:pos="1200"/>
        </w:tabs>
        <w:ind w:left="1200" w:hanging="360"/>
      </w:pPr>
      <w:rPr>
        <w:rFonts w:cs="Times New Roman"/>
        <w:rtl w:val="0"/>
        <w:cs w:val="0"/>
      </w:rPr>
    </w:lvl>
    <w:lvl w:ilvl="1">
      <w:start w:val="1"/>
      <w:numFmt w:val="lowerLetter"/>
      <w:lvlText w:val="%2."/>
      <w:lvlJc w:val="left"/>
      <w:pPr>
        <w:tabs>
          <w:tab w:val="num" w:pos="1920"/>
        </w:tabs>
        <w:ind w:left="1920" w:hanging="360"/>
      </w:pPr>
      <w:rPr>
        <w:rFonts w:cs="Times New Roman"/>
        <w:rtl w:val="0"/>
        <w:cs w:val="0"/>
      </w:rPr>
    </w:lvl>
    <w:lvl w:ilvl="2">
      <w:start w:val="1"/>
      <w:numFmt w:val="lowerRoman"/>
      <w:lvlText w:val="%3."/>
      <w:lvlJc w:val="right"/>
      <w:pPr>
        <w:tabs>
          <w:tab w:val="num" w:pos="2640"/>
        </w:tabs>
        <w:ind w:left="2640" w:hanging="180"/>
      </w:pPr>
      <w:rPr>
        <w:rFonts w:cs="Times New Roman"/>
        <w:rtl w:val="0"/>
        <w:cs w:val="0"/>
      </w:rPr>
    </w:lvl>
    <w:lvl w:ilvl="3">
      <w:start w:val="1"/>
      <w:numFmt w:val="decimal"/>
      <w:lvlText w:val="%4."/>
      <w:lvlJc w:val="left"/>
      <w:pPr>
        <w:tabs>
          <w:tab w:val="num" w:pos="3360"/>
        </w:tabs>
        <w:ind w:left="3360" w:hanging="360"/>
      </w:pPr>
      <w:rPr>
        <w:rFonts w:cs="Times New Roman"/>
        <w:rtl w:val="0"/>
        <w:cs w:val="0"/>
      </w:rPr>
    </w:lvl>
    <w:lvl w:ilvl="4">
      <w:start w:val="1"/>
      <w:numFmt w:val="lowerLetter"/>
      <w:lvlText w:val="%5."/>
      <w:lvlJc w:val="left"/>
      <w:pPr>
        <w:tabs>
          <w:tab w:val="num" w:pos="4080"/>
        </w:tabs>
        <w:ind w:left="4080" w:hanging="360"/>
      </w:pPr>
      <w:rPr>
        <w:rFonts w:cs="Times New Roman"/>
        <w:rtl w:val="0"/>
        <w:cs w:val="0"/>
      </w:rPr>
    </w:lvl>
    <w:lvl w:ilvl="5">
      <w:start w:val="1"/>
      <w:numFmt w:val="lowerRoman"/>
      <w:lvlText w:val="%6."/>
      <w:lvlJc w:val="right"/>
      <w:pPr>
        <w:tabs>
          <w:tab w:val="num" w:pos="4800"/>
        </w:tabs>
        <w:ind w:left="4800" w:hanging="180"/>
      </w:pPr>
      <w:rPr>
        <w:rFonts w:cs="Times New Roman"/>
        <w:rtl w:val="0"/>
        <w:cs w:val="0"/>
      </w:rPr>
    </w:lvl>
    <w:lvl w:ilvl="6">
      <w:start w:val="1"/>
      <w:numFmt w:val="decimal"/>
      <w:lvlText w:val="%7."/>
      <w:lvlJc w:val="left"/>
      <w:pPr>
        <w:tabs>
          <w:tab w:val="num" w:pos="5520"/>
        </w:tabs>
        <w:ind w:left="5520" w:hanging="360"/>
      </w:pPr>
      <w:rPr>
        <w:rFonts w:cs="Times New Roman"/>
        <w:rtl w:val="0"/>
        <w:cs w:val="0"/>
      </w:rPr>
    </w:lvl>
    <w:lvl w:ilvl="7">
      <w:start w:val="1"/>
      <w:numFmt w:val="lowerLetter"/>
      <w:lvlText w:val="%8."/>
      <w:lvlJc w:val="left"/>
      <w:pPr>
        <w:tabs>
          <w:tab w:val="num" w:pos="6240"/>
        </w:tabs>
        <w:ind w:left="6240" w:hanging="360"/>
      </w:pPr>
      <w:rPr>
        <w:rFonts w:cs="Times New Roman"/>
        <w:rtl w:val="0"/>
        <w:cs w:val="0"/>
      </w:rPr>
    </w:lvl>
    <w:lvl w:ilvl="8">
      <w:start w:val="1"/>
      <w:numFmt w:val="lowerRoman"/>
      <w:lvlText w:val="%9."/>
      <w:lvlJc w:val="right"/>
      <w:pPr>
        <w:tabs>
          <w:tab w:val="num" w:pos="6960"/>
        </w:tabs>
        <w:ind w:left="6960" w:hanging="180"/>
      </w:pPr>
      <w:rPr>
        <w:rFonts w:cs="Times New Roman"/>
        <w:rtl w:val="0"/>
        <w:cs w:val="0"/>
      </w:rPr>
    </w:lvl>
  </w:abstractNum>
  <w:abstractNum w:abstractNumId="39">
    <w:nsid w:val="69E12D33"/>
    <w:multiLevelType w:val="hybridMultilevel"/>
    <w:tmpl w:val="5E508A72"/>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0EC4BC1"/>
    <w:multiLevelType w:val="hybridMultilevel"/>
    <w:tmpl w:val="D5746ECC"/>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2">
    <w:nsid w:val="715103F1"/>
    <w:multiLevelType w:val="hybridMultilevel"/>
    <w:tmpl w:val="A7C496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44">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5">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D056CBB"/>
    <w:multiLevelType w:val="hybridMultilevel"/>
    <w:tmpl w:val="70DC02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righ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24"/>
  </w:num>
  <w:num w:numId="3">
    <w:abstractNumId w:val="0"/>
  </w:num>
  <w:num w:numId="4">
    <w:abstractNumId w:val="37"/>
  </w:num>
  <w:num w:numId="5">
    <w:abstractNumId w:val="36"/>
  </w:num>
  <w:num w:numId="6">
    <w:abstractNumId w:val="8"/>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6"/>
  </w:num>
  <w:num w:numId="10">
    <w:abstractNumId w:val="32"/>
  </w:num>
  <w:num w:numId="11">
    <w:abstractNumId w:val="46"/>
  </w:num>
  <w:num w:numId="12">
    <w:abstractNumId w:val="44"/>
  </w:num>
  <w:num w:numId="13">
    <w:abstractNumId w:val="12"/>
  </w:num>
  <w:num w:numId="14">
    <w:abstractNumId w:val="1"/>
  </w:num>
  <w:num w:numId="15">
    <w:abstractNumId w:val="40"/>
  </w:num>
  <w:num w:numId="16">
    <w:abstractNumId w:val="4"/>
  </w:num>
  <w:num w:numId="17">
    <w:abstractNumId w:val="3"/>
  </w:num>
  <w:num w:numId="18">
    <w:abstractNumId w:val="47"/>
  </w:num>
  <w:num w:numId="19">
    <w:abstractNumId w:val="19"/>
  </w:num>
  <w:num w:numId="20">
    <w:abstractNumId w:val="25"/>
  </w:num>
  <w:num w:numId="21">
    <w:abstractNumId w:val="2"/>
  </w:num>
  <w:num w:numId="22">
    <w:abstractNumId w:val="27"/>
  </w:num>
  <w:num w:numId="23">
    <w:abstractNumId w:val="14"/>
  </w:num>
  <w:num w:numId="24">
    <w:abstractNumId w:val="18"/>
  </w:num>
  <w:num w:numId="25">
    <w:abstractNumId w:val="17"/>
  </w:num>
  <w:num w:numId="26">
    <w:abstractNumId w:val="28"/>
  </w:num>
  <w:num w:numId="27">
    <w:abstractNumId w:val="29"/>
  </w:num>
  <w:num w:numId="28">
    <w:abstractNumId w:val="9"/>
  </w:num>
  <w:num w:numId="29">
    <w:abstractNumId w:val="42"/>
  </w:num>
  <w:num w:numId="30">
    <w:abstractNumId w:val="6"/>
  </w:num>
  <w:num w:numId="31">
    <w:abstractNumId w:val="33"/>
  </w:num>
  <w:num w:numId="32">
    <w:abstractNumId w:val="20"/>
  </w:num>
  <w:num w:numId="33">
    <w:abstractNumId w:val="16"/>
  </w:num>
  <w:num w:numId="34">
    <w:abstractNumId w:val="41"/>
  </w:num>
  <w:num w:numId="35">
    <w:abstractNumId w:val="43"/>
  </w:num>
  <w:num w:numId="36">
    <w:abstractNumId w:val="22"/>
  </w:num>
  <w:num w:numId="37">
    <w:abstractNumId w:val="23"/>
  </w:num>
  <w:num w:numId="38">
    <w:abstractNumId w:val="34"/>
  </w:num>
  <w:num w:numId="39">
    <w:abstractNumId w:val="45"/>
  </w:num>
  <w:num w:numId="40">
    <w:abstractNumId w:val="11"/>
  </w:num>
  <w:num w:numId="41">
    <w:abstractNumId w:val="5"/>
  </w:num>
  <w:num w:numId="42">
    <w:abstractNumId w:val="13"/>
  </w:num>
  <w:num w:numId="43">
    <w:abstractNumId w:val="39"/>
  </w:num>
  <w:num w:numId="44">
    <w:abstractNumId w:val="30"/>
  </w:num>
  <w:num w:numId="45">
    <w:abstractNumId w:val="7"/>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0FE5"/>
    <w:rsid w:val="00056F29"/>
    <w:rsid w:val="0006389B"/>
    <w:rsid w:val="00070F59"/>
    <w:rsid w:val="00071230"/>
    <w:rsid w:val="00071298"/>
    <w:rsid w:val="00081141"/>
    <w:rsid w:val="000922CF"/>
    <w:rsid w:val="000955AC"/>
    <w:rsid w:val="00097B16"/>
    <w:rsid w:val="000A0380"/>
    <w:rsid w:val="000B4565"/>
    <w:rsid w:val="000D226A"/>
    <w:rsid w:val="000D2883"/>
    <w:rsid w:val="000D5D51"/>
    <w:rsid w:val="000F0951"/>
    <w:rsid w:val="000F2310"/>
    <w:rsid w:val="000F2CA6"/>
    <w:rsid w:val="000F2F76"/>
    <w:rsid w:val="000F7F2B"/>
    <w:rsid w:val="001047F3"/>
    <w:rsid w:val="00106191"/>
    <w:rsid w:val="00106546"/>
    <w:rsid w:val="00106567"/>
    <w:rsid w:val="00106601"/>
    <w:rsid w:val="00122F36"/>
    <w:rsid w:val="001240F4"/>
    <w:rsid w:val="001244BD"/>
    <w:rsid w:val="001251A5"/>
    <w:rsid w:val="00140FC5"/>
    <w:rsid w:val="001458F5"/>
    <w:rsid w:val="00145D17"/>
    <w:rsid w:val="0015098B"/>
    <w:rsid w:val="00154657"/>
    <w:rsid w:val="00156912"/>
    <w:rsid w:val="001577CB"/>
    <w:rsid w:val="00157E41"/>
    <w:rsid w:val="001633C6"/>
    <w:rsid w:val="0016522C"/>
    <w:rsid w:val="00165388"/>
    <w:rsid w:val="00171B83"/>
    <w:rsid w:val="001831FD"/>
    <w:rsid w:val="0019396E"/>
    <w:rsid w:val="00195D1D"/>
    <w:rsid w:val="001A0B13"/>
    <w:rsid w:val="001A6F11"/>
    <w:rsid w:val="001B0B69"/>
    <w:rsid w:val="001C6FBA"/>
    <w:rsid w:val="001D5CAD"/>
    <w:rsid w:val="001D79F3"/>
    <w:rsid w:val="001E151D"/>
    <w:rsid w:val="001E67C4"/>
    <w:rsid w:val="001F11C0"/>
    <w:rsid w:val="001F20AC"/>
    <w:rsid w:val="001F2F66"/>
    <w:rsid w:val="001F4E25"/>
    <w:rsid w:val="001F5149"/>
    <w:rsid w:val="00201607"/>
    <w:rsid w:val="00202B6F"/>
    <w:rsid w:val="00207319"/>
    <w:rsid w:val="002102AF"/>
    <w:rsid w:val="0021221E"/>
    <w:rsid w:val="002172AA"/>
    <w:rsid w:val="002212B1"/>
    <w:rsid w:val="0022161D"/>
    <w:rsid w:val="002264EE"/>
    <w:rsid w:val="002301A9"/>
    <w:rsid w:val="00255451"/>
    <w:rsid w:val="00256B8E"/>
    <w:rsid w:val="002627B9"/>
    <w:rsid w:val="00270932"/>
    <w:rsid w:val="00277025"/>
    <w:rsid w:val="00277A33"/>
    <w:rsid w:val="00280A1F"/>
    <w:rsid w:val="0028251E"/>
    <w:rsid w:val="002916A2"/>
    <w:rsid w:val="002B11B1"/>
    <w:rsid w:val="002B2DF6"/>
    <w:rsid w:val="002B564A"/>
    <w:rsid w:val="002C0C20"/>
    <w:rsid w:val="002C10FB"/>
    <w:rsid w:val="002D2A34"/>
    <w:rsid w:val="002D4CAA"/>
    <w:rsid w:val="002E6938"/>
    <w:rsid w:val="002E6A6F"/>
    <w:rsid w:val="002F1C84"/>
    <w:rsid w:val="002F40D1"/>
    <w:rsid w:val="002F6DCA"/>
    <w:rsid w:val="00305186"/>
    <w:rsid w:val="0031217B"/>
    <w:rsid w:val="0031566C"/>
    <w:rsid w:val="003305C7"/>
    <w:rsid w:val="00336BE0"/>
    <w:rsid w:val="00340562"/>
    <w:rsid w:val="0034406B"/>
    <w:rsid w:val="00345A7B"/>
    <w:rsid w:val="003515BA"/>
    <w:rsid w:val="00351F5F"/>
    <w:rsid w:val="003568D1"/>
    <w:rsid w:val="003629E8"/>
    <w:rsid w:val="00362FB8"/>
    <w:rsid w:val="00364F0B"/>
    <w:rsid w:val="00366B6D"/>
    <w:rsid w:val="0036748E"/>
    <w:rsid w:val="003718A6"/>
    <w:rsid w:val="003777C3"/>
    <w:rsid w:val="003808FF"/>
    <w:rsid w:val="00382BAA"/>
    <w:rsid w:val="00390931"/>
    <w:rsid w:val="00392897"/>
    <w:rsid w:val="00392C06"/>
    <w:rsid w:val="003B28B3"/>
    <w:rsid w:val="003C4821"/>
    <w:rsid w:val="003D16CC"/>
    <w:rsid w:val="003E1A13"/>
    <w:rsid w:val="003E3BC3"/>
    <w:rsid w:val="003E64FC"/>
    <w:rsid w:val="003E69BB"/>
    <w:rsid w:val="003F1811"/>
    <w:rsid w:val="003F3D93"/>
    <w:rsid w:val="003F758D"/>
    <w:rsid w:val="0040098A"/>
    <w:rsid w:val="004040AB"/>
    <w:rsid w:val="004046B5"/>
    <w:rsid w:val="00411ACA"/>
    <w:rsid w:val="00415004"/>
    <w:rsid w:val="004162A1"/>
    <w:rsid w:val="004217EB"/>
    <w:rsid w:val="00427323"/>
    <w:rsid w:val="004373E8"/>
    <w:rsid w:val="004375D7"/>
    <w:rsid w:val="0044088F"/>
    <w:rsid w:val="00444C9D"/>
    <w:rsid w:val="00447A28"/>
    <w:rsid w:val="00447AF4"/>
    <w:rsid w:val="00450B7B"/>
    <w:rsid w:val="00453CF1"/>
    <w:rsid w:val="00462F2C"/>
    <w:rsid w:val="0046375F"/>
    <w:rsid w:val="0047755B"/>
    <w:rsid w:val="00477D15"/>
    <w:rsid w:val="00484254"/>
    <w:rsid w:val="00485C3A"/>
    <w:rsid w:val="00487B16"/>
    <w:rsid w:val="00491694"/>
    <w:rsid w:val="00493643"/>
    <w:rsid w:val="004B21BB"/>
    <w:rsid w:val="004B2AFF"/>
    <w:rsid w:val="004B6E65"/>
    <w:rsid w:val="004B72E6"/>
    <w:rsid w:val="004B7EC5"/>
    <w:rsid w:val="004C22EE"/>
    <w:rsid w:val="004C2B3F"/>
    <w:rsid w:val="004C34C2"/>
    <w:rsid w:val="004C39AC"/>
    <w:rsid w:val="004C47AB"/>
    <w:rsid w:val="004C7FE5"/>
    <w:rsid w:val="004D02AA"/>
    <w:rsid w:val="004D3E15"/>
    <w:rsid w:val="004D431D"/>
    <w:rsid w:val="004D4552"/>
    <w:rsid w:val="004D6C9E"/>
    <w:rsid w:val="004E34A5"/>
    <w:rsid w:val="004E5293"/>
    <w:rsid w:val="004E6A19"/>
    <w:rsid w:val="004F7B4D"/>
    <w:rsid w:val="005008E5"/>
    <w:rsid w:val="00521DCA"/>
    <w:rsid w:val="005239A3"/>
    <w:rsid w:val="005242C8"/>
    <w:rsid w:val="00527135"/>
    <w:rsid w:val="0053513E"/>
    <w:rsid w:val="0053793F"/>
    <w:rsid w:val="005504C8"/>
    <w:rsid w:val="005605A4"/>
    <w:rsid w:val="005625A4"/>
    <w:rsid w:val="005627E4"/>
    <w:rsid w:val="00567967"/>
    <w:rsid w:val="005719A0"/>
    <w:rsid w:val="00573336"/>
    <w:rsid w:val="00577984"/>
    <w:rsid w:val="00577C1F"/>
    <w:rsid w:val="00580944"/>
    <w:rsid w:val="00585558"/>
    <w:rsid w:val="0059163C"/>
    <w:rsid w:val="005A17FA"/>
    <w:rsid w:val="005A2A79"/>
    <w:rsid w:val="005B53FD"/>
    <w:rsid w:val="005C4064"/>
    <w:rsid w:val="005D17F2"/>
    <w:rsid w:val="005D20AB"/>
    <w:rsid w:val="005D2778"/>
    <w:rsid w:val="005D46AC"/>
    <w:rsid w:val="005E0F20"/>
    <w:rsid w:val="005E23DF"/>
    <w:rsid w:val="005E386B"/>
    <w:rsid w:val="005E4D9C"/>
    <w:rsid w:val="005E6C1D"/>
    <w:rsid w:val="005E7471"/>
    <w:rsid w:val="005F2928"/>
    <w:rsid w:val="005F38DC"/>
    <w:rsid w:val="005F4AFB"/>
    <w:rsid w:val="005F5E74"/>
    <w:rsid w:val="005F6186"/>
    <w:rsid w:val="006000E0"/>
    <w:rsid w:val="006063EB"/>
    <w:rsid w:val="00607283"/>
    <w:rsid w:val="00613099"/>
    <w:rsid w:val="00620445"/>
    <w:rsid w:val="006205E7"/>
    <w:rsid w:val="00620D0B"/>
    <w:rsid w:val="00620E03"/>
    <w:rsid w:val="0063307B"/>
    <w:rsid w:val="0063322B"/>
    <w:rsid w:val="006348B2"/>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B6E80"/>
    <w:rsid w:val="006C4A64"/>
    <w:rsid w:val="006D0B0B"/>
    <w:rsid w:val="006D374F"/>
    <w:rsid w:val="006D4A09"/>
    <w:rsid w:val="006D4A8F"/>
    <w:rsid w:val="006D5213"/>
    <w:rsid w:val="006D6597"/>
    <w:rsid w:val="006E27B7"/>
    <w:rsid w:val="006E4B6F"/>
    <w:rsid w:val="006F4258"/>
    <w:rsid w:val="006F758E"/>
    <w:rsid w:val="006F760E"/>
    <w:rsid w:val="00703CF1"/>
    <w:rsid w:val="0070533C"/>
    <w:rsid w:val="007120C4"/>
    <w:rsid w:val="007206E9"/>
    <w:rsid w:val="00726604"/>
    <w:rsid w:val="00730D0E"/>
    <w:rsid w:val="007324A1"/>
    <w:rsid w:val="00736413"/>
    <w:rsid w:val="00737355"/>
    <w:rsid w:val="0074040B"/>
    <w:rsid w:val="007528D4"/>
    <w:rsid w:val="007626A4"/>
    <w:rsid w:val="0076346A"/>
    <w:rsid w:val="0076601C"/>
    <w:rsid w:val="0076693D"/>
    <w:rsid w:val="00795115"/>
    <w:rsid w:val="007A15DD"/>
    <w:rsid w:val="007A3B12"/>
    <w:rsid w:val="007B4455"/>
    <w:rsid w:val="007B7698"/>
    <w:rsid w:val="007C0186"/>
    <w:rsid w:val="007D5A81"/>
    <w:rsid w:val="007D644E"/>
    <w:rsid w:val="007D67CC"/>
    <w:rsid w:val="007F10EF"/>
    <w:rsid w:val="007F57B3"/>
    <w:rsid w:val="007F5CB3"/>
    <w:rsid w:val="007F6F28"/>
    <w:rsid w:val="00802E3D"/>
    <w:rsid w:val="0080470D"/>
    <w:rsid w:val="008053AD"/>
    <w:rsid w:val="008066D2"/>
    <w:rsid w:val="00810667"/>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81555"/>
    <w:rsid w:val="0088372A"/>
    <w:rsid w:val="00886AEF"/>
    <w:rsid w:val="008872CE"/>
    <w:rsid w:val="008975E1"/>
    <w:rsid w:val="008A397E"/>
    <w:rsid w:val="008A5E9A"/>
    <w:rsid w:val="008A63F9"/>
    <w:rsid w:val="008A77CD"/>
    <w:rsid w:val="008B0E59"/>
    <w:rsid w:val="008B1542"/>
    <w:rsid w:val="008B511D"/>
    <w:rsid w:val="008B779B"/>
    <w:rsid w:val="008C10BE"/>
    <w:rsid w:val="008C1ADF"/>
    <w:rsid w:val="008D20B9"/>
    <w:rsid w:val="008D6DE8"/>
    <w:rsid w:val="008E6B7C"/>
    <w:rsid w:val="008E6C16"/>
    <w:rsid w:val="008F2636"/>
    <w:rsid w:val="008F3A50"/>
    <w:rsid w:val="009065BC"/>
    <w:rsid w:val="00911B3A"/>
    <w:rsid w:val="0091432E"/>
    <w:rsid w:val="0091555F"/>
    <w:rsid w:val="00950887"/>
    <w:rsid w:val="00966D12"/>
    <w:rsid w:val="00973C15"/>
    <w:rsid w:val="00977DD0"/>
    <w:rsid w:val="00980FEE"/>
    <w:rsid w:val="00983562"/>
    <w:rsid w:val="009846B3"/>
    <w:rsid w:val="00990C7C"/>
    <w:rsid w:val="009938F1"/>
    <w:rsid w:val="009A4DFA"/>
    <w:rsid w:val="009A631C"/>
    <w:rsid w:val="009A7B9E"/>
    <w:rsid w:val="009B0891"/>
    <w:rsid w:val="009B25FD"/>
    <w:rsid w:val="009B349B"/>
    <w:rsid w:val="009B43AD"/>
    <w:rsid w:val="009B6157"/>
    <w:rsid w:val="009C27F1"/>
    <w:rsid w:val="009F053E"/>
    <w:rsid w:val="009F07F2"/>
    <w:rsid w:val="00A014FB"/>
    <w:rsid w:val="00A11E39"/>
    <w:rsid w:val="00A152E2"/>
    <w:rsid w:val="00A24A27"/>
    <w:rsid w:val="00A334CC"/>
    <w:rsid w:val="00A355C4"/>
    <w:rsid w:val="00A36A70"/>
    <w:rsid w:val="00A436E0"/>
    <w:rsid w:val="00A50F34"/>
    <w:rsid w:val="00A53E86"/>
    <w:rsid w:val="00A62B07"/>
    <w:rsid w:val="00A64A66"/>
    <w:rsid w:val="00A7008D"/>
    <w:rsid w:val="00A73792"/>
    <w:rsid w:val="00A77B81"/>
    <w:rsid w:val="00A828C2"/>
    <w:rsid w:val="00A85C47"/>
    <w:rsid w:val="00A87416"/>
    <w:rsid w:val="00A92253"/>
    <w:rsid w:val="00A929F2"/>
    <w:rsid w:val="00A96BCE"/>
    <w:rsid w:val="00A96D39"/>
    <w:rsid w:val="00AB134B"/>
    <w:rsid w:val="00AB1EC9"/>
    <w:rsid w:val="00AB2A6A"/>
    <w:rsid w:val="00AB38E4"/>
    <w:rsid w:val="00AD6BE7"/>
    <w:rsid w:val="00AF7FD1"/>
    <w:rsid w:val="00B0126A"/>
    <w:rsid w:val="00B016C3"/>
    <w:rsid w:val="00B06746"/>
    <w:rsid w:val="00B06985"/>
    <w:rsid w:val="00B12DA5"/>
    <w:rsid w:val="00B14EB3"/>
    <w:rsid w:val="00B316CD"/>
    <w:rsid w:val="00B31C1B"/>
    <w:rsid w:val="00B32ADF"/>
    <w:rsid w:val="00B358D4"/>
    <w:rsid w:val="00B36DCA"/>
    <w:rsid w:val="00B44276"/>
    <w:rsid w:val="00B4466C"/>
    <w:rsid w:val="00B620A2"/>
    <w:rsid w:val="00B70E2C"/>
    <w:rsid w:val="00B73B73"/>
    <w:rsid w:val="00B73BB3"/>
    <w:rsid w:val="00B76013"/>
    <w:rsid w:val="00B8497D"/>
    <w:rsid w:val="00B850BE"/>
    <w:rsid w:val="00B91218"/>
    <w:rsid w:val="00B937DA"/>
    <w:rsid w:val="00BA2221"/>
    <w:rsid w:val="00BA43E5"/>
    <w:rsid w:val="00BB2383"/>
    <w:rsid w:val="00BB52C7"/>
    <w:rsid w:val="00BC1EF2"/>
    <w:rsid w:val="00BC2D70"/>
    <w:rsid w:val="00BC4C00"/>
    <w:rsid w:val="00BE1296"/>
    <w:rsid w:val="00BE1444"/>
    <w:rsid w:val="00BF642A"/>
    <w:rsid w:val="00BF71E7"/>
    <w:rsid w:val="00C20C8A"/>
    <w:rsid w:val="00C265A0"/>
    <w:rsid w:val="00C26E0E"/>
    <w:rsid w:val="00C320FE"/>
    <w:rsid w:val="00C34355"/>
    <w:rsid w:val="00C353C2"/>
    <w:rsid w:val="00C44AE0"/>
    <w:rsid w:val="00C47F34"/>
    <w:rsid w:val="00C62C12"/>
    <w:rsid w:val="00C62D82"/>
    <w:rsid w:val="00C723D9"/>
    <w:rsid w:val="00C74BF4"/>
    <w:rsid w:val="00C76C56"/>
    <w:rsid w:val="00C95ADC"/>
    <w:rsid w:val="00CA1DD9"/>
    <w:rsid w:val="00CA4AE1"/>
    <w:rsid w:val="00CA684E"/>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22F22"/>
    <w:rsid w:val="00D279F2"/>
    <w:rsid w:val="00D27CF5"/>
    <w:rsid w:val="00D30179"/>
    <w:rsid w:val="00D32378"/>
    <w:rsid w:val="00D416F8"/>
    <w:rsid w:val="00D42F6E"/>
    <w:rsid w:val="00D51767"/>
    <w:rsid w:val="00D543FC"/>
    <w:rsid w:val="00D620AE"/>
    <w:rsid w:val="00D643C3"/>
    <w:rsid w:val="00D66442"/>
    <w:rsid w:val="00D736FC"/>
    <w:rsid w:val="00D83C58"/>
    <w:rsid w:val="00D90766"/>
    <w:rsid w:val="00D9311A"/>
    <w:rsid w:val="00DA51FD"/>
    <w:rsid w:val="00DA7E83"/>
    <w:rsid w:val="00DB239F"/>
    <w:rsid w:val="00DC2596"/>
    <w:rsid w:val="00DC2F07"/>
    <w:rsid w:val="00DC55BB"/>
    <w:rsid w:val="00DD4565"/>
    <w:rsid w:val="00DE1D27"/>
    <w:rsid w:val="00DF2048"/>
    <w:rsid w:val="00DF57DD"/>
    <w:rsid w:val="00DF5ACB"/>
    <w:rsid w:val="00DF7DAF"/>
    <w:rsid w:val="00E060C2"/>
    <w:rsid w:val="00E24180"/>
    <w:rsid w:val="00E24361"/>
    <w:rsid w:val="00E25C38"/>
    <w:rsid w:val="00E27117"/>
    <w:rsid w:val="00E36805"/>
    <w:rsid w:val="00E37E48"/>
    <w:rsid w:val="00E40707"/>
    <w:rsid w:val="00E44395"/>
    <w:rsid w:val="00E45025"/>
    <w:rsid w:val="00E46968"/>
    <w:rsid w:val="00E51F97"/>
    <w:rsid w:val="00E52078"/>
    <w:rsid w:val="00E6126C"/>
    <w:rsid w:val="00E671FA"/>
    <w:rsid w:val="00E700DA"/>
    <w:rsid w:val="00E73197"/>
    <w:rsid w:val="00E74085"/>
    <w:rsid w:val="00E74956"/>
    <w:rsid w:val="00E86CCA"/>
    <w:rsid w:val="00E92076"/>
    <w:rsid w:val="00E932FD"/>
    <w:rsid w:val="00E97A9C"/>
    <w:rsid w:val="00EA0F1B"/>
    <w:rsid w:val="00EA5DC2"/>
    <w:rsid w:val="00EA6846"/>
    <w:rsid w:val="00EB254F"/>
    <w:rsid w:val="00EB77D5"/>
    <w:rsid w:val="00EC6F6C"/>
    <w:rsid w:val="00ED6971"/>
    <w:rsid w:val="00EE46DB"/>
    <w:rsid w:val="00EF2148"/>
    <w:rsid w:val="00F00C52"/>
    <w:rsid w:val="00F0104A"/>
    <w:rsid w:val="00F03CA8"/>
    <w:rsid w:val="00F046BA"/>
    <w:rsid w:val="00F06819"/>
    <w:rsid w:val="00F07CB2"/>
    <w:rsid w:val="00F12772"/>
    <w:rsid w:val="00F15772"/>
    <w:rsid w:val="00F17C0E"/>
    <w:rsid w:val="00F2079E"/>
    <w:rsid w:val="00F234E3"/>
    <w:rsid w:val="00F431AA"/>
    <w:rsid w:val="00F43E1F"/>
    <w:rsid w:val="00F526D0"/>
    <w:rsid w:val="00F5407E"/>
    <w:rsid w:val="00F636F9"/>
    <w:rsid w:val="00F701FA"/>
    <w:rsid w:val="00F77110"/>
    <w:rsid w:val="00F83392"/>
    <w:rsid w:val="00F83909"/>
    <w:rsid w:val="00F83BA5"/>
    <w:rsid w:val="00F8411C"/>
    <w:rsid w:val="00F9309E"/>
    <w:rsid w:val="00FA0D68"/>
    <w:rsid w:val="00FA62B0"/>
    <w:rsid w:val="00FC0ED8"/>
    <w:rsid w:val="00FC2EF5"/>
    <w:rsid w:val="00FC3E60"/>
    <w:rsid w:val="00FC46BF"/>
    <w:rsid w:val="00FC518D"/>
    <w:rsid w:val="00FC7441"/>
    <w:rsid w:val="00FC7A13"/>
    <w:rsid w:val="00FD1CAF"/>
    <w:rsid w:val="00FD1F75"/>
    <w:rsid w:val="00FD2144"/>
    <w:rsid w:val="00FD730F"/>
    <w:rsid w:val="00FE20AD"/>
    <w:rsid w:val="00FE24D2"/>
    <w:rsid w:val="00FE5549"/>
    <w:rsid w:val="00FE596C"/>
    <w:rsid w:val="00FE748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10" w:qFormat="1"/>
    <w:lsdException w:name="Body Text Inden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99"/>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10"/>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10"/>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character" w:styleId="Hyperlink">
    <w:name w:val="Hyperlink"/>
    <w:basedOn w:val="DefaultParagraphFont"/>
    <w:uiPriority w:val="99"/>
    <w:unhideWhenUsed/>
    <w:rsid w:val="001C6FBA"/>
    <w:rPr>
      <w:rFonts w:cs="Times New Roman"/>
      <w:color w:val="0000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12-78/print"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879E2-1B02-4C1B-8AD3-1FE43B69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42</TotalTime>
  <Pages>7</Pages>
  <Words>2024</Words>
  <Characters>11540</Characters>
  <Application>Microsoft Office Word</Application>
  <DocSecurity>0</DocSecurity>
  <Lines>0</Lines>
  <Paragraphs>0</Paragraphs>
  <ScaleCrop>false</ScaleCrop>
  <Company>Kancelaria NR SR</Company>
  <LinksUpToDate>false</LinksUpToDate>
  <CharactersWithSpaces>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19</cp:revision>
  <cp:lastPrinted>2013-05-02T10:55:00Z</cp:lastPrinted>
  <dcterms:created xsi:type="dcterms:W3CDTF">2013-04-08T12:38:00Z</dcterms:created>
  <dcterms:modified xsi:type="dcterms:W3CDTF">2013-05-14T12:51:00Z</dcterms:modified>
</cp:coreProperties>
</file>