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A45E0F">
      <w:pPr>
        <w:rPr>
          <w:rFonts w:ascii="AT*Zurich Calligraphic" w:hAnsi="AT*Zurich Calligraphic"/>
          <w:b/>
        </w:rPr>
      </w:pPr>
    </w:p>
    <w:p w:rsidR="00EC5F3F" w:rsidRPr="003371B9">
      <w:pPr>
        <w:ind w:left="4248"/>
        <w:jc w:val="right"/>
      </w:pPr>
      <w:r>
        <w:rPr>
          <w:sz w:val="28"/>
        </w:rPr>
        <w:t xml:space="preserve">                                        </w:t>
      </w:r>
      <w:r w:rsidR="00224C5E">
        <w:t>25</w:t>
      </w:r>
      <w:r w:rsidRPr="003371B9" w:rsidR="00985280">
        <w:t>.</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224C5E">
        <w:t>423</w:t>
      </w:r>
      <w:r w:rsidRPr="00053FB9" w:rsidR="003371B9">
        <w:t>/</w:t>
      </w:r>
      <w:r w:rsidR="00053FB9">
        <w:t>201</w:t>
      </w:r>
      <w:r w:rsidR="003565D8">
        <w:t>3</w:t>
      </w:r>
    </w:p>
    <w:p w:rsidR="0004001B" w:rsidP="00067F0B">
      <w:pPr>
        <w:ind w:left="3540" w:firstLine="708"/>
        <w:rPr>
          <w:b/>
        </w:rPr>
      </w:pPr>
    </w:p>
    <w:p w:rsidR="00A45E0F" w:rsidP="00067F0B">
      <w:pPr>
        <w:ind w:left="3540" w:firstLine="708"/>
        <w:rPr>
          <w:b/>
        </w:rPr>
      </w:pPr>
      <w:r w:rsidR="001D6BE4">
        <w:rPr>
          <w:b/>
        </w:rPr>
        <w:t xml:space="preserve">          </w:t>
      </w:r>
      <w:r w:rsidR="000B19F4">
        <w:rPr>
          <w:b/>
        </w:rPr>
        <w:t xml:space="preserve"> </w:t>
      </w:r>
    </w:p>
    <w:p w:rsidR="00EF01B1" w:rsidP="00067F0B">
      <w:pPr>
        <w:ind w:left="3540" w:firstLine="708"/>
        <w:rPr>
          <w:b/>
        </w:rPr>
      </w:pPr>
      <w:r w:rsidR="002A13DF">
        <w:rPr>
          <w:b/>
        </w:rPr>
        <w:t xml:space="preserve">          160</w:t>
      </w:r>
    </w:p>
    <w:p w:rsidR="00EC5F3F" w:rsidP="00067F0B">
      <w:pPr>
        <w:ind w:left="3540" w:firstLine="708"/>
        <w:rPr>
          <w:b/>
        </w:rPr>
      </w:pPr>
      <w:r>
        <w:rPr>
          <w:b/>
        </w:rPr>
        <w:t>U z n e s e n i e</w:t>
      </w:r>
    </w:p>
    <w:p w:rsidR="00EC5F3F">
      <w:pPr>
        <w:ind w:right="-567"/>
        <w:jc w:val="center"/>
        <w:rPr>
          <w:b/>
        </w:rPr>
      </w:pPr>
      <w:r>
        <w:rPr>
          <w:b/>
        </w:rPr>
        <w:t>Výboru Národnej rady Slovenskej republiky</w:t>
      </w:r>
    </w:p>
    <w:p w:rsidR="00EC5F3F">
      <w:pPr>
        <w:ind w:right="-567"/>
        <w:jc w:val="center"/>
        <w:rPr>
          <w:b/>
        </w:rPr>
      </w:pPr>
      <w:r>
        <w:rPr>
          <w:b/>
        </w:rPr>
        <w:t>pre f</w:t>
      </w:r>
      <w:r>
        <w:rPr>
          <w:b/>
        </w:rPr>
        <w:t>inancie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224C5E">
        <w:rPr>
          <w:b/>
        </w:rPr>
        <w:t xml:space="preserve"> 9</w:t>
      </w:r>
      <w:r w:rsidR="00C72FBD">
        <w:rPr>
          <w:b/>
        </w:rPr>
        <w:t>.</w:t>
      </w:r>
      <w:r w:rsidR="00224C5E">
        <w:rPr>
          <w:b/>
        </w:rPr>
        <w:t xml:space="preserve"> mája</w:t>
      </w:r>
      <w:r w:rsidR="00EF01B1">
        <w:rPr>
          <w:b/>
        </w:rPr>
        <w:t xml:space="preserve"> 2013</w:t>
      </w:r>
    </w:p>
    <w:p w:rsidR="00AC22E2" w:rsidP="00AC22E2">
      <w:pPr>
        <w:pStyle w:val="Heading1"/>
        <w:ind w:left="0"/>
        <w:jc w:val="both"/>
        <w:rPr>
          <w:rFonts w:eastAsia="Times New Roman"/>
        </w:rPr>
      </w:pPr>
    </w:p>
    <w:p w:rsidR="00224C5E" w:rsidRPr="00224C5E" w:rsidP="00224C5E"/>
    <w:p w:rsidR="00A90A24" w:rsidP="00224C5E">
      <w:pPr>
        <w:jc w:val="both"/>
      </w:pPr>
      <w:r w:rsidRPr="005D2E69" w:rsidR="00EC5F3F">
        <w:t>Výbor Národnej rady Sl</w:t>
      </w:r>
      <w:r w:rsidRPr="005D2E69" w:rsidR="003371B9">
        <w:t>ovenskej republiky pre financie a</w:t>
      </w:r>
      <w:r w:rsidRPr="005D2E69" w:rsidR="00EC5F3F">
        <w:t xml:space="preserve"> rozpočet </w:t>
      </w:r>
      <w:r w:rsidRPr="005D2E69" w:rsidR="00F966EF">
        <w:t>prerokoval</w:t>
      </w:r>
      <w:r w:rsidR="00216351">
        <w:t xml:space="preserve"> </w:t>
      </w:r>
      <w:r w:rsidR="00224C5E">
        <w:t>v</w:t>
      </w:r>
      <w:r w:rsidRPr="00224C5E" w:rsidR="00224C5E">
        <w:rPr>
          <w:bCs w:val="0"/>
        </w:rPr>
        <w:t>ládny návrh zákona, ktorým sa mení a dopĺňa zákon č. 199/2004 Z. z. Colný zákon a o zmene a doplnení niektorých zákonov v znení neskorších predpisov (tlač 355)</w:t>
      </w:r>
      <w:r w:rsidR="00224C5E">
        <w:rPr>
          <w:bCs w:val="0"/>
        </w:rPr>
        <w:t xml:space="preserve"> </w:t>
      </w:r>
      <w:r w:rsidRPr="00A90A24">
        <w:rPr>
          <w:b/>
        </w:rPr>
        <w:t>a</w:t>
      </w:r>
    </w:p>
    <w:p w:rsidR="00EC5F3F" w:rsidP="00117627">
      <w:pPr>
        <w:jc w:val="both"/>
      </w:pPr>
      <w:r w:rsidRPr="005D2E69" w:rsidR="00ED3C5E">
        <w:t xml:space="preserve"> </w:t>
      </w:r>
      <w:r w:rsidRPr="005D2E69" w:rsidR="008458BA">
        <w:t xml:space="preserve"> </w:t>
      </w:r>
    </w:p>
    <w:p w:rsidR="00282205" w:rsidRPr="005D2E69" w:rsidP="00117627">
      <w:pPr>
        <w:jc w:val="both"/>
      </w:pPr>
    </w:p>
    <w:p w:rsidR="00EC5F3F" w:rsidP="00067F0B">
      <w:pPr>
        <w:numPr>
          <w:ilvl w:val="0"/>
          <w:numId w:val="1"/>
        </w:numPr>
        <w:jc w:val="both"/>
        <w:rPr>
          <w:b/>
        </w:rPr>
      </w:pPr>
      <w:r w:rsidR="00224C5E">
        <w:rPr>
          <w:b/>
        </w:rPr>
        <w:t>s</w:t>
      </w:r>
      <w:r>
        <w:rPr>
          <w:b/>
        </w:rPr>
        <w:t>úhlasí</w:t>
      </w:r>
    </w:p>
    <w:p w:rsidR="00224C5E" w:rsidP="00224C5E">
      <w:pPr>
        <w:ind w:left="1440"/>
        <w:jc w:val="both"/>
        <w:rPr>
          <w:b/>
        </w:rPr>
      </w:pPr>
    </w:p>
    <w:p w:rsidR="00D64717" w:rsidRPr="00D64717" w:rsidP="00EF01B1">
      <w:pPr>
        <w:pStyle w:val="BodyText"/>
        <w:spacing w:after="0"/>
        <w:ind w:left="1416" w:firstLine="708"/>
        <w:jc w:val="both"/>
      </w:pPr>
      <w:r w:rsidR="00321A20">
        <w:t>s</w:t>
      </w:r>
      <w:r w:rsidRPr="00A73ECD" w:rsidR="00B614DE">
        <w:t> </w:t>
      </w:r>
      <w:r w:rsidRPr="00A45E0F" w:rsidR="00F362CE">
        <w:t xml:space="preserve"> </w:t>
      </w:r>
      <w:r w:rsidR="00224C5E">
        <w:t>v</w:t>
      </w:r>
      <w:r w:rsidRPr="00224C5E" w:rsidR="00224C5E">
        <w:rPr>
          <w:bCs w:val="0"/>
        </w:rPr>
        <w:t>ládny</w:t>
      </w:r>
      <w:r w:rsidR="00224C5E">
        <w:rPr>
          <w:bCs w:val="0"/>
        </w:rPr>
        <w:t>m</w:t>
      </w:r>
      <w:r w:rsidRPr="00224C5E" w:rsidR="00224C5E">
        <w:rPr>
          <w:bCs w:val="0"/>
        </w:rPr>
        <w:t xml:space="preserve"> návrh</w:t>
      </w:r>
      <w:r w:rsidR="00224C5E">
        <w:rPr>
          <w:bCs w:val="0"/>
        </w:rPr>
        <w:t>om</w:t>
      </w:r>
      <w:r w:rsidRPr="00224C5E" w:rsidR="00224C5E">
        <w:rPr>
          <w:bCs w:val="0"/>
        </w:rPr>
        <w:t xml:space="preserve"> zákona, ktorým sa mení a dopĺňa zákon č. 199/2004 Z. z. Colný zákon a o zmene a doplnení niektorých zákonov v znení neskorších predpisov (tlač 355)</w:t>
      </w:r>
    </w:p>
    <w:p w:rsidR="00A90A24" w:rsidP="00E20A99">
      <w:pPr>
        <w:pStyle w:val="BodyText"/>
        <w:spacing w:after="0"/>
        <w:ind w:left="1416" w:firstLine="708"/>
        <w:jc w:val="both"/>
        <w:rPr>
          <w:color w:val="000000"/>
        </w:rPr>
      </w:pPr>
    </w:p>
    <w:p w:rsidR="00EF01B1" w:rsidRPr="00370DA7" w:rsidP="00E20A99">
      <w:pPr>
        <w:pStyle w:val="BodyText"/>
        <w:spacing w:after="0"/>
        <w:ind w:left="1416" w:firstLine="708"/>
        <w:jc w:val="both"/>
        <w:rPr>
          <w:color w:val="000000"/>
        </w:rPr>
      </w:pPr>
    </w:p>
    <w:p w:rsidR="00067F0B" w:rsidRPr="00067F0B" w:rsidP="00067F0B">
      <w:pPr>
        <w:pStyle w:val="Heading7"/>
        <w:widowControl/>
        <w:numPr>
          <w:ilvl w:val="0"/>
          <w:numId w:val="1"/>
        </w:numPr>
        <w:rPr>
          <w:bCs/>
          <w:lang w:val="sk-SK"/>
        </w:rPr>
      </w:pPr>
      <w:r w:rsidRPr="00067F0B" w:rsidR="00EC5F3F">
        <w:rPr>
          <w:lang w:val="sk-SK"/>
        </w:rPr>
        <w:t>odporúča</w:t>
      </w:r>
      <w:r w:rsidRPr="00067F0B" w:rsidR="00EC5F3F">
        <w:rPr>
          <w:bCs/>
          <w:lang w:val="sk-SK"/>
        </w:rPr>
        <w:t xml:space="preserve"> </w:t>
      </w:r>
    </w:p>
    <w:p w:rsidR="00EC5F3F" w:rsidP="00067F0B">
      <w:pPr>
        <w:pStyle w:val="Heading7"/>
        <w:widowControl/>
        <w:ind w:left="1080"/>
        <w:rPr>
          <w:lang w:val="sk-SK"/>
        </w:rPr>
      </w:pPr>
      <w:r w:rsidRPr="00067F0B" w:rsidR="00067F0B">
        <w:rPr>
          <w:bCs/>
          <w:lang w:val="sk-SK"/>
        </w:rPr>
        <w:t xml:space="preserve">      </w:t>
      </w:r>
      <w:r w:rsidRPr="00067F0B">
        <w:rPr>
          <w:lang w:val="sk-SK"/>
        </w:rPr>
        <w:t>Národnej rade Slovenskej republiky</w:t>
      </w:r>
    </w:p>
    <w:p w:rsidR="00A45E0F" w:rsidRPr="00A45E0F" w:rsidP="00A45E0F"/>
    <w:p w:rsidR="00EC5F3F" w:rsidRPr="00E20A99" w:rsidP="005B36AB">
      <w:pPr>
        <w:pStyle w:val="Heading1"/>
        <w:ind w:left="1416" w:firstLine="708"/>
        <w:jc w:val="both"/>
      </w:pPr>
      <w:r w:rsidRPr="00224C5E" w:rsidR="00224C5E">
        <w:rPr>
          <w:b w:val="0"/>
        </w:rPr>
        <w:t>v</w:t>
      </w:r>
      <w:r w:rsidRPr="00224C5E" w:rsidR="00224C5E">
        <w:rPr>
          <w:b w:val="0"/>
          <w:bCs w:val="0"/>
        </w:rPr>
        <w:t>ládny návrh zákona, ktorým sa mení a dopĺňa zákon č. 199/2004 Z. z. Colný zákon a o zmene a doplnení niektorých zákonov v znení neskorších predpisov (tlač 355)</w:t>
      </w:r>
      <w:r w:rsidR="00224C5E">
        <w:rPr>
          <w:bCs w:val="0"/>
        </w:rPr>
        <w:t xml:space="preserve">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 xml:space="preserve">sú uvedené </w:t>
      </w:r>
      <w:r w:rsidRPr="00E20A99" w:rsidR="00F33022">
        <w:t>v prílohe tohto uznesenia</w:t>
      </w:r>
    </w:p>
    <w:p w:rsidR="00E13467" w:rsidP="000139BA">
      <w:pPr>
        <w:ind w:left="1416"/>
        <w:jc w:val="both"/>
        <w:rPr>
          <w:b/>
        </w:rPr>
      </w:pPr>
      <w:r>
        <w:rPr>
          <w:b/>
        </w:rPr>
        <w:tab/>
      </w:r>
    </w:p>
    <w:p w:rsidR="00D64717" w:rsidP="000139BA">
      <w:pPr>
        <w:ind w:left="1416"/>
        <w:jc w:val="both"/>
        <w:rPr>
          <w:b/>
        </w:rPr>
      </w:pPr>
    </w:p>
    <w:p w:rsidR="00067F0B" w:rsidP="00067F0B">
      <w:pPr>
        <w:pStyle w:val="Heading5"/>
        <w:numPr>
          <w:ilvl w:val="0"/>
          <w:numId w:val="1"/>
        </w:numPr>
      </w:pPr>
      <w:r w:rsidR="00EC5F3F">
        <w:t>ukladá</w:t>
      </w:r>
    </w:p>
    <w:p w:rsidR="00EC5F3F" w:rsidP="00067F0B">
      <w:pPr>
        <w:pStyle w:val="Heading5"/>
        <w:ind w:left="1080"/>
      </w:pPr>
      <w:r w:rsidR="00067F0B">
        <w:t xml:space="preserve">      </w:t>
      </w:r>
      <w:r>
        <w:t>predsedovi výboru</w:t>
      </w:r>
    </w:p>
    <w:p w:rsidR="00067F0B" w:rsidP="00067F0B">
      <w:pPr>
        <w:ind w:left="1776"/>
        <w:rPr>
          <w:b/>
        </w:rPr>
      </w:pPr>
    </w:p>
    <w:p w:rsidR="00224C5E" w:rsidP="00224C5E">
      <w:pPr>
        <w:pStyle w:val="BodyText"/>
        <w:spacing w:after="0"/>
        <w:ind w:left="1770" w:firstLine="352"/>
        <w:jc w:val="both"/>
        <w:rPr>
          <w:szCs w:val="20"/>
        </w:rPr>
      </w:pPr>
      <w:r w:rsidR="00BD7172">
        <w:t xml:space="preserve"> </w:t>
      </w:r>
      <w:r w:rsidR="00E20A99">
        <w:t xml:space="preserve"> </w:t>
      </w:r>
      <w:r w:rsidRPr="00224C5E">
        <w:rPr>
          <w:szCs w:val="20"/>
        </w:rPr>
        <w:t xml:space="preserve">informovať predsedu Národnej rady Slovenskej republiky o výsledku </w:t>
      </w:r>
    </w:p>
    <w:p w:rsidR="00224C5E" w:rsidRPr="00224C5E" w:rsidP="00224C5E">
      <w:pPr>
        <w:pStyle w:val="BodyText"/>
        <w:spacing w:after="0"/>
        <w:ind w:left="1062" w:firstLine="352"/>
        <w:jc w:val="both"/>
        <w:rPr>
          <w:szCs w:val="20"/>
        </w:rPr>
      </w:pPr>
      <w:r>
        <w:rPr>
          <w:szCs w:val="20"/>
        </w:rPr>
        <w:t xml:space="preserve"> </w:t>
      </w:r>
      <w:r w:rsidRPr="00224C5E">
        <w:rPr>
          <w:szCs w:val="20"/>
        </w:rPr>
        <w:t>prerokovania uvedených návrhov vo výbore.</w:t>
      </w:r>
    </w:p>
    <w:p w:rsidR="00111508" w:rsidRPr="00111508" w:rsidP="00111508">
      <w:pPr>
        <w:pStyle w:val="BodyTextIndent3"/>
        <w:ind w:firstLine="351"/>
        <w:rPr>
          <w:lang w:val="sk-SK"/>
        </w:rPr>
      </w:pPr>
    </w:p>
    <w:p w:rsidR="00C059CD" w:rsidP="00A73ECD">
      <w:pPr>
        <w:rPr>
          <w:b/>
          <w:bCs w:val="0"/>
        </w:rPr>
      </w:pPr>
      <w:r w:rsidR="00E20A99">
        <w:t xml:space="preserve">                                                            </w:t>
      </w:r>
    </w:p>
    <w:p w:rsidR="00A90A24">
      <w:pPr>
        <w:ind w:left="5664" w:firstLine="708"/>
        <w:rPr>
          <w:b/>
          <w:bCs w:val="0"/>
        </w:rPr>
      </w:pPr>
    </w:p>
    <w:p w:rsidR="00EF01B1">
      <w:pPr>
        <w:ind w:left="5664" w:firstLine="708"/>
        <w:rPr>
          <w:b/>
          <w:bCs w:val="0"/>
        </w:rPr>
      </w:pPr>
    </w:p>
    <w:p w:rsidR="00EF01B1">
      <w:pPr>
        <w:ind w:left="5664" w:firstLine="708"/>
        <w:rPr>
          <w:b/>
          <w:bCs w:val="0"/>
        </w:rPr>
      </w:pPr>
    </w:p>
    <w:p w:rsidR="00450C55">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00A90A24">
        <w:rPr>
          <w:b/>
          <w:bCs w:val="0"/>
        </w:rPr>
        <w:t>Daniel Duchoň</w:t>
      </w:r>
    </w:p>
    <w:p w:rsidR="00EC5F3F" w:rsidRPr="003371B9">
      <w:pPr>
        <w:ind w:left="5664" w:firstLine="708"/>
        <w:rPr>
          <w:bCs w:val="0"/>
        </w:rPr>
      </w:pPr>
      <w:r w:rsidRPr="003371B9" w:rsidR="00E20A99">
        <w:t xml:space="preserve">           </w:t>
      </w:r>
      <w:r w:rsidRPr="003371B9">
        <w:t xml:space="preserve"> </w:t>
      </w:r>
      <w:r w:rsidRPr="003371B9" w:rsidR="00E20A99">
        <w:t xml:space="preserve">  </w:t>
      </w:r>
      <w:r w:rsidRPr="003371B9">
        <w:t>pr</w:t>
      </w:r>
      <w:r w:rsidRPr="003371B9">
        <w:t>edseda výboru</w:t>
      </w:r>
    </w:p>
    <w:p w:rsidR="00EC5F3F">
      <w:pPr>
        <w:pStyle w:val="Heading4"/>
      </w:pPr>
    </w:p>
    <w:p w:rsidR="00595842" w:rsidRPr="00BD7172" w:rsidP="00595842">
      <w:pPr>
        <w:jc w:val="both"/>
        <w:rPr>
          <w:b/>
        </w:rPr>
      </w:pPr>
      <w:r w:rsidR="00C37D3C">
        <w:rPr>
          <w:b/>
        </w:rPr>
        <w:t xml:space="preserve">   </w:t>
      </w:r>
      <w:r w:rsidR="00A90A24">
        <w:rPr>
          <w:b/>
        </w:rPr>
        <w:t xml:space="preserve">  Milan Mojš</w:t>
      </w:r>
    </w:p>
    <w:p w:rsidR="00EC5F3F">
      <w:r w:rsidR="00595842">
        <w:t xml:space="preserve">  </w:t>
      </w:r>
      <w:r>
        <w:t>overovateľ výboru</w:t>
      </w:r>
    </w:p>
    <w:p w:rsidR="00A45E0F"/>
    <w:p w:rsidR="00A90A24"/>
    <w:p w:rsidR="00EF01B1"/>
    <w:p w:rsidR="00EF01B1"/>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0D14F9">
      <w:pPr>
        <w:jc w:val="right"/>
        <w:rPr>
          <w:b/>
        </w:rPr>
      </w:pPr>
      <w:r>
        <w:t xml:space="preserve">Príloha k uzn. </w:t>
      </w:r>
      <w:r w:rsidRPr="006C72E6">
        <w:rPr>
          <w:b/>
        </w:rPr>
        <w:t>č.</w:t>
      </w:r>
      <w:r w:rsidR="00272FA8">
        <w:rPr>
          <w:b/>
        </w:rPr>
        <w:t xml:space="preserve"> </w:t>
      </w:r>
      <w:r w:rsidR="006A42CE">
        <w:rPr>
          <w:b/>
        </w:rPr>
        <w:t>160</w:t>
      </w:r>
    </w:p>
    <w:p w:rsidR="000D14F9" w:rsidRPr="003371B9" w:rsidP="000D14F9">
      <w:pPr>
        <w:jc w:val="right"/>
      </w:pPr>
      <w:r w:rsidR="00224C5E">
        <w:rPr>
          <w:bCs w:val="0"/>
        </w:rPr>
        <w:t>25</w:t>
      </w:r>
      <w:r w:rsidR="00A90A24">
        <w:rPr>
          <w:bCs w:val="0"/>
        </w:rPr>
        <w:t>.</w:t>
      </w:r>
      <w:r w:rsidRPr="003371B9">
        <w:rPr>
          <w:bCs w:val="0"/>
        </w:rPr>
        <w:t xml:space="preserve"> </w:t>
      </w:r>
      <w:r w:rsidRPr="003371B9">
        <w:t>schôdza</w:t>
      </w:r>
    </w:p>
    <w:p w:rsidR="000D14F9" w:rsidP="000D14F9">
      <w:pPr>
        <w:jc w:val="center"/>
        <w:rPr>
          <w:b/>
        </w:rPr>
      </w:pPr>
    </w:p>
    <w:p w:rsidR="00EF01B1" w:rsidP="000D14F9">
      <w:pPr>
        <w:jc w:val="center"/>
        <w:rPr>
          <w:b/>
        </w:rPr>
      </w:pPr>
    </w:p>
    <w:p w:rsidR="003727C3" w:rsidP="000D14F9">
      <w:pPr>
        <w:jc w:val="center"/>
        <w:rPr>
          <w:b/>
        </w:rPr>
      </w:pPr>
    </w:p>
    <w:p w:rsidR="004A12F3" w:rsidP="000D14F9">
      <w:pPr>
        <w:jc w:val="center"/>
        <w:rPr>
          <w:b/>
          <w:bCs w:val="0"/>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111508">
      <w:pPr>
        <w:pStyle w:val="Heading1"/>
        <w:ind w:left="360"/>
        <w:jc w:val="center"/>
      </w:pPr>
      <w:r w:rsidR="00117627">
        <w:t>k</w:t>
      </w:r>
      <w:r w:rsidR="00111508">
        <w:t> </w:t>
      </w:r>
      <w:r w:rsidRPr="00224C5E" w:rsidR="00224C5E">
        <w:t>v</w:t>
      </w:r>
      <w:r w:rsidRPr="00224C5E" w:rsidR="00224C5E">
        <w:rPr>
          <w:bCs w:val="0"/>
        </w:rPr>
        <w:t xml:space="preserve">ládnemu návrhu </w:t>
      </w:r>
      <w:r w:rsidRPr="00224C5E" w:rsidR="00224C5E">
        <w:rPr>
          <w:bCs w:val="0"/>
        </w:rPr>
        <w:t>zákona, ktorým sa mení a dopĺňa zákon č. 199/2004 Z. z. Colný zákon a o zmene a doplnení niektorých zákonov v znení neskorších predpisov (tlač 355)</w:t>
      </w:r>
    </w:p>
    <w:p w:rsidR="000D14F9" w:rsidP="000D14F9">
      <w:pPr>
        <w:rPr>
          <w:b/>
          <w:bCs w:val="0"/>
        </w:rPr>
      </w:pPr>
      <w:r>
        <w:rPr>
          <w:b/>
          <w:bCs w:val="0"/>
        </w:rPr>
        <w:t xml:space="preserve">––––––––––––––––––––––––––––––––––––––––––––––––––––––––––––––––––––––––––––––  </w:t>
      </w:r>
    </w:p>
    <w:p w:rsidR="006526B6" w:rsidP="000D14F9">
      <w:pPr>
        <w:rPr>
          <w:b/>
          <w:bCs w:val="0"/>
        </w:rPr>
      </w:pPr>
    </w:p>
    <w:p w:rsidR="006A42CE" w:rsidRPr="006A42CE" w:rsidP="006A42CE">
      <w:pPr>
        <w:numPr>
          <w:ilvl w:val="0"/>
          <w:numId w:val="45"/>
        </w:numPr>
        <w:ind w:left="284" w:hanging="284"/>
        <w:jc w:val="both"/>
        <w:rPr>
          <w:rFonts w:eastAsia="Calibri"/>
          <w:bCs w:val="0"/>
          <w:u w:val="single"/>
        </w:rPr>
      </w:pPr>
      <w:r w:rsidRPr="006A42CE">
        <w:rPr>
          <w:rFonts w:eastAsia="Calibri"/>
          <w:b/>
          <w:bCs w:val="0"/>
          <w:u w:val="single"/>
        </w:rPr>
        <w:t>K názvu</w:t>
      </w:r>
    </w:p>
    <w:p w:rsidR="006A42CE" w:rsidRPr="006A42CE" w:rsidP="006A42CE">
      <w:pPr>
        <w:jc w:val="both"/>
        <w:rPr>
          <w:rFonts w:eastAsia="Calibri"/>
          <w:bCs w:val="0"/>
        </w:rPr>
      </w:pPr>
      <w:r w:rsidRPr="006A42CE">
        <w:rPr>
          <w:rFonts w:eastAsia="Calibri"/>
          <w:bCs w:val="0"/>
        </w:rPr>
        <w:t>V názve návrhu zák</w:t>
      </w:r>
      <w:r w:rsidRPr="006A42CE">
        <w:rPr>
          <w:rFonts w:eastAsia="Calibri"/>
          <w:bCs w:val="0"/>
        </w:rPr>
        <w:t>ona sa na konci pripájajú tieto slová: „a ktorým sa menia a dopĺňajú niektoré zákony“.</w:t>
      </w:r>
    </w:p>
    <w:p w:rsidR="006A42CE" w:rsidRPr="006A42CE" w:rsidP="006A42CE">
      <w:pPr>
        <w:jc w:val="both"/>
        <w:rPr>
          <w:rFonts w:eastAsia="Calibri"/>
          <w:b/>
          <w:bCs w:val="0"/>
          <w:lang w:eastAsia="en-US"/>
        </w:rPr>
      </w:pPr>
    </w:p>
    <w:p w:rsidR="006A42CE" w:rsidRPr="006A42CE" w:rsidP="006A42CE">
      <w:pPr>
        <w:ind w:left="2832"/>
        <w:jc w:val="both"/>
        <w:rPr>
          <w:rFonts w:eastAsia="Calibri"/>
          <w:bCs w:val="0"/>
        </w:rPr>
      </w:pPr>
      <w:r w:rsidRPr="006A42CE">
        <w:rPr>
          <w:rFonts w:eastAsia="Calibri"/>
          <w:bCs w:val="0"/>
        </w:rPr>
        <w:t>V súvislosti s vložením nových článkov do návrhu zákona je potrebné upraviť názov návrhu zákona.</w:t>
      </w:r>
    </w:p>
    <w:p w:rsidR="006A42CE" w:rsidP="006A42CE">
      <w:pPr>
        <w:jc w:val="both"/>
        <w:rPr>
          <w:rFonts w:eastAsia="Calibri"/>
          <w:b/>
          <w:bCs w:val="0"/>
          <w:lang w:eastAsia="en-US"/>
        </w:rPr>
      </w:pPr>
    </w:p>
    <w:p w:rsidR="006A42CE" w:rsidRPr="006A42CE" w:rsidP="006A42CE">
      <w:pPr>
        <w:pStyle w:val="ListParagraph"/>
        <w:widowControl w:val="0"/>
        <w:numPr>
          <w:ilvl w:val="0"/>
          <w:numId w:val="45"/>
        </w:numPr>
        <w:autoSpaceDE w:val="0"/>
        <w:autoSpaceDN w:val="0"/>
        <w:adjustRightInd w:val="0"/>
        <w:spacing w:after="0" w:line="240" w:lineRule="auto"/>
        <w:ind w:left="284"/>
        <w:jc w:val="both"/>
        <w:rPr>
          <w:rFonts w:ascii="Times New Roman" w:hAnsi="Times New Roman"/>
          <w:b/>
          <w:sz w:val="24"/>
          <w:szCs w:val="24"/>
          <w:u w:val="single"/>
        </w:rPr>
      </w:pPr>
      <w:r w:rsidRPr="006A42CE">
        <w:rPr>
          <w:rFonts w:ascii="Times New Roman" w:hAnsi="Times New Roman"/>
          <w:b/>
          <w:sz w:val="24"/>
          <w:szCs w:val="24"/>
          <w:u w:val="single"/>
        </w:rPr>
        <w:t>K čl. I 2. bodu § 12</w:t>
      </w:r>
    </w:p>
    <w:p w:rsidR="006A42CE" w:rsidRPr="006A42CE" w:rsidP="006A42CE">
      <w:pPr>
        <w:pStyle w:val="ListParagraph"/>
        <w:spacing w:after="0" w:line="240" w:lineRule="auto"/>
        <w:ind w:left="0"/>
        <w:jc w:val="both"/>
        <w:rPr>
          <w:rFonts w:ascii="Times New Roman" w:hAnsi="Times New Roman"/>
          <w:sz w:val="24"/>
          <w:szCs w:val="24"/>
        </w:rPr>
      </w:pPr>
      <w:r w:rsidRPr="006A42CE">
        <w:rPr>
          <w:rFonts w:ascii="Times New Roman" w:hAnsi="Times New Roman"/>
          <w:sz w:val="24"/>
          <w:szCs w:val="24"/>
        </w:rPr>
        <w:t>V čl. I  2. bode  poznámka pod čiarou k odkazu 20a znie:</w:t>
      </w:r>
    </w:p>
    <w:p w:rsidR="006A42CE" w:rsidRPr="006A42CE" w:rsidP="006A42CE">
      <w:pPr>
        <w:pStyle w:val="ListParagraph"/>
        <w:spacing w:after="0" w:line="240" w:lineRule="auto"/>
        <w:ind w:left="0"/>
        <w:jc w:val="both"/>
        <w:rPr>
          <w:rFonts w:ascii="Times New Roman" w:hAnsi="Times New Roman"/>
          <w:sz w:val="24"/>
          <w:szCs w:val="24"/>
        </w:rPr>
      </w:pPr>
      <w:r w:rsidRPr="006A42CE">
        <w:rPr>
          <w:rFonts w:ascii="Times New Roman" w:hAnsi="Times New Roman"/>
          <w:sz w:val="24"/>
          <w:szCs w:val="24"/>
        </w:rPr>
        <w:t>„20a) § 4 ods. 3 písm. v) a   § 5 ods. 3 písm. j)  zákona č. 333/2011 Z.z. v znení zákona č. 69/2012 Z.z..“.</w:t>
      </w:r>
    </w:p>
    <w:p w:rsidR="006A42CE" w:rsidRPr="006A42CE" w:rsidP="006A42CE">
      <w:pPr>
        <w:pStyle w:val="ListParagraph"/>
        <w:spacing w:after="0" w:line="240" w:lineRule="auto"/>
        <w:jc w:val="both"/>
        <w:rPr>
          <w:rFonts w:ascii="Times New Roman" w:hAnsi="Times New Roman"/>
          <w:sz w:val="24"/>
          <w:szCs w:val="24"/>
        </w:rPr>
      </w:pPr>
    </w:p>
    <w:p w:rsidR="006A42CE" w:rsidRPr="006A42CE" w:rsidP="006A42CE">
      <w:pPr>
        <w:pStyle w:val="ListParagraph"/>
        <w:spacing w:after="0" w:line="240" w:lineRule="auto"/>
        <w:ind w:left="2832" w:firstLine="3"/>
        <w:jc w:val="both"/>
        <w:rPr>
          <w:rFonts w:ascii="Times New Roman" w:hAnsi="Times New Roman"/>
          <w:sz w:val="24"/>
          <w:szCs w:val="24"/>
        </w:rPr>
      </w:pPr>
      <w:r w:rsidRPr="006A42CE">
        <w:rPr>
          <w:rFonts w:ascii="Times New Roman" w:hAnsi="Times New Roman"/>
          <w:sz w:val="24"/>
          <w:szCs w:val="24"/>
        </w:rPr>
        <w:t>Ide o aktualizáciu znenia poznámky pod čiarou k odkazu 20a v nadväznosti na poslednú novelizáciu zákona č. 333/2011 Z.z. o orgánoch štátnej správy v oblasti daní, poplatkov a colníctva v znení neskorších predpisov zákonom č. 441/2012 Z.z., ktorou bolo upravené znenie § 4 ods. 3 a § 5 ods. 3 upravujúce pôsobnosť Finančného riaditeľstva a  Kriminálneho úradu finančnej správy, na ktoré sa v § 12 návrhu zákona odkazuje.</w:t>
      </w:r>
    </w:p>
    <w:p w:rsidR="006A42CE" w:rsidRPr="006A42CE" w:rsidP="006A42CE">
      <w:pPr>
        <w:pStyle w:val="ListParagraph"/>
        <w:spacing w:after="0" w:line="240" w:lineRule="auto"/>
        <w:jc w:val="both"/>
        <w:rPr>
          <w:rFonts w:ascii="Times New Roman" w:hAnsi="Times New Roman"/>
          <w:sz w:val="24"/>
          <w:szCs w:val="24"/>
        </w:rPr>
      </w:pPr>
    </w:p>
    <w:p w:rsidR="006A42CE" w:rsidP="006A42CE">
      <w:pPr>
        <w:jc w:val="both"/>
        <w:rPr>
          <w:rFonts w:eastAsia="Calibri"/>
          <w:b/>
          <w:bCs w:val="0"/>
          <w:lang w:eastAsia="en-US"/>
        </w:rPr>
      </w:pPr>
    </w:p>
    <w:p w:rsidR="006A42CE" w:rsidRPr="006A42CE" w:rsidP="006A42CE">
      <w:pPr>
        <w:numPr>
          <w:ilvl w:val="0"/>
          <w:numId w:val="45"/>
        </w:numPr>
        <w:ind w:left="284"/>
        <w:jc w:val="both"/>
        <w:rPr>
          <w:b/>
          <w:bCs w:val="0"/>
          <w:u w:val="single"/>
        </w:rPr>
      </w:pPr>
      <w:r w:rsidRPr="006A42CE">
        <w:rPr>
          <w:b/>
          <w:bCs w:val="0"/>
          <w:u w:val="single"/>
        </w:rPr>
        <w:t>K novým článkom II až V</w:t>
      </w:r>
    </w:p>
    <w:p w:rsidR="006A42CE" w:rsidRPr="006A42CE" w:rsidP="006A42CE">
      <w:pPr>
        <w:jc w:val="both"/>
        <w:rPr>
          <w:rFonts w:eastAsia="Calibri"/>
          <w:bCs w:val="0"/>
        </w:rPr>
      </w:pPr>
      <w:r w:rsidRPr="006A42CE">
        <w:rPr>
          <w:bCs w:val="0"/>
        </w:rPr>
        <w:t>Za článok I sa vkladajú nové články II až V, ktoré znejú:</w:t>
      </w:r>
    </w:p>
    <w:p w:rsidR="006A42CE" w:rsidRPr="006A42CE" w:rsidP="006A42CE">
      <w:pPr>
        <w:ind w:left="720"/>
        <w:contextualSpacing/>
        <w:jc w:val="both"/>
        <w:rPr>
          <w:bCs w:val="0"/>
        </w:rPr>
      </w:pPr>
    </w:p>
    <w:p w:rsidR="006A42CE" w:rsidRPr="006A42CE" w:rsidP="006A42CE">
      <w:pPr>
        <w:jc w:val="center"/>
        <w:rPr>
          <w:rFonts w:eastAsia="Calibri"/>
          <w:bCs w:val="0"/>
          <w:lang w:eastAsia="en-US"/>
        </w:rPr>
      </w:pPr>
      <w:r w:rsidRPr="006A42CE">
        <w:rPr>
          <w:rFonts w:eastAsia="Calibri"/>
          <w:bCs w:val="0"/>
          <w:lang w:eastAsia="en-US"/>
        </w:rPr>
        <w:t>„Čl. II</w:t>
      </w:r>
    </w:p>
    <w:p w:rsidR="006A42CE" w:rsidRPr="006A42CE" w:rsidP="006A42CE">
      <w:pPr>
        <w:jc w:val="both"/>
        <w:rPr>
          <w:rFonts w:eastAsia="Calibri"/>
          <w:bCs w:val="0"/>
          <w:lang w:eastAsia="en-US"/>
        </w:rPr>
      </w:pPr>
    </w:p>
    <w:p w:rsidR="006A42CE" w:rsidRPr="006A42CE" w:rsidP="006A42CE">
      <w:pPr>
        <w:ind w:firstLine="708"/>
        <w:jc w:val="both"/>
        <w:rPr>
          <w:rFonts w:eastAsia="Calibri"/>
          <w:bCs w:val="0"/>
          <w:lang w:eastAsia="en-US"/>
        </w:rPr>
      </w:pPr>
      <w:r w:rsidRPr="006A42CE">
        <w:rPr>
          <w:rFonts w:eastAsia="Calibri"/>
          <w:bCs w:val="0"/>
          <w:lang w:eastAsia="en-US"/>
        </w:rPr>
        <w:t>Zákon Národnej rady Slovenskej republiky č. 278/1993 Z. z. o správe majetku štátu v znení zákona Národnej rady Slovenskej republiky č. 374/1996 Z. z., zákona č. 72/1999 Z. z., zákona č. 121/2001 Z. z., zákona č. 509/2001 Z. z., nálezu Ústavného súdu Slovenskej republiky č. 64/2002 Z. z., zákona č. 435/2002 Z. z., zákona č. 161/2003 Z. z., zákona č. 512/2003 Z. z., zákona č. 618/2004 Z. z., zákona č. 534/2005 Z. z., zákona                                 č. 277/2007 Z. z., zákona č. 325/2007 Z. z., zákona č. 165/2008 Z. z., zákona č. 245/2008 Z. z., zákona č. 510/2010 Z. z., zákona č. 547/2011 Z. z., nálezu Ústavného súdu Slovenskej republiky č. 217/2012 Z. z. a zákona č. 345/2012 Z. z. sa mení takto:</w:t>
      </w:r>
    </w:p>
    <w:p w:rsidR="006A42CE" w:rsidRPr="006A42CE" w:rsidP="006A42CE">
      <w:pPr>
        <w:ind w:left="720"/>
        <w:jc w:val="both"/>
        <w:rPr>
          <w:rFonts w:eastAsia="Calibri"/>
          <w:bCs w:val="0"/>
          <w:lang w:eastAsia="en-US"/>
        </w:rPr>
      </w:pPr>
    </w:p>
    <w:p w:rsidR="006A42CE" w:rsidRPr="006A42CE" w:rsidP="006A42CE">
      <w:pPr>
        <w:jc w:val="both"/>
        <w:rPr>
          <w:rFonts w:eastAsia="Calibri"/>
          <w:bCs w:val="0"/>
          <w:lang w:eastAsia="en-US"/>
        </w:rPr>
      </w:pPr>
      <w:r w:rsidRPr="006A42CE">
        <w:rPr>
          <w:rFonts w:eastAsia="Calibri"/>
          <w:bCs w:val="0"/>
          <w:lang w:eastAsia="en-US"/>
        </w:rPr>
        <w:t>1.  V § 13 ods. 3, 4 a 9 sa slová “päť rokov“ nahrádzajú slovami „dva roky“.</w:t>
      </w:r>
    </w:p>
    <w:p w:rsidR="006A42CE" w:rsidRPr="006A42CE" w:rsidP="006A42CE">
      <w:pPr>
        <w:jc w:val="both"/>
        <w:rPr>
          <w:rFonts w:eastAsia="Calibri"/>
          <w:bCs w:val="0"/>
          <w:lang w:eastAsia="en-US"/>
        </w:rPr>
      </w:pPr>
    </w:p>
    <w:p w:rsidR="006A42CE" w:rsidRPr="006A42CE" w:rsidP="006A42CE">
      <w:pPr>
        <w:ind w:left="2832"/>
        <w:jc w:val="both"/>
        <w:rPr>
          <w:rFonts w:eastAsia="Calibri"/>
          <w:bCs w:val="0"/>
          <w:lang w:eastAsia="en-US"/>
        </w:rPr>
      </w:pPr>
      <w:r w:rsidRPr="006A42CE">
        <w:rPr>
          <w:rFonts w:eastAsia="Calibri"/>
          <w:bCs w:val="0"/>
          <w:lang w:eastAsia="en-US"/>
        </w:rPr>
        <w:t>V súlade s cieľmi vládneho programu zmien štátnej správy ESO je potrebné optimalizovať aj využívanie nehnuteľného majetku štátu. Navrhovaná zmena zákona má umožniť efektívnejšie a hospodárnejšie využívanie nehnuteľného majetku štátu v rámci reformy štátnej správy.</w:t>
      </w:r>
    </w:p>
    <w:p w:rsidR="006A42CE" w:rsidRPr="006A42CE" w:rsidP="006A42CE">
      <w:pPr>
        <w:jc w:val="both"/>
        <w:rPr>
          <w:rFonts w:eastAsia="Calibri"/>
          <w:b/>
          <w:bCs w:val="0"/>
          <w:lang w:eastAsia="en-US"/>
        </w:rPr>
      </w:pPr>
    </w:p>
    <w:p w:rsidR="006A42CE" w:rsidRPr="006A42CE" w:rsidP="006A42CE">
      <w:pPr>
        <w:jc w:val="both"/>
        <w:rPr>
          <w:rFonts w:eastAsia="Calibri"/>
          <w:bCs w:val="0"/>
          <w:lang w:eastAsia="en-US"/>
        </w:rPr>
      </w:pPr>
      <w:r w:rsidRPr="006A42CE">
        <w:rPr>
          <w:rFonts w:eastAsia="Calibri"/>
          <w:bCs w:val="0"/>
          <w:lang w:eastAsia="en-US"/>
        </w:rPr>
        <w:t>2. V § 18j ods. 1 sa číslo „2008“ nahrádza číslom „2011“.</w:t>
      </w:r>
    </w:p>
    <w:p w:rsidR="006A42CE" w:rsidRPr="006A42CE" w:rsidP="006A42CE">
      <w:pPr>
        <w:jc w:val="both"/>
        <w:rPr>
          <w:rFonts w:eastAsia="Calibri"/>
          <w:bCs w:val="0"/>
          <w:highlight w:val="yellow"/>
          <w:lang w:eastAsia="en-US"/>
        </w:rPr>
      </w:pPr>
    </w:p>
    <w:p w:rsidR="006A42CE" w:rsidRPr="006A42CE" w:rsidP="006A42CE">
      <w:pPr>
        <w:ind w:left="2832"/>
        <w:jc w:val="both"/>
        <w:rPr>
          <w:bCs w:val="0"/>
        </w:rPr>
      </w:pPr>
      <w:r w:rsidRPr="006A42CE">
        <w:rPr>
          <w:bCs w:val="0"/>
        </w:rPr>
        <w:t xml:space="preserve">Podľa platného znenia zákona je možné postúpiť pohľadávku štátu, ktorá vznikla do 1. januára 2008 a ktorej vymáhanie vlastnými prostriedkami správcu nebolo účinné, a to len právnickej osobe – obchodnej spoločnosti so 100% majetkovou účasťou štátu. Táto právnická osoba nie je oprávnená postúpenú pohľadávku ďalej postúpiť. Predložená zmena umožní pokračovať v ďalšej etape postupovania pohľadávok štátu. Správca pohľadávky štátu bude oprávnený postúpiť aj pohľadávku štátu, ktorá vznikla do 1. januára 2011, za rovnakých podmienok, aké predpokladá súčasná právna úprava. </w:t>
      </w:r>
    </w:p>
    <w:p w:rsidR="006A42CE" w:rsidRPr="006A42CE" w:rsidP="006A42CE">
      <w:pPr>
        <w:ind w:left="4248"/>
        <w:jc w:val="both"/>
        <w:rPr>
          <w:bCs w:val="0"/>
        </w:rPr>
      </w:pPr>
    </w:p>
    <w:p w:rsidR="006A42CE" w:rsidRPr="006A42CE" w:rsidP="006A42CE">
      <w:pPr>
        <w:jc w:val="both"/>
        <w:rPr>
          <w:rFonts w:eastAsia="Calibri"/>
          <w:b/>
          <w:bCs w:val="0"/>
          <w:lang w:eastAsia="en-US"/>
        </w:rPr>
      </w:pPr>
    </w:p>
    <w:p w:rsidR="006A42CE" w:rsidRPr="006A42CE" w:rsidP="006A42CE">
      <w:pPr>
        <w:ind w:firstLine="720"/>
        <w:jc w:val="center"/>
        <w:rPr>
          <w:bCs w:val="0"/>
        </w:rPr>
      </w:pPr>
      <w:r w:rsidRPr="006A42CE">
        <w:rPr>
          <w:bCs w:val="0"/>
        </w:rPr>
        <w:t>Čl. III</w:t>
      </w:r>
    </w:p>
    <w:p w:rsidR="006A42CE" w:rsidRPr="006A42CE" w:rsidP="006A42CE">
      <w:pPr>
        <w:ind w:firstLine="720"/>
        <w:jc w:val="center"/>
        <w:rPr>
          <w:bCs w:val="0"/>
        </w:rPr>
      </w:pPr>
    </w:p>
    <w:p w:rsidR="006A42CE" w:rsidRPr="006A42CE" w:rsidP="006A42CE">
      <w:pPr>
        <w:ind w:firstLine="720"/>
        <w:jc w:val="both"/>
        <w:rPr>
          <w:bCs w:val="0"/>
        </w:rPr>
      </w:pPr>
      <w:r w:rsidRPr="006A42CE">
        <w:rPr>
          <w:bCs w:val="0"/>
        </w:rPr>
        <w:t xml:space="preserve">Zákon č. 502/2001 Z. z. o finančnej kontrole a vnútornom audite a o zmene a doplnení niektorých zákonov v znení zákona č. 618/2004 Z. z., zákona č. 165/2008 Z. z., zákona č. 264/2008 Z. z., zákona č. 57/2010 Z. z. a zákona č. 69/2012 Z. z. sa mení a dopĺňa takto: </w:t>
      </w:r>
    </w:p>
    <w:p w:rsidR="006A42CE" w:rsidRPr="006A42CE" w:rsidP="006A42CE">
      <w:pPr>
        <w:ind w:firstLine="720"/>
        <w:jc w:val="center"/>
        <w:rPr>
          <w:bCs w:val="0"/>
        </w:rPr>
      </w:pPr>
    </w:p>
    <w:p w:rsidR="006A42CE" w:rsidRPr="006A42CE" w:rsidP="006A42CE">
      <w:pPr>
        <w:numPr>
          <w:ilvl w:val="0"/>
          <w:numId w:val="39"/>
        </w:numPr>
        <w:contextualSpacing/>
        <w:jc w:val="both"/>
        <w:rPr>
          <w:rFonts w:eastAsia="Calibri"/>
          <w:bCs w:val="0"/>
        </w:rPr>
      </w:pPr>
      <w:r w:rsidRPr="006A42CE">
        <w:rPr>
          <w:rFonts w:eastAsia="Calibri"/>
          <w:bCs w:val="0"/>
        </w:rPr>
        <w:t>V § 35c ods. 7 písm. b) sa slová „tri roky“ nahrádzajú slovami „jeden rok“, za slovo „oblasti“ sa vkladá slovo „následnej“ a za slová „vnútorného auditu“ sa vkladá čiarka a slová „vládneho auditu“.</w:t>
      </w:r>
    </w:p>
    <w:p w:rsidR="006A42CE" w:rsidRPr="006A42CE" w:rsidP="006A42CE">
      <w:pPr>
        <w:ind w:left="284"/>
        <w:contextualSpacing/>
        <w:jc w:val="both"/>
        <w:rPr>
          <w:bCs w:val="0"/>
        </w:rPr>
      </w:pPr>
    </w:p>
    <w:p w:rsidR="006A42CE" w:rsidRPr="006A42CE" w:rsidP="006A42CE">
      <w:pPr>
        <w:ind w:left="2832"/>
        <w:jc w:val="both"/>
        <w:rPr>
          <w:bCs w:val="0"/>
        </w:rPr>
      </w:pPr>
      <w:r w:rsidRPr="006A42CE">
        <w:rPr>
          <w:bCs w:val="0"/>
        </w:rPr>
        <w:t>Návrh upravuje oblasti</w:t>
      </w:r>
      <w:r w:rsidRPr="006A42CE">
        <w:rPr>
          <w:bCs w:val="0"/>
        </w:rPr>
        <w:t xml:space="preserve"> odbornej praxe, ktorými sa preukazuje splnenie osobitných kvalifikačných predpokladov a skracuje dĺžku odbornej praxe z troch rokov na jeden rok.</w:t>
      </w:r>
    </w:p>
    <w:p w:rsidR="006A42CE" w:rsidRPr="006A42CE" w:rsidP="006A42CE">
      <w:pPr>
        <w:ind w:left="4248"/>
        <w:jc w:val="both"/>
        <w:rPr>
          <w:bCs w:val="0"/>
        </w:rPr>
      </w:pPr>
    </w:p>
    <w:p w:rsidR="006A42CE" w:rsidRPr="006A42CE" w:rsidP="006A42CE">
      <w:pPr>
        <w:jc w:val="both"/>
        <w:rPr>
          <w:bCs w:val="0"/>
          <w:u w:val="single"/>
        </w:rPr>
      </w:pPr>
    </w:p>
    <w:p w:rsidR="006A42CE" w:rsidRPr="006A42CE" w:rsidP="006A42CE">
      <w:pPr>
        <w:numPr>
          <w:ilvl w:val="0"/>
          <w:numId w:val="39"/>
        </w:numPr>
        <w:contextualSpacing/>
        <w:jc w:val="both"/>
        <w:rPr>
          <w:bCs w:val="0"/>
        </w:rPr>
      </w:pPr>
      <w:r w:rsidRPr="006A42CE">
        <w:rPr>
          <w:bCs w:val="0"/>
        </w:rPr>
        <w:t>V § 35d ods. 8 písm. b) sa vypúšťajú slová „alebo oznámiť dôvody, pre ktoré neboli tieto odporúčania zohľadnené“.</w:t>
      </w:r>
    </w:p>
    <w:p w:rsidR="006A42CE" w:rsidRPr="006A42CE" w:rsidP="006A42CE">
      <w:pPr>
        <w:ind w:left="284"/>
        <w:contextualSpacing/>
        <w:jc w:val="both"/>
        <w:rPr>
          <w:bCs w:val="0"/>
        </w:rPr>
      </w:pPr>
    </w:p>
    <w:p w:rsidR="006A42CE" w:rsidRPr="006A42CE" w:rsidP="006A42CE">
      <w:pPr>
        <w:ind w:left="2832"/>
        <w:jc w:val="both"/>
        <w:rPr>
          <w:bCs w:val="0"/>
        </w:rPr>
      </w:pPr>
      <w:r w:rsidRPr="006A42CE">
        <w:rPr>
          <w:bCs w:val="0"/>
        </w:rPr>
        <w:t>Ide o legislatívnu úpravu z dôvodu zabezpečenia jednoznačnosti ustanovenia zákona v časti povinnosti auditovanej osoby, u ktorej bol vykonaný vládny audit, zohľadniť odporúčania uvedené v správe z vládneho auditu.</w:t>
      </w:r>
    </w:p>
    <w:p w:rsidR="006A42CE" w:rsidRPr="006A42CE" w:rsidP="006A42CE">
      <w:pPr>
        <w:ind w:left="2832"/>
        <w:jc w:val="both"/>
        <w:rPr>
          <w:bCs w:val="0"/>
        </w:rPr>
      </w:pPr>
      <w:r w:rsidRPr="006A42CE">
        <w:rPr>
          <w:bCs w:val="0"/>
        </w:rPr>
        <w:t>Navrhuje sa vypustiť časť ustanovenia o možnosti auditovanej osoby a jej zamestnancov oznámiť dôvody, pre ktoré neboli odporúčania zohľadnené, pretože už pri prerokovaní predbežnej správy mala auditovaná osoba a jej zamestnanci túto možnosť. Ide o odstránenie duplicitných ustanovení.</w:t>
      </w:r>
    </w:p>
    <w:p w:rsidR="006A42CE" w:rsidRPr="006A42CE" w:rsidP="006A42CE">
      <w:pPr>
        <w:jc w:val="both"/>
        <w:rPr>
          <w:bCs w:val="0"/>
        </w:rPr>
      </w:pPr>
    </w:p>
    <w:p w:rsidR="006A42CE" w:rsidRPr="006A42CE" w:rsidP="006A42CE">
      <w:pPr>
        <w:numPr>
          <w:ilvl w:val="0"/>
          <w:numId w:val="39"/>
        </w:numPr>
        <w:contextualSpacing/>
        <w:jc w:val="both"/>
        <w:rPr>
          <w:bCs w:val="0"/>
        </w:rPr>
      </w:pPr>
      <w:r w:rsidRPr="006A42CE">
        <w:rPr>
          <w:bCs w:val="0"/>
        </w:rPr>
        <w:t>V § 36 ods. 4 až 7 sa slová „a 2“ nahrádzajú slovami „až 3“.</w:t>
      </w:r>
    </w:p>
    <w:p w:rsidR="006A42CE" w:rsidRPr="006A42CE" w:rsidP="006A42CE">
      <w:pPr>
        <w:ind w:left="284"/>
        <w:contextualSpacing/>
        <w:jc w:val="both"/>
        <w:rPr>
          <w:bCs w:val="0"/>
        </w:rPr>
      </w:pPr>
    </w:p>
    <w:p w:rsidR="006A42CE" w:rsidRPr="006A42CE" w:rsidP="006A42CE">
      <w:pPr>
        <w:ind w:left="2124" w:firstLine="708"/>
        <w:jc w:val="both"/>
        <w:rPr>
          <w:bCs w:val="0"/>
        </w:rPr>
      </w:pPr>
      <w:r w:rsidRPr="006A42CE">
        <w:rPr>
          <w:bCs w:val="0"/>
        </w:rPr>
        <w:t>Ide o legislatívno-technické spresnenie ustanovenia.</w:t>
      </w:r>
    </w:p>
    <w:p w:rsidR="006A42CE" w:rsidP="006A42CE">
      <w:pPr>
        <w:ind w:left="4248"/>
        <w:jc w:val="both"/>
        <w:rPr>
          <w:bCs w:val="0"/>
        </w:rPr>
      </w:pPr>
    </w:p>
    <w:p w:rsidR="006A42CE" w:rsidP="006A42CE">
      <w:pPr>
        <w:ind w:left="4248"/>
        <w:jc w:val="both"/>
        <w:rPr>
          <w:bCs w:val="0"/>
        </w:rPr>
      </w:pPr>
    </w:p>
    <w:p w:rsidR="006A42CE" w:rsidP="006A42CE">
      <w:pPr>
        <w:ind w:left="4248"/>
        <w:jc w:val="both"/>
        <w:rPr>
          <w:bCs w:val="0"/>
        </w:rPr>
      </w:pPr>
    </w:p>
    <w:p w:rsidR="006A42CE" w:rsidP="006A42CE">
      <w:pPr>
        <w:ind w:left="4248"/>
        <w:jc w:val="both"/>
        <w:rPr>
          <w:bCs w:val="0"/>
        </w:rPr>
      </w:pPr>
    </w:p>
    <w:p w:rsidR="006A42CE" w:rsidP="006A42CE">
      <w:pPr>
        <w:ind w:left="4248"/>
        <w:jc w:val="both"/>
        <w:rPr>
          <w:bCs w:val="0"/>
        </w:rPr>
      </w:pPr>
    </w:p>
    <w:p w:rsidR="006A42CE" w:rsidRPr="006A42CE" w:rsidP="006A42CE">
      <w:pPr>
        <w:ind w:left="4248"/>
        <w:jc w:val="both"/>
        <w:rPr>
          <w:bCs w:val="0"/>
        </w:rPr>
      </w:pPr>
    </w:p>
    <w:p w:rsidR="006A42CE" w:rsidRPr="006A42CE" w:rsidP="006A42CE">
      <w:pPr>
        <w:ind w:left="4248"/>
        <w:jc w:val="both"/>
        <w:rPr>
          <w:bCs w:val="0"/>
        </w:rPr>
      </w:pPr>
    </w:p>
    <w:p w:rsidR="006A42CE" w:rsidRPr="006A42CE" w:rsidP="006A42CE">
      <w:pPr>
        <w:numPr>
          <w:ilvl w:val="0"/>
          <w:numId w:val="39"/>
        </w:numPr>
        <w:contextualSpacing/>
        <w:jc w:val="both"/>
        <w:rPr>
          <w:bCs w:val="0"/>
        </w:rPr>
      </w:pPr>
      <w:r w:rsidRPr="006A42CE">
        <w:rPr>
          <w:bCs w:val="0"/>
        </w:rPr>
        <w:t>Za § 41b sa vkladá § 41c, ktorý znie:</w:t>
      </w:r>
    </w:p>
    <w:p w:rsidR="006A42CE" w:rsidRPr="006A42CE" w:rsidP="006A42CE">
      <w:pPr>
        <w:ind w:left="3540" w:firstLine="708"/>
        <w:rPr>
          <w:bCs w:val="0"/>
        </w:rPr>
      </w:pPr>
      <w:r w:rsidRPr="006A42CE">
        <w:rPr>
          <w:bCs w:val="0"/>
        </w:rPr>
        <w:t>„§ 41c</w:t>
      </w:r>
    </w:p>
    <w:p w:rsidR="006A42CE" w:rsidRPr="006A42CE" w:rsidP="006A42CE">
      <w:pPr>
        <w:ind w:left="3540" w:firstLine="708"/>
        <w:rPr>
          <w:bCs w:val="0"/>
        </w:rPr>
      </w:pPr>
    </w:p>
    <w:p w:rsidR="006A42CE" w:rsidRPr="006A42CE" w:rsidP="006A42CE">
      <w:pPr>
        <w:ind w:left="284" w:firstLine="424"/>
        <w:jc w:val="both"/>
        <w:rPr>
          <w:bCs w:val="0"/>
        </w:rPr>
      </w:pPr>
      <w:r w:rsidRPr="006A42CE">
        <w:rPr>
          <w:bCs w:val="0"/>
        </w:rPr>
        <w:t>Štátny zamestnanec alebo zamestnanec inej právnickej osoby podľa § 35a ods. 6, ktorý  spĺňa osobitné kvalifikačné predpoklady podľa § 35c ods. 7 v znení účinnom do 30. júna 2013, sa  vymenuje za vládneho audítora podľa predpisu účinného do 30. júna 2013.“.</w:t>
      </w:r>
    </w:p>
    <w:p w:rsidR="006A42CE" w:rsidRPr="006A42CE" w:rsidP="006A42CE">
      <w:pPr>
        <w:ind w:left="284"/>
        <w:contextualSpacing/>
        <w:jc w:val="both"/>
        <w:rPr>
          <w:bCs w:val="0"/>
        </w:rPr>
      </w:pPr>
    </w:p>
    <w:p w:rsidR="006A42CE" w:rsidRPr="006A42CE" w:rsidP="006A42CE">
      <w:pPr>
        <w:ind w:left="2832"/>
        <w:jc w:val="both"/>
        <w:rPr>
          <w:bCs w:val="0"/>
        </w:rPr>
      </w:pPr>
      <w:r w:rsidRPr="006A42CE">
        <w:rPr>
          <w:bCs w:val="0"/>
        </w:rPr>
        <w:t>Dopĺňa sa nové prechodné ustanovenie upravujúce vymenovanie osôb, ktoré úspešne vykonali kvalifikačnú skúšku a splnili ostatné osobitné  kvalifikačné predpoklady pred nadobudnutím účinnosti  novely zákona. Takéto osoby sa vymenujú, ak spĺňajú osobitné kvalifikačné predpoklady ustanovené doterajšími predpismi postupom podľa týchto predpisov.</w:t>
      </w:r>
    </w:p>
    <w:p w:rsidR="006A42CE" w:rsidRPr="006A42CE" w:rsidP="006A42CE">
      <w:pPr>
        <w:ind w:left="284"/>
        <w:contextualSpacing/>
        <w:jc w:val="both"/>
        <w:rPr>
          <w:bCs w:val="0"/>
        </w:rPr>
      </w:pPr>
    </w:p>
    <w:p w:rsidR="006A42CE" w:rsidRPr="006A42CE" w:rsidP="006A42CE">
      <w:pPr>
        <w:jc w:val="both"/>
        <w:rPr>
          <w:b/>
          <w:bCs w:val="0"/>
        </w:rPr>
      </w:pPr>
      <w:r w:rsidRPr="006A42CE">
        <w:rPr>
          <w:b/>
          <w:bCs w:val="0"/>
        </w:rPr>
        <w:tab/>
      </w:r>
    </w:p>
    <w:p w:rsidR="006A42CE" w:rsidRPr="006A42CE" w:rsidP="006A42CE">
      <w:pPr>
        <w:jc w:val="center"/>
        <w:rPr>
          <w:rFonts w:eastAsia="Calibri"/>
          <w:bCs w:val="0"/>
          <w:lang w:eastAsia="en-US"/>
        </w:rPr>
      </w:pPr>
      <w:r w:rsidRPr="006A42CE">
        <w:rPr>
          <w:rFonts w:eastAsia="Calibri"/>
          <w:bCs w:val="0"/>
          <w:lang w:eastAsia="en-US"/>
        </w:rPr>
        <w:t>Čl. IV</w:t>
      </w:r>
    </w:p>
    <w:p w:rsidR="006A42CE" w:rsidRPr="006A42CE" w:rsidP="006A42CE">
      <w:pPr>
        <w:jc w:val="center"/>
        <w:rPr>
          <w:rFonts w:eastAsia="Calibri"/>
          <w:b/>
          <w:bCs w:val="0"/>
          <w:lang w:eastAsia="en-US"/>
        </w:rPr>
      </w:pPr>
    </w:p>
    <w:p w:rsidR="006A42CE" w:rsidRPr="006A42CE" w:rsidP="006A42CE">
      <w:pPr>
        <w:ind w:firstLine="708"/>
        <w:jc w:val="both"/>
        <w:rPr>
          <w:rFonts w:eastAsia="Calibri"/>
          <w:bCs w:val="0"/>
          <w:lang w:eastAsia="en-US"/>
        </w:rPr>
      </w:pPr>
      <w:r w:rsidRPr="006A42CE">
        <w:rPr>
          <w:rFonts w:eastAsia="Calibri"/>
          <w:lang w:eastAsia="en-US"/>
        </w:rPr>
        <w:t xml:space="preserve">Zákon č. 595/2003 Z. z. o dani z príjmov v znení </w:t>
      </w:r>
      <w:r w:rsidRPr="006A42CE">
        <w:rPr>
          <w:rFonts w:eastAsia="Calibri"/>
          <w:bCs w:val="0"/>
          <w:lang w:eastAsia="en-US"/>
        </w:rPr>
        <w:t>zákona č. 43/2004 Z. z., zákona č.</w:t>
      </w:r>
      <w:r w:rsidRPr="006A42CE">
        <w:rPr>
          <w:rFonts w:eastAsia="Calibri"/>
          <w:b/>
          <w:bCs w:val="0"/>
          <w:lang w:eastAsia="en-US"/>
        </w:rPr>
        <w:t> </w:t>
      </w:r>
      <w:r w:rsidRPr="006A42CE">
        <w:rPr>
          <w:rFonts w:eastAsia="Calibri"/>
          <w:bCs w:val="0"/>
          <w:lang w:eastAsia="en-US"/>
        </w:rPr>
        <w:t>177/2004 Z. z., zákona č. 191/2004 Z. z., zákona č. 391/2004 Z. z., zákona č.538/2004</w:t>
      </w:r>
      <w:r w:rsidRPr="006A42CE">
        <w:rPr>
          <w:rFonts w:eastAsia="Calibri"/>
          <w:b/>
          <w:bCs w:val="0"/>
          <w:lang w:eastAsia="en-US"/>
        </w:rPr>
        <w:t> </w:t>
      </w:r>
      <w:r w:rsidRPr="006A42CE">
        <w:rPr>
          <w:rFonts w:eastAsia="Calibri"/>
          <w:bCs w:val="0"/>
          <w:lang w:eastAsia="en-US"/>
        </w:rPr>
        <w:t xml:space="preserve">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a zákona č. 70/2013 Z. z.  sa mení a dopĺňa takto:</w:t>
      </w:r>
    </w:p>
    <w:p w:rsidR="006A42CE" w:rsidRPr="006A42CE" w:rsidP="006A42CE">
      <w:pPr>
        <w:jc w:val="center"/>
        <w:rPr>
          <w:rFonts w:eastAsia="Calibri"/>
          <w:b/>
          <w:bCs w:val="0"/>
          <w:lang w:eastAsia="en-US"/>
        </w:rPr>
      </w:pPr>
    </w:p>
    <w:p w:rsidR="006A42CE" w:rsidRPr="006A42CE" w:rsidP="006A42CE">
      <w:pPr>
        <w:numPr>
          <w:ilvl w:val="0"/>
          <w:numId w:val="40"/>
        </w:numPr>
        <w:contextualSpacing/>
        <w:jc w:val="both"/>
        <w:rPr>
          <w:rFonts w:eastAsia="Calibri"/>
          <w:bCs w:val="0"/>
          <w:lang w:eastAsia="en-US"/>
        </w:rPr>
      </w:pPr>
      <w:r w:rsidRPr="006A42CE">
        <w:rPr>
          <w:rFonts w:eastAsia="Calibri"/>
          <w:bCs w:val="0"/>
          <w:lang w:eastAsia="en-US"/>
        </w:rPr>
        <w:t>V § 6 ods. 2 písm. a) sa slová „ods. 15“ nahrádzajú slovami „ods. 14“.</w:t>
      </w:r>
    </w:p>
    <w:p w:rsidR="006A42CE" w:rsidRPr="006A42CE" w:rsidP="006A42CE">
      <w:pPr>
        <w:ind w:left="720"/>
        <w:contextualSpacing/>
        <w:jc w:val="both"/>
        <w:rPr>
          <w:rFonts w:eastAsia="Calibri"/>
          <w:bCs w:val="0"/>
          <w:lang w:eastAsia="en-US"/>
        </w:rPr>
      </w:pPr>
    </w:p>
    <w:p w:rsidR="006A42CE" w:rsidRPr="006A42CE" w:rsidP="006A42CE">
      <w:pPr>
        <w:ind w:left="2832"/>
        <w:jc w:val="both"/>
        <w:rPr>
          <w:rFonts w:eastAsia="Calibri"/>
          <w:b/>
          <w:bCs w:val="0"/>
          <w:lang w:eastAsia="en-US"/>
        </w:rPr>
      </w:pPr>
      <w:r w:rsidRPr="006A42CE">
        <w:rPr>
          <w:bCs w:val="0"/>
        </w:rPr>
        <w:t>Legislatívno-technická úprava v nadväznosti na vypustenie  § 43 ods. 14 zákona.</w:t>
      </w:r>
    </w:p>
    <w:p w:rsidR="006A42CE" w:rsidRPr="006A42CE" w:rsidP="006A42CE">
      <w:pPr>
        <w:ind w:left="720"/>
        <w:contextualSpacing/>
        <w:jc w:val="both"/>
        <w:rPr>
          <w:rFonts w:eastAsia="Calibri"/>
          <w:bCs w:val="0"/>
          <w:lang w:eastAsia="en-US"/>
        </w:rPr>
      </w:pPr>
    </w:p>
    <w:p w:rsidR="006A42CE" w:rsidRPr="006A42CE" w:rsidP="006A42CE">
      <w:pPr>
        <w:numPr>
          <w:ilvl w:val="0"/>
          <w:numId w:val="40"/>
        </w:numPr>
        <w:contextualSpacing/>
        <w:jc w:val="both"/>
        <w:rPr>
          <w:rFonts w:eastAsia="Calibri"/>
          <w:bCs w:val="0"/>
          <w:lang w:eastAsia="en-US"/>
        </w:rPr>
      </w:pPr>
      <w:r w:rsidRPr="006A42CE">
        <w:rPr>
          <w:rFonts w:eastAsia="Calibri"/>
          <w:bCs w:val="0"/>
          <w:lang w:eastAsia="en-US"/>
        </w:rPr>
        <w:t>V § 7 ods. 1 písm. h) sa slová „zo štátnych dlhopisov a štátnych“ nahrá</w:t>
      </w:r>
      <w:r w:rsidRPr="006A42CE">
        <w:rPr>
          <w:rFonts w:eastAsia="Calibri"/>
          <w:bCs w:val="0"/>
          <w:lang w:eastAsia="en-US"/>
        </w:rPr>
        <w:t>dzajú slovami „z dlhopisov a“.</w:t>
      </w:r>
    </w:p>
    <w:p w:rsidR="006A42CE" w:rsidRPr="006A42CE" w:rsidP="006A42CE">
      <w:pPr>
        <w:ind w:left="720"/>
        <w:contextualSpacing/>
        <w:jc w:val="both"/>
        <w:rPr>
          <w:rFonts w:eastAsia="Calibri"/>
          <w:bCs w:val="0"/>
          <w:lang w:eastAsia="en-US"/>
        </w:rPr>
      </w:pPr>
    </w:p>
    <w:p w:rsidR="006A42CE" w:rsidRPr="006A42CE" w:rsidP="006A42CE">
      <w:pPr>
        <w:ind w:left="2832"/>
        <w:jc w:val="both"/>
        <w:rPr>
          <w:bCs w:val="0"/>
        </w:rPr>
      </w:pPr>
      <w:r w:rsidRPr="006A42CE">
        <w:rPr>
          <w:bCs w:val="0"/>
        </w:rPr>
        <w:t xml:space="preserve">Úprava sa vykonáva za účelom zjednotenia spôsobu zdaňovania štátnych a iných ako štátnych dlhopisov a pokladničných poukážok v nadväznosti na zmenu vykonanú v § 43 zákona.  </w:t>
      </w:r>
    </w:p>
    <w:p w:rsidR="006A42CE" w:rsidRPr="006A42CE" w:rsidP="006A42CE">
      <w:pPr>
        <w:ind w:left="720"/>
        <w:contextualSpacing/>
        <w:jc w:val="both"/>
        <w:rPr>
          <w:rFonts w:eastAsia="Calibri"/>
          <w:bCs w:val="0"/>
          <w:lang w:eastAsia="en-US"/>
        </w:rPr>
      </w:pPr>
    </w:p>
    <w:p w:rsidR="006A42CE" w:rsidRPr="006A42CE" w:rsidP="006A42CE">
      <w:pPr>
        <w:numPr>
          <w:ilvl w:val="0"/>
          <w:numId w:val="40"/>
        </w:numPr>
        <w:contextualSpacing/>
        <w:jc w:val="both"/>
        <w:rPr>
          <w:rFonts w:eastAsia="Calibri"/>
          <w:bCs w:val="0"/>
          <w:lang w:eastAsia="en-US"/>
        </w:rPr>
      </w:pPr>
      <w:r w:rsidRPr="006A42CE">
        <w:rPr>
          <w:rFonts w:eastAsia="Calibri"/>
          <w:bCs w:val="0"/>
          <w:lang w:eastAsia="en-US"/>
        </w:rPr>
        <w:t>V § 7 ods. 3 prvej vete sa vypúšťajú slová „a v odseku 2“.</w:t>
      </w:r>
    </w:p>
    <w:p w:rsidR="006A42CE" w:rsidRPr="006A42CE" w:rsidP="006A42CE">
      <w:pPr>
        <w:ind w:left="720"/>
        <w:contextualSpacing/>
        <w:jc w:val="both"/>
        <w:rPr>
          <w:rFonts w:eastAsia="Calibri"/>
          <w:bCs w:val="0"/>
          <w:lang w:eastAsia="en-US"/>
        </w:rPr>
      </w:pPr>
    </w:p>
    <w:p w:rsidR="006A42CE" w:rsidRPr="006A42CE" w:rsidP="006A42CE">
      <w:pPr>
        <w:ind w:left="2832"/>
        <w:jc w:val="both"/>
        <w:rPr>
          <w:bCs w:val="0"/>
        </w:rPr>
      </w:pPr>
      <w:r w:rsidRPr="006A42CE">
        <w:rPr>
          <w:bCs w:val="0"/>
        </w:rPr>
        <w:t xml:space="preserve">Úprava sa vykonáva za účelom zjednotenia spôsobu zdaňovania štátnych a iných ako štátnych dlhopisov a pokladničných poukážok v nadväznosti na zmenu vykonanú v § 43 zákona.  </w:t>
      </w:r>
    </w:p>
    <w:p w:rsidR="006A42CE" w:rsidRPr="006A42CE" w:rsidP="006A42CE">
      <w:pPr>
        <w:ind w:left="1416" w:firstLine="2128"/>
        <w:jc w:val="both"/>
        <w:rPr>
          <w:rFonts w:eastAsia="Calibri"/>
          <w:b/>
          <w:bCs w:val="0"/>
          <w:lang w:eastAsia="en-US"/>
        </w:rPr>
      </w:pPr>
    </w:p>
    <w:p w:rsidR="006A42CE" w:rsidRPr="006A42CE" w:rsidP="006A42CE">
      <w:pPr>
        <w:ind w:left="720"/>
        <w:contextualSpacing/>
        <w:jc w:val="both"/>
        <w:rPr>
          <w:rFonts w:eastAsia="Calibri"/>
          <w:bCs w:val="0"/>
          <w:lang w:eastAsia="en-US"/>
        </w:rPr>
      </w:pPr>
    </w:p>
    <w:p w:rsidR="006A42CE" w:rsidRPr="006A42CE" w:rsidP="006A42CE">
      <w:pPr>
        <w:numPr>
          <w:ilvl w:val="0"/>
          <w:numId w:val="40"/>
        </w:numPr>
        <w:contextualSpacing/>
        <w:jc w:val="both"/>
        <w:rPr>
          <w:rFonts w:eastAsia="Calibri"/>
          <w:bCs w:val="0"/>
          <w:lang w:eastAsia="en-US"/>
        </w:rPr>
      </w:pPr>
      <w:r w:rsidRPr="006A42CE">
        <w:rPr>
          <w:rFonts w:eastAsia="Calibri"/>
          <w:bCs w:val="0"/>
          <w:lang w:eastAsia="en-US"/>
        </w:rPr>
        <w:t>V § 16 ods. 1 písm. e) treťom bode sa vypúšťajú slová „z výnosov z dlhopisov okrem výnosov zo štátnych dlhopisov a štátnych pokladničných poukážok,“ a na konci sa pripájajú tieto slová: „okrem výnosov z dlhopisov a pokladničných poukážok“.</w:t>
      </w:r>
    </w:p>
    <w:p w:rsidR="006A42CE" w:rsidRPr="006A42CE" w:rsidP="006A42CE">
      <w:pPr>
        <w:ind w:left="2832"/>
        <w:jc w:val="both"/>
        <w:rPr>
          <w:bCs w:val="0"/>
        </w:rPr>
      </w:pPr>
      <w:r w:rsidRPr="006A42CE">
        <w:rPr>
          <w:bCs w:val="0"/>
        </w:rPr>
        <w:t>Úprava sa navrhuje z dôvodu zvýšenia atraktivity emisií domácich dlhopisov na zahraničných trhoch a získania úverových zdrojov pre podnikateľské subjekty SR, keďže ponuka úverových zdrojov od slovenských bánk je v čase krízy nedostatočná. Výnosy z akýchkoľvek dlhopisov (štátne, podnikové, komunálne), ktoré plynú daňovníkovi – nerezidentovi nebudú mať zdroj príjmov na území SR a nebudú podliehať zdaneniu v SR.</w:t>
      </w:r>
    </w:p>
    <w:p w:rsidR="006A42CE" w:rsidRPr="006A42CE" w:rsidP="006A42CE">
      <w:pPr>
        <w:ind w:left="4248" w:firstLine="4"/>
        <w:jc w:val="both"/>
        <w:rPr>
          <w:rFonts w:eastAsia="Calibri"/>
          <w:b/>
          <w:bCs w:val="0"/>
          <w:lang w:eastAsia="en-US"/>
        </w:rPr>
      </w:pPr>
    </w:p>
    <w:p w:rsidR="006A42CE" w:rsidRPr="006A42CE" w:rsidP="006A42CE">
      <w:pPr>
        <w:numPr>
          <w:ilvl w:val="0"/>
          <w:numId w:val="40"/>
        </w:numPr>
        <w:contextualSpacing/>
        <w:jc w:val="both"/>
        <w:rPr>
          <w:rFonts w:eastAsia="Calibri"/>
          <w:bCs w:val="0"/>
          <w:lang w:eastAsia="en-US"/>
        </w:rPr>
      </w:pPr>
      <w:r w:rsidRPr="006A42CE">
        <w:rPr>
          <w:rFonts w:eastAsia="Calibri"/>
          <w:bCs w:val="0"/>
          <w:lang w:eastAsia="en-US"/>
        </w:rPr>
        <w:t>V § 43 ods. 3 písm. h) sa slová „odseku 15“ nahrádzajú slovami „odseku 14“.</w:t>
      </w:r>
    </w:p>
    <w:p w:rsidR="006A42CE" w:rsidRPr="006A42CE" w:rsidP="006A42CE">
      <w:pPr>
        <w:ind w:left="720"/>
        <w:contextualSpacing/>
        <w:jc w:val="both"/>
        <w:rPr>
          <w:rFonts w:eastAsia="Calibri"/>
          <w:bCs w:val="0"/>
          <w:lang w:eastAsia="en-US"/>
        </w:rPr>
      </w:pPr>
    </w:p>
    <w:p w:rsidR="006A42CE" w:rsidRPr="006A42CE" w:rsidP="006A42CE">
      <w:pPr>
        <w:ind w:left="2832"/>
        <w:jc w:val="both"/>
        <w:rPr>
          <w:rFonts w:eastAsia="Calibri"/>
          <w:b/>
          <w:bCs w:val="0"/>
          <w:lang w:eastAsia="en-US"/>
        </w:rPr>
      </w:pPr>
      <w:r w:rsidRPr="006A42CE">
        <w:rPr>
          <w:bCs w:val="0"/>
        </w:rPr>
        <w:t>Legislatívno-technická úprava v nadväznosti na vypustenie § 43 ods. 14 zákona.</w:t>
      </w:r>
    </w:p>
    <w:p w:rsidR="006A42CE" w:rsidRPr="006A42CE" w:rsidP="006A42CE">
      <w:pPr>
        <w:ind w:left="720"/>
        <w:contextualSpacing/>
        <w:rPr>
          <w:rFonts w:eastAsia="Calibri"/>
          <w:bCs w:val="0"/>
          <w:lang w:eastAsia="en-US"/>
        </w:rPr>
      </w:pPr>
    </w:p>
    <w:p w:rsidR="006A42CE" w:rsidRPr="006A42CE" w:rsidP="006A42CE">
      <w:pPr>
        <w:numPr>
          <w:ilvl w:val="0"/>
          <w:numId w:val="40"/>
        </w:numPr>
        <w:contextualSpacing/>
        <w:rPr>
          <w:rFonts w:eastAsia="Calibri"/>
          <w:bCs w:val="0"/>
          <w:lang w:eastAsia="en-US"/>
        </w:rPr>
      </w:pPr>
      <w:r w:rsidRPr="006A42CE">
        <w:rPr>
          <w:rFonts w:eastAsia="Calibri"/>
          <w:bCs w:val="0"/>
          <w:lang w:eastAsia="en-US"/>
        </w:rPr>
        <w:t>V § 43 ods. 3 písmeno i) z</w:t>
      </w:r>
      <w:r w:rsidRPr="006A42CE">
        <w:rPr>
          <w:rFonts w:eastAsia="Calibri"/>
          <w:bCs w:val="0"/>
          <w:lang w:eastAsia="en-US"/>
        </w:rPr>
        <w:t xml:space="preserve">nie: </w:t>
      </w:r>
    </w:p>
    <w:p w:rsidR="006A42CE" w:rsidRPr="006A42CE" w:rsidP="006A42CE">
      <w:pPr>
        <w:ind w:left="720"/>
        <w:contextualSpacing/>
        <w:jc w:val="both"/>
        <w:rPr>
          <w:rFonts w:eastAsia="Calibri"/>
          <w:bCs w:val="0"/>
          <w:lang w:eastAsia="en-US"/>
        </w:rPr>
      </w:pPr>
      <w:r w:rsidRPr="006A42CE">
        <w:rPr>
          <w:rFonts w:eastAsia="Calibri"/>
          <w:bCs w:val="0"/>
          <w:lang w:eastAsia="en-US"/>
        </w:rPr>
        <w:t>„i) výnos (príjem) z dlhopisov a pokladničných poukážok, ak plynie daňovníkovi nezaloženému alebo nezriadenému na podnikanie (§ 12 ods. 2), Fondu národného majetku Slovenskej republiky a Národnej banke Slovenska,“.</w:t>
      </w:r>
    </w:p>
    <w:p w:rsidR="006A42CE" w:rsidRPr="006A42CE" w:rsidP="006A42CE">
      <w:pPr>
        <w:ind w:left="720"/>
        <w:contextualSpacing/>
        <w:jc w:val="both"/>
        <w:rPr>
          <w:rFonts w:eastAsia="Calibri"/>
          <w:bCs w:val="0"/>
          <w:lang w:eastAsia="en-US"/>
        </w:rPr>
      </w:pPr>
    </w:p>
    <w:p w:rsidR="006A42CE" w:rsidRPr="006A42CE" w:rsidP="006A42CE">
      <w:pPr>
        <w:ind w:left="2832"/>
        <w:jc w:val="both"/>
        <w:rPr>
          <w:bCs w:val="0"/>
        </w:rPr>
      </w:pPr>
      <w:r w:rsidRPr="006A42CE">
        <w:rPr>
          <w:bCs w:val="0"/>
        </w:rPr>
        <w:t>Navrhovanou úpravou dôjde k zjednoteniu spôsobu zdaňovania štátnych dlhopisov a pokladničných poukážok s ostatnými formami dlhopisov u daňovníkov – fyzických osôb. Dani vyberanej zrážkou budú podliehať iba výnosy z dlhopisov a pokladničných poukážok plynúce daňovníkom nezaloženým alebo nezriadeným na podnikanie, FNM SR a NBS z dôvodu špecifického vyčíslenia základu dane. Právnické osoby, okrem vyššie uvedených daňovníkov, ako aj všetky fyzické osoby budú usporadú</w:t>
      </w:r>
      <w:r w:rsidRPr="006A42CE">
        <w:rPr>
          <w:bCs w:val="0"/>
        </w:rPr>
        <w:t>vať daňovú povinnosť podaním daňového priznania. Za výnos (príjem) z dlhopisov sa považuje:</w:t>
      </w:r>
    </w:p>
    <w:p w:rsidR="006A42CE" w:rsidRPr="006A42CE" w:rsidP="006A42CE">
      <w:pPr>
        <w:ind w:left="2832"/>
        <w:jc w:val="both"/>
        <w:rPr>
          <w:bCs w:val="0"/>
        </w:rPr>
      </w:pPr>
      <w:r w:rsidRPr="006A42CE">
        <w:rPr>
          <w:bCs w:val="0"/>
        </w:rPr>
        <w:t xml:space="preserve">a) úrokový výnos alebo jemu na roveň postavený výnos z dlhopisov alebo pokladničných poukážok alebo </w:t>
      </w:r>
    </w:p>
    <w:p w:rsidR="006A42CE" w:rsidRPr="006A42CE" w:rsidP="006A42CE">
      <w:pPr>
        <w:ind w:left="2832"/>
        <w:jc w:val="both"/>
        <w:rPr>
          <w:bCs w:val="0"/>
        </w:rPr>
      </w:pPr>
      <w:r w:rsidRPr="006A42CE">
        <w:rPr>
          <w:bCs w:val="0"/>
        </w:rPr>
        <w:t>b) rozdiel medzi menovitou hodnotou dlhopisov alebo pokladničných poukážok a ich obstarávacou cenou.</w:t>
      </w:r>
    </w:p>
    <w:p w:rsidR="006A42CE" w:rsidRPr="006A42CE" w:rsidP="006A42CE">
      <w:pPr>
        <w:ind w:left="1416" w:firstLine="2128"/>
        <w:jc w:val="both"/>
        <w:rPr>
          <w:rFonts w:eastAsia="Calibri"/>
          <w:b/>
          <w:bCs w:val="0"/>
          <w:lang w:eastAsia="en-US"/>
        </w:rPr>
      </w:pPr>
    </w:p>
    <w:p w:rsidR="006A42CE" w:rsidRPr="006A42CE" w:rsidP="006A42CE">
      <w:pPr>
        <w:ind w:left="720"/>
        <w:contextualSpacing/>
        <w:jc w:val="both"/>
        <w:rPr>
          <w:rFonts w:eastAsia="Calibri"/>
          <w:bCs w:val="0"/>
          <w:lang w:eastAsia="en-US"/>
        </w:rPr>
      </w:pPr>
    </w:p>
    <w:p w:rsidR="006A42CE" w:rsidRPr="006A42CE" w:rsidP="006A42CE">
      <w:pPr>
        <w:numPr>
          <w:ilvl w:val="0"/>
          <w:numId w:val="40"/>
        </w:numPr>
        <w:contextualSpacing/>
        <w:jc w:val="both"/>
        <w:rPr>
          <w:rFonts w:eastAsia="Calibri"/>
          <w:bCs w:val="0"/>
          <w:lang w:eastAsia="en-US"/>
        </w:rPr>
      </w:pPr>
      <w:r w:rsidRPr="006A42CE">
        <w:rPr>
          <w:rFonts w:eastAsia="Calibri"/>
          <w:bCs w:val="0"/>
          <w:lang w:eastAsia="en-US"/>
        </w:rPr>
        <w:t>V § 43 ods. 3 sa vypúšťa písmeno l).</w:t>
      </w:r>
    </w:p>
    <w:p w:rsidR="006A42CE" w:rsidRPr="006A42CE" w:rsidP="006A42CE">
      <w:pPr>
        <w:ind w:left="720"/>
        <w:contextualSpacing/>
        <w:jc w:val="both"/>
        <w:rPr>
          <w:rFonts w:eastAsia="Calibri"/>
          <w:bCs w:val="0"/>
          <w:lang w:eastAsia="en-US"/>
        </w:rPr>
      </w:pPr>
      <w:r w:rsidRPr="006A42CE">
        <w:rPr>
          <w:rFonts w:eastAsia="Calibri"/>
          <w:bCs w:val="0"/>
          <w:lang w:eastAsia="en-US"/>
        </w:rPr>
        <w:t>Doterajšie písmeno m) sa označuje ako písmeno l).</w:t>
      </w:r>
    </w:p>
    <w:p w:rsidR="006A42CE" w:rsidRPr="006A42CE" w:rsidP="006A42CE">
      <w:pPr>
        <w:ind w:left="720"/>
        <w:contextualSpacing/>
        <w:jc w:val="both"/>
        <w:rPr>
          <w:rFonts w:eastAsia="Calibri"/>
          <w:bCs w:val="0"/>
          <w:lang w:eastAsia="en-US"/>
        </w:rPr>
      </w:pPr>
    </w:p>
    <w:p w:rsidR="006A42CE" w:rsidRPr="006A42CE" w:rsidP="006A42CE">
      <w:pPr>
        <w:ind w:left="2832"/>
        <w:contextualSpacing/>
        <w:jc w:val="both"/>
        <w:rPr>
          <w:rFonts w:eastAsia="Calibri"/>
          <w:bCs w:val="0"/>
          <w:lang w:eastAsia="en-US"/>
        </w:rPr>
      </w:pPr>
      <w:r w:rsidRPr="006A42CE">
        <w:rPr>
          <w:bCs w:val="0"/>
        </w:rPr>
        <w:t>Ide o legislatívno-technickú úpravu v nadväznosti na zmenu § 43 ods. 3 písm. i) zákona.</w:t>
      </w:r>
    </w:p>
    <w:p w:rsidR="006A42CE" w:rsidRPr="006A42CE" w:rsidP="006A42CE">
      <w:pPr>
        <w:ind w:left="3544"/>
        <w:contextualSpacing/>
        <w:jc w:val="both"/>
        <w:rPr>
          <w:rFonts w:eastAsia="Calibri"/>
          <w:bCs w:val="0"/>
          <w:lang w:eastAsia="en-US"/>
        </w:rPr>
      </w:pPr>
    </w:p>
    <w:p w:rsidR="006A42CE" w:rsidRPr="006A42CE" w:rsidP="006A42CE">
      <w:pPr>
        <w:numPr>
          <w:ilvl w:val="0"/>
          <w:numId w:val="40"/>
        </w:numPr>
        <w:contextualSpacing/>
        <w:jc w:val="both"/>
        <w:rPr>
          <w:rFonts w:eastAsia="Calibri"/>
          <w:bCs w:val="0"/>
          <w:lang w:eastAsia="en-US"/>
        </w:rPr>
      </w:pPr>
      <w:r w:rsidRPr="006A42CE">
        <w:rPr>
          <w:rFonts w:eastAsia="Calibri"/>
          <w:bCs w:val="0"/>
          <w:lang w:eastAsia="en-US"/>
        </w:rPr>
        <w:t>V § 43 ods. 3 písm. l) sa za slovo „výnos“ vkladá slovo „(príjem)“.</w:t>
      </w:r>
    </w:p>
    <w:p w:rsidR="006A42CE" w:rsidRPr="006A42CE" w:rsidP="006A42CE">
      <w:pPr>
        <w:ind w:left="720"/>
        <w:contextualSpacing/>
        <w:jc w:val="both"/>
        <w:rPr>
          <w:rFonts w:eastAsia="Calibri"/>
          <w:bCs w:val="0"/>
          <w:lang w:eastAsia="en-US"/>
        </w:rPr>
      </w:pPr>
    </w:p>
    <w:p w:rsidR="006A42CE" w:rsidRPr="006A42CE" w:rsidP="006A42CE">
      <w:pPr>
        <w:ind w:left="2124" w:firstLine="708"/>
        <w:jc w:val="both"/>
        <w:rPr>
          <w:bCs w:val="0"/>
        </w:rPr>
      </w:pPr>
      <w:r w:rsidRPr="006A42CE">
        <w:rPr>
          <w:bCs w:val="0"/>
        </w:rPr>
        <w:t>Ide o legislatívno-technické spresnenie ustanovenia.</w:t>
      </w:r>
    </w:p>
    <w:p w:rsidR="006A42CE" w:rsidRPr="006A42CE" w:rsidP="006A42CE">
      <w:pPr>
        <w:ind w:left="3544"/>
        <w:contextualSpacing/>
        <w:jc w:val="both"/>
        <w:rPr>
          <w:rFonts w:eastAsia="Calibri"/>
          <w:bCs w:val="0"/>
          <w:lang w:eastAsia="en-US"/>
        </w:rPr>
      </w:pPr>
    </w:p>
    <w:p w:rsidR="006A42CE" w:rsidRPr="006A42CE" w:rsidP="006A42CE">
      <w:pPr>
        <w:ind w:left="3544"/>
        <w:contextualSpacing/>
        <w:jc w:val="both"/>
        <w:rPr>
          <w:rFonts w:eastAsia="Calibri"/>
          <w:bCs w:val="0"/>
          <w:lang w:eastAsia="en-US"/>
        </w:rPr>
      </w:pPr>
    </w:p>
    <w:p w:rsidR="006A42CE" w:rsidRPr="006A42CE" w:rsidP="006A42CE">
      <w:pPr>
        <w:numPr>
          <w:ilvl w:val="0"/>
          <w:numId w:val="40"/>
        </w:numPr>
        <w:contextualSpacing/>
        <w:jc w:val="both"/>
        <w:rPr>
          <w:rFonts w:eastAsia="Calibri"/>
          <w:bCs w:val="0"/>
          <w:lang w:eastAsia="en-US"/>
        </w:rPr>
      </w:pPr>
      <w:r w:rsidRPr="006A42CE">
        <w:rPr>
          <w:rFonts w:eastAsia="Calibri"/>
          <w:bCs w:val="0"/>
          <w:lang w:eastAsia="en-US"/>
        </w:rPr>
        <w:t>V § 43 ods. 5 písmeno c) znie:</w:t>
      </w:r>
    </w:p>
    <w:p w:rsidR="006A42CE" w:rsidRPr="006A42CE" w:rsidP="006A42CE">
      <w:pPr>
        <w:ind w:left="720"/>
        <w:contextualSpacing/>
        <w:jc w:val="both"/>
        <w:rPr>
          <w:rFonts w:eastAsia="Calibri"/>
          <w:bCs w:val="0"/>
          <w:lang w:eastAsia="en-US"/>
        </w:rPr>
      </w:pPr>
      <w:r w:rsidRPr="006A42CE">
        <w:rPr>
          <w:rFonts w:eastAsia="Calibri"/>
          <w:bCs w:val="0"/>
          <w:lang w:eastAsia="en-US"/>
        </w:rPr>
        <w:t>„c) v odseku 3 písm. i) a l) je úhrn týchto výnosov (príjmov) v zdaňovacom období, v ktorom dôjde k ich vyplateniu, poukázaniu alebo pripísaniu v prospech daňovníka znížených  o  obstarávaciu cenu dlhopisov vyradených z majetku podľa osobitného predpisu</w:t>
      </w:r>
      <w:r w:rsidRPr="006A42CE">
        <w:rPr>
          <w:rFonts w:eastAsia="Calibri"/>
          <w:bCs w:val="0"/>
          <w:vertAlign w:val="superscript"/>
          <w:lang w:eastAsia="en-US"/>
        </w:rPr>
        <w:t>1</w:t>
      </w:r>
      <w:r w:rsidRPr="006A42CE">
        <w:rPr>
          <w:rFonts w:eastAsia="Calibri"/>
          <w:bCs w:val="0"/>
          <w:lang w:eastAsia="en-US"/>
        </w:rPr>
        <w:t xml:space="preserve">) v príslušnom zdaňovacom období a poplatky súvisiace s ich obstaraním.“. </w:t>
      </w:r>
    </w:p>
    <w:p w:rsidR="006A42CE" w:rsidRPr="006A42CE" w:rsidP="006A42CE">
      <w:pPr>
        <w:ind w:left="3540" w:firstLine="708"/>
        <w:jc w:val="both"/>
        <w:rPr>
          <w:bCs w:val="0"/>
          <w:u w:val="single"/>
        </w:rPr>
      </w:pPr>
    </w:p>
    <w:p w:rsidR="006A42CE" w:rsidRPr="006A42CE" w:rsidP="006A42CE">
      <w:pPr>
        <w:ind w:left="2832"/>
        <w:jc w:val="both"/>
        <w:rPr>
          <w:bCs w:val="0"/>
        </w:rPr>
      </w:pPr>
      <w:r w:rsidRPr="006A42CE">
        <w:rPr>
          <w:bCs w:val="0"/>
        </w:rPr>
        <w:t>Navrhovanou úpravou sa spresňuje postup výpočtu základu dane pre daňovníkov nezaložených alebo nezriadených na podnikanie, NBS a FNM SR. Základ dane týchto daňovníkov sa stanoví ako súčet výnosov (príjmov) plynúcich pri splatnosti (maturite) dlhopisov a príjmov z predaja dlhopisu znížených o obstarávaciu cenu dlhopisov, ktoré v príslušnom zdaňovacom období boli vyradené z majetku v súlade s príslušnými postupmi účtovania a poplatky súvisiace s ich obstaraním.</w:t>
      </w:r>
    </w:p>
    <w:p w:rsidR="006A42CE" w:rsidRPr="006A42CE" w:rsidP="006A42CE">
      <w:pPr>
        <w:ind w:left="4248" w:firstLine="4"/>
        <w:jc w:val="both"/>
        <w:rPr>
          <w:rFonts w:eastAsia="Calibri"/>
          <w:b/>
          <w:bCs w:val="0"/>
          <w:lang w:eastAsia="en-US"/>
        </w:rPr>
      </w:pPr>
    </w:p>
    <w:p w:rsidR="006A42CE" w:rsidRPr="006A42CE" w:rsidP="006A42CE">
      <w:pPr>
        <w:numPr>
          <w:ilvl w:val="0"/>
          <w:numId w:val="40"/>
        </w:numPr>
        <w:contextualSpacing/>
        <w:jc w:val="both"/>
        <w:rPr>
          <w:rFonts w:eastAsia="Calibri"/>
          <w:bCs w:val="0"/>
          <w:lang w:eastAsia="en-US"/>
        </w:rPr>
      </w:pPr>
      <w:r w:rsidRPr="006A42CE">
        <w:rPr>
          <w:rFonts w:eastAsia="Calibri"/>
          <w:bCs w:val="0"/>
          <w:lang w:eastAsia="en-US"/>
        </w:rPr>
        <w:t>V § 43 ods. 6 sa vypúšťa písmeno d).</w:t>
      </w:r>
    </w:p>
    <w:p w:rsidR="006A42CE" w:rsidRPr="006A42CE" w:rsidP="006A42CE">
      <w:pPr>
        <w:ind w:left="1416" w:firstLine="2128"/>
        <w:jc w:val="both"/>
        <w:rPr>
          <w:rFonts w:eastAsia="Calibri"/>
          <w:b/>
          <w:bCs w:val="0"/>
          <w:lang w:eastAsia="en-US"/>
        </w:rPr>
      </w:pPr>
    </w:p>
    <w:p w:rsidR="006A42CE" w:rsidRPr="006A42CE" w:rsidP="006A42CE">
      <w:pPr>
        <w:ind w:left="2832"/>
        <w:contextualSpacing/>
        <w:jc w:val="both"/>
        <w:rPr>
          <w:bCs w:val="0"/>
        </w:rPr>
      </w:pPr>
      <w:r w:rsidRPr="006A42CE">
        <w:rPr>
          <w:bCs w:val="0"/>
        </w:rPr>
        <w:t>Ide o legislatívno-technickú úpravu v nadväznosti na zmenu § 16 ods. 1 písm. e) tretieho bodu zákona.</w:t>
      </w:r>
    </w:p>
    <w:p w:rsidR="006A42CE" w:rsidRPr="006A42CE" w:rsidP="006A42CE">
      <w:pPr>
        <w:ind w:left="4248"/>
        <w:contextualSpacing/>
        <w:jc w:val="both"/>
        <w:rPr>
          <w:rFonts w:eastAsia="Calibri"/>
          <w:bCs w:val="0"/>
          <w:lang w:eastAsia="en-US"/>
        </w:rPr>
      </w:pPr>
    </w:p>
    <w:p w:rsidR="006A42CE" w:rsidRPr="006A42CE" w:rsidP="006A42CE">
      <w:pPr>
        <w:numPr>
          <w:ilvl w:val="0"/>
          <w:numId w:val="40"/>
        </w:numPr>
        <w:contextualSpacing/>
        <w:jc w:val="both"/>
        <w:rPr>
          <w:rFonts w:eastAsia="Calibri"/>
          <w:bCs w:val="0"/>
          <w:lang w:eastAsia="en-US"/>
        </w:rPr>
      </w:pPr>
      <w:r w:rsidRPr="006A42CE">
        <w:rPr>
          <w:rFonts w:eastAsia="Calibri"/>
          <w:bCs w:val="0"/>
          <w:lang w:eastAsia="en-US"/>
        </w:rPr>
        <w:t>V § 43 sa vypúšťa odsek 14.</w:t>
      </w:r>
    </w:p>
    <w:p w:rsidR="006A42CE" w:rsidRPr="006A42CE" w:rsidP="006A42CE">
      <w:pPr>
        <w:ind w:left="720"/>
        <w:contextualSpacing/>
        <w:jc w:val="both"/>
        <w:rPr>
          <w:rFonts w:eastAsia="Calibri"/>
          <w:bCs w:val="0"/>
          <w:lang w:eastAsia="en-US"/>
        </w:rPr>
      </w:pPr>
      <w:r w:rsidRPr="006A42CE">
        <w:rPr>
          <w:rFonts w:eastAsia="Calibri"/>
          <w:bCs w:val="0"/>
          <w:lang w:eastAsia="en-US"/>
        </w:rPr>
        <w:t>Doterajšie odseky 15 a 16 sa označujú ako odseky 14 a 15.</w:t>
      </w:r>
    </w:p>
    <w:p w:rsidR="006A42CE" w:rsidRPr="006A42CE" w:rsidP="006A42CE">
      <w:pPr>
        <w:ind w:left="3540" w:firstLine="708"/>
        <w:jc w:val="both"/>
        <w:rPr>
          <w:bCs w:val="0"/>
          <w:u w:val="single"/>
        </w:rPr>
      </w:pPr>
    </w:p>
    <w:p w:rsidR="006A42CE" w:rsidRPr="006A42CE" w:rsidP="006A42CE">
      <w:pPr>
        <w:ind w:left="2832"/>
        <w:jc w:val="both"/>
        <w:rPr>
          <w:rFonts w:eastAsia="Calibri"/>
          <w:b/>
          <w:bCs w:val="0"/>
          <w:lang w:eastAsia="en-US"/>
        </w:rPr>
      </w:pPr>
      <w:r w:rsidRPr="006A42CE">
        <w:rPr>
          <w:bCs w:val="0"/>
        </w:rPr>
        <w:t>Ide o legislatívno-technickú úpravu v nadväznosti na zmenu § 43 ods. 3 písm. i) zákona.</w:t>
      </w:r>
    </w:p>
    <w:p w:rsidR="006A42CE" w:rsidRPr="006A42CE" w:rsidP="006A42CE">
      <w:pPr>
        <w:ind w:left="720"/>
        <w:contextualSpacing/>
        <w:jc w:val="both"/>
        <w:rPr>
          <w:rFonts w:eastAsia="Calibri"/>
          <w:bCs w:val="0"/>
          <w:lang w:eastAsia="en-US"/>
        </w:rPr>
      </w:pPr>
      <w:r w:rsidRPr="006A42CE">
        <w:rPr>
          <w:rFonts w:eastAsia="Calibri"/>
          <w:bCs w:val="0"/>
          <w:lang w:eastAsia="en-US"/>
        </w:rPr>
        <w:t xml:space="preserve"> </w:t>
      </w:r>
    </w:p>
    <w:p w:rsidR="006A42CE" w:rsidRPr="006A42CE" w:rsidP="006A42CE">
      <w:pPr>
        <w:numPr>
          <w:ilvl w:val="0"/>
          <w:numId w:val="40"/>
        </w:numPr>
        <w:contextualSpacing/>
        <w:jc w:val="both"/>
        <w:rPr>
          <w:rFonts w:eastAsia="Calibri"/>
          <w:bCs w:val="0"/>
          <w:lang w:eastAsia="en-US"/>
        </w:rPr>
      </w:pPr>
      <w:r w:rsidRPr="006A42CE">
        <w:rPr>
          <w:rFonts w:eastAsia="Calibri"/>
          <w:bCs w:val="0"/>
          <w:lang w:eastAsia="en-US"/>
        </w:rPr>
        <w:t xml:space="preserve">V § 43 ods. 15 sa slová „l) a m)“ nahrádzajú slovami „i) a l)“. </w:t>
      </w:r>
    </w:p>
    <w:p w:rsidR="006A42CE" w:rsidRPr="006A42CE" w:rsidP="006A42CE">
      <w:pPr>
        <w:ind w:left="1416" w:firstLine="2128"/>
        <w:jc w:val="both"/>
        <w:rPr>
          <w:rFonts w:eastAsia="Calibri"/>
          <w:b/>
          <w:bCs w:val="0"/>
          <w:lang w:eastAsia="en-US"/>
        </w:rPr>
      </w:pPr>
    </w:p>
    <w:p w:rsidR="006A42CE" w:rsidRPr="006A42CE" w:rsidP="006A42CE">
      <w:pPr>
        <w:ind w:left="2832"/>
        <w:contextualSpacing/>
        <w:jc w:val="both"/>
        <w:rPr>
          <w:bCs w:val="0"/>
        </w:rPr>
      </w:pPr>
      <w:r w:rsidRPr="006A42CE">
        <w:rPr>
          <w:bCs w:val="0"/>
        </w:rPr>
        <w:t>Ide o legislatívno-technickú úpravu v nadväznosti na zmenu § 43 ods. 3 písm. i) zákona.</w:t>
      </w:r>
    </w:p>
    <w:p w:rsidR="006A42CE" w:rsidRPr="006A42CE" w:rsidP="006A42CE">
      <w:pPr>
        <w:ind w:left="4248"/>
        <w:contextualSpacing/>
        <w:jc w:val="both"/>
        <w:rPr>
          <w:rFonts w:eastAsia="Calibri"/>
          <w:bCs w:val="0"/>
          <w:lang w:eastAsia="en-US"/>
        </w:rPr>
      </w:pPr>
    </w:p>
    <w:p w:rsidR="006A42CE" w:rsidRPr="006A42CE" w:rsidP="006A42CE">
      <w:pPr>
        <w:numPr>
          <w:ilvl w:val="0"/>
          <w:numId w:val="40"/>
        </w:numPr>
        <w:contextualSpacing/>
        <w:jc w:val="both"/>
        <w:rPr>
          <w:rFonts w:eastAsia="Calibri"/>
          <w:bCs w:val="0"/>
          <w:color w:val="000000"/>
          <w:lang w:eastAsia="en-US"/>
        </w:rPr>
      </w:pPr>
      <w:r w:rsidRPr="006A42CE">
        <w:rPr>
          <w:rFonts w:eastAsia="Calibri"/>
          <w:bCs w:val="0"/>
          <w:color w:val="000000"/>
          <w:lang w:eastAsia="en-US"/>
        </w:rPr>
        <w:t>Za § 52u sa vkladá § 52v, ktorý vrátane nadpisu znie:</w:t>
      </w:r>
    </w:p>
    <w:p w:rsidR="006A42CE" w:rsidRPr="006A42CE" w:rsidP="006A42CE">
      <w:pPr>
        <w:ind w:left="720"/>
        <w:jc w:val="center"/>
        <w:rPr>
          <w:rFonts w:eastAsia="Calibri"/>
          <w:bCs w:val="0"/>
          <w:color w:val="000000"/>
          <w:lang w:eastAsia="en-US"/>
        </w:rPr>
      </w:pPr>
      <w:r w:rsidRPr="006A42CE">
        <w:rPr>
          <w:rFonts w:eastAsia="Calibri"/>
          <w:bCs w:val="0"/>
          <w:color w:val="000000"/>
          <w:lang w:eastAsia="en-US"/>
        </w:rPr>
        <w:t>„§ 52v</w:t>
      </w:r>
    </w:p>
    <w:p w:rsidR="006A42CE" w:rsidRPr="006A42CE" w:rsidP="006A42CE">
      <w:pPr>
        <w:ind w:left="720"/>
        <w:jc w:val="center"/>
        <w:rPr>
          <w:rFonts w:eastAsia="Calibri"/>
          <w:bCs w:val="0"/>
          <w:color w:val="000000"/>
          <w:lang w:eastAsia="en-US"/>
        </w:rPr>
      </w:pPr>
      <w:r w:rsidRPr="006A42CE">
        <w:rPr>
          <w:rFonts w:eastAsia="Calibri"/>
          <w:bCs w:val="0"/>
          <w:color w:val="000000"/>
          <w:lang w:eastAsia="en-US"/>
        </w:rPr>
        <w:t>Prechodné ustanovenie k úpravám účinným od 1. júla 2013</w:t>
      </w:r>
    </w:p>
    <w:p w:rsidR="006A42CE" w:rsidRPr="006A42CE" w:rsidP="006A42CE">
      <w:pPr>
        <w:ind w:left="720"/>
        <w:jc w:val="both"/>
        <w:rPr>
          <w:rFonts w:eastAsia="Calibri"/>
          <w:bCs w:val="0"/>
          <w:color w:val="000000"/>
          <w:lang w:eastAsia="en-US"/>
        </w:rPr>
      </w:pPr>
    </w:p>
    <w:p w:rsidR="006A42CE" w:rsidRPr="006A42CE" w:rsidP="006A42CE">
      <w:pPr>
        <w:ind w:left="720"/>
        <w:jc w:val="both"/>
        <w:rPr>
          <w:rFonts w:eastAsia="Calibri"/>
          <w:bCs w:val="0"/>
          <w:color w:val="000000"/>
          <w:lang w:eastAsia="en-US"/>
        </w:rPr>
      </w:pPr>
      <w:r w:rsidRPr="006A42CE">
        <w:rPr>
          <w:rFonts w:eastAsia="Calibri"/>
          <w:bCs w:val="0"/>
          <w:color w:val="000000"/>
          <w:lang w:eastAsia="en-US"/>
        </w:rPr>
        <w:t>Postup podľa § 6 ods. 2 písm. a), § 7 ods. 1 písm. h) a ods. 3, § 16 ods. 1 písm. e) tretieho bodu, § 43 ods. 3 písm. h), i) a l) a § 43 ods. 5 písm. c) v znení účinnom od 1. júla 2013 sa použije pri zdanení výnosov (príjmov) z dlhopisov a pokladničných poukážok vyplatených, poukázaných alebo pripísaných v prospech daňovníka od 1. júla 2013.“.</w:t>
      </w:r>
    </w:p>
    <w:p w:rsidR="006A42CE" w:rsidRPr="006A42CE" w:rsidP="006A42CE">
      <w:pPr>
        <w:ind w:left="284"/>
        <w:contextualSpacing/>
        <w:jc w:val="both"/>
        <w:rPr>
          <w:rFonts w:eastAsia="Calibri"/>
          <w:bCs w:val="0"/>
          <w:lang w:eastAsia="en-US"/>
        </w:rPr>
      </w:pPr>
    </w:p>
    <w:p w:rsidR="006A42CE" w:rsidRPr="006A42CE" w:rsidP="006A42CE">
      <w:pPr>
        <w:ind w:left="2832"/>
        <w:contextualSpacing/>
        <w:jc w:val="both"/>
        <w:rPr>
          <w:rFonts w:eastAsia="Calibri"/>
          <w:bCs w:val="0"/>
          <w:lang w:eastAsia="en-US"/>
        </w:rPr>
      </w:pPr>
      <w:r w:rsidRPr="006A42CE">
        <w:rPr>
          <w:bCs w:val="0"/>
        </w:rPr>
        <w:t xml:space="preserve">Ustanovenia týkajúce sa zmeny spôsobu zdaňovania výnosov (príjmov) z dlhopisov a pokladničných poukážok sa použijú na výnosy, resp. príjmy plynúce z dlhopisov od účinnosti novely, teda  od 1. júla 2013.  Ak takýto výnos, resp. príjem z dlhopisu bol vyplatený, poukázaný alebo pripísaný v prospech fyzickej osoby, špecificky vymedzeného daňovníka – právnickej osoby (§ 12 ods. 2 zákona), FNM a NBS od 1. januára 2013 do účinnosti tejto novely, postupuje sa v súlade s ustanoveniami zákona platnými do 30. júna 2013.  </w:t>
      </w:r>
    </w:p>
    <w:p w:rsidR="006A42CE" w:rsidRPr="006A42CE" w:rsidP="006A42CE">
      <w:pPr>
        <w:tabs>
          <w:tab w:val="left" w:pos="0"/>
        </w:tabs>
        <w:contextualSpacing/>
        <w:rPr>
          <w:rFonts w:eastAsia="Calibri"/>
          <w:bCs w:val="0"/>
          <w:lang w:eastAsia="en-US"/>
        </w:rPr>
      </w:pPr>
    </w:p>
    <w:p w:rsidR="006A42CE" w:rsidRPr="006A42CE" w:rsidP="006A42CE">
      <w:pPr>
        <w:jc w:val="center"/>
        <w:rPr>
          <w:rFonts w:eastAsia="Calibri"/>
          <w:bCs w:val="0"/>
          <w:lang w:eastAsia="en-US"/>
        </w:rPr>
      </w:pPr>
      <w:r w:rsidRPr="006A42CE">
        <w:rPr>
          <w:rFonts w:eastAsia="Calibri"/>
          <w:bCs w:val="0"/>
          <w:lang w:eastAsia="en-US"/>
        </w:rPr>
        <w:t>Čl. V</w:t>
      </w:r>
    </w:p>
    <w:p w:rsidR="006A42CE" w:rsidRPr="006A42CE" w:rsidP="006A42CE">
      <w:pPr>
        <w:ind w:firstLine="708"/>
        <w:jc w:val="both"/>
        <w:rPr>
          <w:rFonts w:eastAsia="Calibri"/>
          <w:bCs w:val="0"/>
          <w:lang w:eastAsia="en-US"/>
        </w:rPr>
      </w:pPr>
      <w:r w:rsidRPr="006A42CE">
        <w:rPr>
          <w:rFonts w:eastAsia="Calibri"/>
          <w:bCs w:val="0"/>
          <w:lang w:eastAsia="en-US"/>
        </w:rPr>
        <w:t>Zákon č. 171/2005 Z. z. o hazardných hrách a o zmene a doplnení niektorých zákonov v znení zákona č. 659/2007 Z. z., zákona č. 70/2008 Z. z., zákona č. 478/2009 Z. z., zákona č. 479/2009 Z. z., zákona č. 84/2010 Z. z., zákona č. 374/2010 Z. z., zákona č. 514/2010 Z. z., zákona č. 227/2011 Z. z., zákona č. 228/2011 Z. z., zákona č. 547/2011 Z. z., zákona č. 286/2012 Z. z. a zákona č. 439/2012 Z. z. sa mení a dopĺňa takto:</w:t>
      </w:r>
    </w:p>
    <w:p w:rsidR="006A42CE" w:rsidRPr="006A42CE" w:rsidP="006A42CE">
      <w:pPr>
        <w:numPr>
          <w:ilvl w:val="0"/>
          <w:numId w:val="41"/>
        </w:numPr>
        <w:autoSpaceDE w:val="0"/>
        <w:autoSpaceDN w:val="0"/>
        <w:adjustRightInd w:val="0"/>
        <w:ind w:left="0" w:firstLine="0"/>
        <w:jc w:val="both"/>
        <w:rPr>
          <w:rFonts w:eastAsia="Calibri"/>
          <w:bCs w:val="0"/>
        </w:rPr>
      </w:pPr>
      <w:r w:rsidRPr="006A42CE">
        <w:rPr>
          <w:rFonts w:eastAsia="Calibri"/>
          <w:bCs w:val="0"/>
        </w:rPr>
        <w:t xml:space="preserve">V § 2 písm. l) sa za slovo „bingo“ vkladá čiarka a slová „lotéria dokladov </w:t>
      </w:r>
      <w:r w:rsidRPr="006A42CE">
        <w:rPr>
          <w:rFonts w:eastAsia="Calibri"/>
          <w:bCs w:val="0"/>
          <w:lang w:eastAsia="en-US"/>
        </w:rPr>
        <w:t>o prijatí tržby vyhotovených elektronickou registračnou pokladnicou</w:t>
      </w:r>
      <w:r w:rsidRPr="006A42CE">
        <w:rPr>
          <w:rFonts w:eastAsia="Calibri"/>
          <w:bCs w:val="0"/>
          <w:vertAlign w:val="superscript"/>
          <w:lang w:eastAsia="en-US"/>
        </w:rPr>
        <w:t>1)</w:t>
      </w:r>
      <w:r w:rsidRPr="006A42CE">
        <w:rPr>
          <w:rFonts w:eastAsia="Calibri"/>
          <w:bCs w:val="0"/>
          <w:lang w:eastAsia="en-US"/>
        </w:rPr>
        <w:t xml:space="preserve"> (ďalej len „pokladničný doklad“)</w:t>
      </w:r>
      <w:r w:rsidRPr="006A42CE">
        <w:rPr>
          <w:rFonts w:eastAsia="Calibri"/>
          <w:bCs w:val="0"/>
        </w:rPr>
        <w:t>“.</w:t>
      </w:r>
    </w:p>
    <w:p w:rsidR="006A42CE" w:rsidRPr="006A42CE" w:rsidP="006A42CE">
      <w:pPr>
        <w:autoSpaceDE w:val="0"/>
        <w:autoSpaceDN w:val="0"/>
        <w:adjustRightInd w:val="0"/>
        <w:jc w:val="both"/>
        <w:rPr>
          <w:rFonts w:eastAsia="Calibri"/>
          <w:bCs w:val="0"/>
        </w:rPr>
      </w:pPr>
      <w:r w:rsidRPr="006A42CE">
        <w:rPr>
          <w:rFonts w:eastAsia="Calibri"/>
          <w:bCs w:val="0"/>
        </w:rPr>
        <w:t xml:space="preserve">Poznámka pod čiarou k odkazu 1 znie: </w:t>
      </w:r>
    </w:p>
    <w:p w:rsidR="006A42CE" w:rsidRPr="006A42CE" w:rsidP="006A42CE">
      <w:pPr>
        <w:autoSpaceDE w:val="0"/>
        <w:autoSpaceDN w:val="0"/>
        <w:adjustRightInd w:val="0"/>
        <w:jc w:val="both"/>
        <w:rPr>
          <w:rFonts w:eastAsia="Calibri"/>
        </w:rPr>
      </w:pPr>
      <w:r w:rsidRPr="006A42CE">
        <w:rPr>
          <w:rFonts w:eastAsia="Calibri"/>
          <w:bCs w:val="0"/>
        </w:rPr>
        <w:t>„</w:t>
      </w:r>
      <w:r w:rsidRPr="006A42CE">
        <w:rPr>
          <w:rFonts w:eastAsia="Calibri"/>
          <w:bCs w:val="0"/>
          <w:vertAlign w:val="superscript"/>
          <w:lang w:eastAsia="en-US"/>
        </w:rPr>
        <w:t>1)</w:t>
      </w:r>
      <w:r w:rsidRPr="006A42CE">
        <w:rPr>
          <w:rFonts w:eastAsia="Calibri"/>
          <w:bCs w:val="0"/>
          <w:lang w:eastAsia="en-US"/>
        </w:rPr>
        <w:t xml:space="preserve"> Zákon č. 289/2008 Z. z. </w:t>
      </w:r>
      <w:r w:rsidRPr="006A42CE">
        <w:rPr>
          <w:rFonts w:eastAsia="Calibri"/>
        </w:rPr>
        <w:t>o používaní elektronickej registračnej pokladnice a o zmene a doplnení zákona Slovenskej národnej rady č. 511/1992 Zb. o správe daní a poplatkov a o zmenách v sústave územných finančných orgánov v znení neskorších predpisov.“.</w:t>
      </w:r>
    </w:p>
    <w:p w:rsidR="006A42CE" w:rsidRPr="006A42CE" w:rsidP="006A42CE">
      <w:pPr>
        <w:ind w:left="3540" w:firstLine="708"/>
        <w:jc w:val="both"/>
        <w:rPr>
          <w:bCs w:val="0"/>
          <w:u w:val="single"/>
        </w:rPr>
      </w:pPr>
    </w:p>
    <w:p w:rsidR="006A42CE" w:rsidRPr="006A42CE" w:rsidP="006A42CE">
      <w:pPr>
        <w:autoSpaceDE w:val="0"/>
        <w:autoSpaceDN w:val="0"/>
        <w:adjustRightInd w:val="0"/>
        <w:ind w:left="2832"/>
        <w:jc w:val="both"/>
        <w:rPr>
          <w:rFonts w:eastAsia="Calibri"/>
          <w:bCs w:val="0"/>
        </w:rPr>
      </w:pPr>
      <w:r w:rsidRPr="006A42CE">
        <w:rPr>
          <w:bCs w:val="0"/>
        </w:rPr>
        <w:t>Vzhľadom na špecifický charakter novej hazardnej hry lotériového typu „lotérie pokladničných dokladov“ sa navrhuje jej zaradenie medzi tzv. štátne lotérie.</w:t>
      </w:r>
    </w:p>
    <w:p w:rsidR="006A42CE" w:rsidRPr="006A42CE" w:rsidP="006A42CE">
      <w:pPr>
        <w:ind w:left="3540"/>
        <w:jc w:val="both"/>
        <w:rPr>
          <w:rFonts w:eastAsia="Calibri"/>
          <w:bCs w:val="0"/>
        </w:rPr>
      </w:pPr>
    </w:p>
    <w:p w:rsidR="006A42CE" w:rsidRPr="006A42CE" w:rsidP="006A42CE">
      <w:pPr>
        <w:numPr>
          <w:ilvl w:val="0"/>
          <w:numId w:val="41"/>
        </w:numPr>
        <w:autoSpaceDE w:val="0"/>
        <w:autoSpaceDN w:val="0"/>
        <w:adjustRightInd w:val="0"/>
        <w:ind w:left="0" w:firstLine="0"/>
        <w:jc w:val="both"/>
        <w:rPr>
          <w:rFonts w:eastAsia="Calibri"/>
          <w:bCs w:val="0"/>
        </w:rPr>
      </w:pPr>
      <w:r w:rsidRPr="006A42CE">
        <w:rPr>
          <w:rFonts w:eastAsia="Calibri"/>
          <w:bCs w:val="0"/>
          <w:lang w:eastAsia="en-US"/>
        </w:rPr>
        <w:t>V § 2 písm. r) treťom bode sa doterajší odkaz 1 a poznámka pod čiarou k odkazu 1 označujú ako odkaz 1aa a poznámka pod čiarou k odkazu 1aa.</w:t>
      </w:r>
    </w:p>
    <w:p w:rsidR="006A42CE" w:rsidP="006A42CE">
      <w:pPr>
        <w:autoSpaceDE w:val="0"/>
        <w:autoSpaceDN w:val="0"/>
        <w:adjustRightInd w:val="0"/>
        <w:jc w:val="both"/>
        <w:rPr>
          <w:bCs w:val="0"/>
        </w:rPr>
      </w:pPr>
    </w:p>
    <w:p w:rsidR="006A42CE" w:rsidRPr="006A42CE" w:rsidP="006A42CE">
      <w:pPr>
        <w:autoSpaceDE w:val="0"/>
        <w:autoSpaceDN w:val="0"/>
        <w:adjustRightInd w:val="0"/>
        <w:ind w:left="2832"/>
        <w:jc w:val="both"/>
        <w:rPr>
          <w:bCs w:val="0"/>
        </w:rPr>
      </w:pPr>
      <w:r w:rsidRPr="006A42CE">
        <w:rPr>
          <w:bCs w:val="0"/>
        </w:rPr>
        <w:t>Legislatívno-technická úprava - prečíslovanie odkazu v súvislosti so zavedením nového odkazu 1.</w:t>
      </w:r>
    </w:p>
    <w:p w:rsidR="006A42CE" w:rsidRPr="006A42CE" w:rsidP="006A42CE">
      <w:pPr>
        <w:autoSpaceDE w:val="0"/>
        <w:autoSpaceDN w:val="0"/>
        <w:adjustRightInd w:val="0"/>
        <w:ind w:left="4248"/>
        <w:jc w:val="both"/>
        <w:rPr>
          <w:rFonts w:eastAsia="Calibri"/>
          <w:bCs w:val="0"/>
        </w:rPr>
      </w:pPr>
    </w:p>
    <w:p w:rsidR="006A42CE" w:rsidRPr="006A42CE" w:rsidP="006A42CE">
      <w:pPr>
        <w:numPr>
          <w:ilvl w:val="0"/>
          <w:numId w:val="41"/>
        </w:numPr>
        <w:autoSpaceDE w:val="0"/>
        <w:autoSpaceDN w:val="0"/>
        <w:adjustRightInd w:val="0"/>
        <w:ind w:left="0" w:firstLine="0"/>
        <w:jc w:val="both"/>
        <w:rPr>
          <w:rFonts w:eastAsia="Calibri"/>
          <w:bCs w:val="0"/>
        </w:rPr>
      </w:pPr>
      <w:r w:rsidRPr="006A42CE">
        <w:rPr>
          <w:rFonts w:eastAsia="Calibri"/>
          <w:bCs w:val="0"/>
        </w:rPr>
        <w:t xml:space="preserve">V § 3 ods. 1 sa za slovo „vkladu“ vkladá čiarka a slová „ak § 4a ods. 5 neustanovuje inak,“. </w:t>
      </w:r>
    </w:p>
    <w:p w:rsidR="006A42CE" w:rsidP="006A42CE">
      <w:pPr>
        <w:autoSpaceDE w:val="0"/>
        <w:autoSpaceDN w:val="0"/>
        <w:adjustRightInd w:val="0"/>
        <w:jc w:val="both"/>
        <w:rPr>
          <w:bCs w:val="0"/>
        </w:rPr>
      </w:pPr>
    </w:p>
    <w:p w:rsidR="006A42CE" w:rsidRPr="006A42CE" w:rsidP="006A42CE">
      <w:pPr>
        <w:autoSpaceDE w:val="0"/>
        <w:autoSpaceDN w:val="0"/>
        <w:adjustRightInd w:val="0"/>
        <w:ind w:left="2832"/>
        <w:jc w:val="both"/>
        <w:rPr>
          <w:bCs w:val="0"/>
        </w:rPr>
      </w:pPr>
      <w:r w:rsidRPr="006A42CE">
        <w:rPr>
          <w:bCs w:val="0"/>
        </w:rPr>
        <w:t>V záujme zabezpečenia základného cieľa v súvislosti so zavedením lotérie pokladničných dokladov sa ako jedno zo špecifík tejto lotériovej hry navrhuje, že na účasť v tejto hre nebude vyžadovaný vklad.</w:t>
      </w:r>
    </w:p>
    <w:p w:rsidR="006A42CE" w:rsidRPr="006A42CE" w:rsidP="006A42CE">
      <w:pPr>
        <w:autoSpaceDE w:val="0"/>
        <w:autoSpaceDN w:val="0"/>
        <w:adjustRightInd w:val="0"/>
        <w:ind w:left="4248"/>
        <w:jc w:val="both"/>
        <w:rPr>
          <w:rFonts w:eastAsia="Calibri"/>
          <w:bCs w:val="0"/>
        </w:rPr>
      </w:pPr>
    </w:p>
    <w:p w:rsidR="006A42CE" w:rsidRPr="006A42CE" w:rsidP="006A42CE">
      <w:pPr>
        <w:autoSpaceDE w:val="0"/>
        <w:autoSpaceDN w:val="0"/>
        <w:adjustRightInd w:val="0"/>
        <w:ind w:left="4248"/>
        <w:jc w:val="both"/>
        <w:rPr>
          <w:rFonts w:eastAsia="Calibri"/>
          <w:bCs w:val="0"/>
        </w:rPr>
      </w:pPr>
    </w:p>
    <w:p w:rsidR="006A42CE" w:rsidRPr="006A42CE" w:rsidP="006A42CE">
      <w:pPr>
        <w:numPr>
          <w:ilvl w:val="0"/>
          <w:numId w:val="41"/>
        </w:numPr>
        <w:autoSpaceDE w:val="0"/>
        <w:autoSpaceDN w:val="0"/>
        <w:adjustRightInd w:val="0"/>
        <w:ind w:left="0" w:firstLine="0"/>
        <w:jc w:val="both"/>
        <w:rPr>
          <w:rFonts w:eastAsia="Calibri"/>
          <w:bCs w:val="0"/>
        </w:rPr>
      </w:pPr>
      <w:r w:rsidRPr="006A42CE">
        <w:rPr>
          <w:rFonts w:eastAsia="Calibri"/>
          <w:bCs w:val="0"/>
        </w:rPr>
        <w:t xml:space="preserve">V § 4 sa odsek 3 dopĺňa písmenom </w:t>
      </w:r>
      <w:r w:rsidRPr="006A42CE">
        <w:rPr>
          <w:rFonts w:eastAsia="Calibri"/>
          <w:bCs w:val="0"/>
          <w:lang w:eastAsia="en-US"/>
        </w:rPr>
        <w:t>f), ktoré znie:</w:t>
      </w:r>
    </w:p>
    <w:p w:rsidR="006A42CE" w:rsidRPr="006A42CE" w:rsidP="006A42CE">
      <w:pPr>
        <w:contextualSpacing/>
        <w:rPr>
          <w:rFonts w:eastAsia="Calibri"/>
          <w:bCs w:val="0"/>
          <w:lang w:eastAsia="en-US"/>
        </w:rPr>
      </w:pPr>
      <w:r w:rsidRPr="006A42CE">
        <w:rPr>
          <w:rFonts w:eastAsia="Calibri"/>
          <w:bCs w:val="0"/>
          <w:lang w:eastAsia="en-US"/>
        </w:rPr>
        <w:t>„f) lotéria pokladničných dokladov.“.</w:t>
      </w:r>
    </w:p>
    <w:p w:rsidR="006A42CE" w:rsidP="006A42CE">
      <w:pPr>
        <w:jc w:val="both"/>
        <w:rPr>
          <w:bCs w:val="0"/>
        </w:rPr>
      </w:pPr>
    </w:p>
    <w:p w:rsidR="006A42CE" w:rsidRPr="006A42CE" w:rsidP="006A42CE">
      <w:pPr>
        <w:ind w:left="2832"/>
        <w:jc w:val="both"/>
        <w:rPr>
          <w:bCs w:val="0"/>
        </w:rPr>
      </w:pPr>
      <w:r w:rsidRPr="006A42CE">
        <w:rPr>
          <w:bCs w:val="0"/>
        </w:rPr>
        <w:t>Vzhľadom na skutočnosť, že lotéria pokladničných dokladov nesie znaky niektorých lotériových hier, navrhuje sa jej zaradenie ako novej hry lotériového typu.</w:t>
      </w:r>
    </w:p>
    <w:p w:rsidR="006A42CE" w:rsidRPr="006A42CE" w:rsidP="006A42CE">
      <w:pPr>
        <w:autoSpaceDE w:val="0"/>
        <w:autoSpaceDN w:val="0"/>
        <w:adjustRightInd w:val="0"/>
        <w:ind w:left="2124" w:firstLine="708"/>
        <w:jc w:val="both"/>
        <w:rPr>
          <w:rFonts w:eastAsia="Calibri"/>
          <w:bCs w:val="0"/>
          <w:u w:val="single"/>
          <w:lang w:eastAsia="en-US"/>
        </w:rPr>
      </w:pPr>
    </w:p>
    <w:p w:rsidR="006A42CE" w:rsidRPr="006A42CE" w:rsidP="006A42CE">
      <w:pPr>
        <w:jc w:val="both"/>
        <w:rPr>
          <w:rFonts w:eastAsia="Calibri"/>
          <w:bCs w:val="0"/>
          <w:lang w:eastAsia="en-US"/>
        </w:rPr>
      </w:pPr>
    </w:p>
    <w:p w:rsidR="006A42CE" w:rsidRPr="006A42CE" w:rsidP="006A42CE">
      <w:pPr>
        <w:numPr>
          <w:ilvl w:val="0"/>
          <w:numId w:val="41"/>
        </w:numPr>
        <w:ind w:left="0" w:firstLine="0"/>
        <w:jc w:val="both"/>
        <w:rPr>
          <w:rFonts w:eastAsia="Calibri"/>
          <w:bCs w:val="0"/>
          <w:lang w:eastAsia="en-US"/>
        </w:rPr>
      </w:pPr>
      <w:r w:rsidRPr="006A42CE">
        <w:rPr>
          <w:rFonts w:eastAsia="Calibri"/>
          <w:bCs w:val="0"/>
          <w:lang w:eastAsia="en-US"/>
        </w:rPr>
        <w:t>Za § 4 sa vkladá § 4a, ktorý vrátane nadpisu znie:</w:t>
      </w:r>
    </w:p>
    <w:p w:rsidR="006A42CE" w:rsidRPr="006A42CE" w:rsidP="006A42CE">
      <w:pPr>
        <w:jc w:val="center"/>
        <w:rPr>
          <w:rFonts w:eastAsia="Calibri"/>
          <w:bCs w:val="0"/>
          <w:lang w:eastAsia="en-US"/>
        </w:rPr>
      </w:pPr>
      <w:r w:rsidRPr="006A42CE">
        <w:rPr>
          <w:rFonts w:eastAsia="Calibri"/>
          <w:bCs w:val="0"/>
          <w:lang w:eastAsia="en-US"/>
        </w:rPr>
        <w:t>„§ 4a</w:t>
      </w:r>
    </w:p>
    <w:p w:rsidR="006A42CE" w:rsidRPr="006A42CE" w:rsidP="006A42CE">
      <w:pPr>
        <w:jc w:val="center"/>
        <w:rPr>
          <w:rFonts w:eastAsia="Calibri"/>
          <w:bCs w:val="0"/>
        </w:rPr>
      </w:pPr>
      <w:r w:rsidRPr="006A42CE">
        <w:rPr>
          <w:rFonts w:eastAsia="Calibri"/>
          <w:bCs w:val="0"/>
        </w:rPr>
        <w:t>Lotéria pokladničných dokladov</w:t>
      </w:r>
    </w:p>
    <w:p w:rsidR="006A42CE" w:rsidRPr="006A42CE" w:rsidP="006A42CE">
      <w:pPr>
        <w:jc w:val="center"/>
        <w:rPr>
          <w:rFonts w:eastAsia="Calibri"/>
          <w:bCs w:val="0"/>
          <w:lang w:eastAsia="en-US"/>
        </w:rPr>
      </w:pPr>
    </w:p>
    <w:p w:rsidR="006A42CE" w:rsidRPr="006A42CE" w:rsidP="006A42CE">
      <w:pPr>
        <w:numPr>
          <w:ilvl w:val="0"/>
          <w:numId w:val="42"/>
        </w:numPr>
        <w:autoSpaceDE w:val="0"/>
        <w:autoSpaceDN w:val="0"/>
        <w:adjustRightInd w:val="0"/>
        <w:jc w:val="both"/>
        <w:rPr>
          <w:rFonts w:eastAsia="Calibri"/>
          <w:bCs w:val="0"/>
          <w:lang w:eastAsia="en-US"/>
        </w:rPr>
      </w:pPr>
      <w:r w:rsidRPr="006A42CE">
        <w:rPr>
          <w:rFonts w:eastAsia="Calibri"/>
          <w:bCs w:val="0"/>
        </w:rPr>
        <w:t xml:space="preserve"> Lotéria pokladničných dokladov je lotériová hra, v ktorej nie je vopred určený počet žrebov</w:t>
      </w:r>
      <w:r w:rsidRPr="006A42CE">
        <w:rPr>
          <w:rFonts w:eastAsia="Calibri"/>
          <w:bCs w:val="0"/>
          <w:lang w:eastAsia="en-US"/>
        </w:rPr>
        <w:t>.</w:t>
      </w:r>
    </w:p>
    <w:p w:rsidR="006A42CE" w:rsidRPr="006A42CE" w:rsidP="006A42CE">
      <w:pPr>
        <w:numPr>
          <w:ilvl w:val="0"/>
          <w:numId w:val="42"/>
        </w:numPr>
        <w:autoSpaceDE w:val="0"/>
        <w:autoSpaceDN w:val="0"/>
        <w:adjustRightInd w:val="0"/>
        <w:jc w:val="both"/>
        <w:rPr>
          <w:rFonts w:eastAsia="Calibri"/>
          <w:bCs w:val="0"/>
        </w:rPr>
      </w:pPr>
      <w:r w:rsidRPr="006A42CE">
        <w:rPr>
          <w:rFonts w:eastAsia="Calibri"/>
          <w:bCs w:val="0"/>
        </w:rPr>
        <w:t xml:space="preserve"> V lotérii </w:t>
      </w:r>
      <w:r w:rsidRPr="006A42CE">
        <w:rPr>
          <w:rFonts w:eastAsia="Calibri"/>
          <w:bCs w:val="0"/>
          <w:lang w:eastAsia="en-US"/>
        </w:rPr>
        <w:t>pokladničných dokladov sa výhry žrebujú podľa schváleného herného plánu, pričom výhercom je hráč, ktorý má žreb s číslom alebo iným označením  zhodným s vyžrebovaným číslom alebo iným označením žrebu.</w:t>
      </w:r>
    </w:p>
    <w:p w:rsidR="006A42CE" w:rsidRPr="006A42CE" w:rsidP="006A42CE">
      <w:pPr>
        <w:numPr>
          <w:ilvl w:val="0"/>
          <w:numId w:val="42"/>
        </w:numPr>
        <w:autoSpaceDE w:val="0"/>
        <w:autoSpaceDN w:val="0"/>
        <w:adjustRightInd w:val="0"/>
        <w:jc w:val="both"/>
        <w:rPr>
          <w:rFonts w:eastAsia="Calibri"/>
          <w:bCs w:val="0"/>
        </w:rPr>
      </w:pPr>
      <w:r w:rsidRPr="006A42CE">
        <w:rPr>
          <w:rFonts w:eastAsia="Calibri"/>
          <w:bCs w:val="0"/>
          <w:lang w:eastAsia="en-US"/>
        </w:rPr>
        <w:t xml:space="preserve"> Hráč v</w:t>
      </w:r>
      <w:r w:rsidRPr="006A42CE">
        <w:rPr>
          <w:rFonts w:eastAsia="Calibri"/>
          <w:bCs w:val="0"/>
        </w:rPr>
        <w:t xml:space="preserve"> lotérii  </w:t>
      </w:r>
      <w:r w:rsidRPr="006A42CE">
        <w:rPr>
          <w:rFonts w:eastAsia="Calibri"/>
          <w:bCs w:val="0"/>
          <w:lang w:eastAsia="en-US"/>
        </w:rPr>
        <w:t>pokladničných dokladov môže získať žreb výlučne na základe údajov z pokladničného dokladu; použitie údajov z náhradného dokladu</w:t>
      </w:r>
      <w:r w:rsidRPr="006A42CE">
        <w:rPr>
          <w:rFonts w:eastAsia="Calibri"/>
          <w:bCs w:val="0"/>
          <w:vertAlign w:val="superscript"/>
          <w:lang w:eastAsia="en-US"/>
        </w:rPr>
        <w:t xml:space="preserve"> </w:t>
      </w:r>
      <w:r w:rsidRPr="006A42CE">
        <w:rPr>
          <w:rFonts w:eastAsia="Calibri"/>
          <w:bCs w:val="0"/>
          <w:lang w:eastAsia="en-US"/>
        </w:rPr>
        <w:t>nie je prípustné.</w:t>
      </w:r>
    </w:p>
    <w:p w:rsidR="006A42CE" w:rsidRPr="006A42CE" w:rsidP="006A42CE">
      <w:pPr>
        <w:numPr>
          <w:ilvl w:val="0"/>
          <w:numId w:val="42"/>
        </w:numPr>
        <w:autoSpaceDE w:val="0"/>
        <w:autoSpaceDN w:val="0"/>
        <w:adjustRightInd w:val="0"/>
        <w:jc w:val="both"/>
        <w:rPr>
          <w:rFonts w:eastAsia="Calibri"/>
          <w:bCs w:val="0"/>
        </w:rPr>
      </w:pPr>
      <w:r w:rsidRPr="006A42CE">
        <w:rPr>
          <w:rFonts w:eastAsia="Calibri"/>
          <w:bCs w:val="0"/>
          <w:lang w:eastAsia="en-US"/>
        </w:rPr>
        <w:t xml:space="preserve"> Do žrebovania sú zaradené žreby vydané prevádzkovateľom </w:t>
      </w:r>
      <w:r w:rsidRPr="006A42CE">
        <w:rPr>
          <w:rFonts w:eastAsia="Calibri"/>
          <w:bCs w:val="0"/>
        </w:rPr>
        <w:t xml:space="preserve">lotérie  </w:t>
      </w:r>
      <w:r w:rsidRPr="006A42CE">
        <w:rPr>
          <w:rFonts w:eastAsia="Calibri"/>
          <w:bCs w:val="0"/>
          <w:lang w:eastAsia="en-US"/>
        </w:rPr>
        <w:t>pokladničných dokladov na základe údajov z pokladničného dokladu.</w:t>
      </w:r>
    </w:p>
    <w:p w:rsidR="006A42CE" w:rsidRPr="006A42CE" w:rsidP="006A42CE">
      <w:pPr>
        <w:numPr>
          <w:ilvl w:val="0"/>
          <w:numId w:val="42"/>
        </w:numPr>
        <w:autoSpaceDE w:val="0"/>
        <w:autoSpaceDN w:val="0"/>
        <w:adjustRightInd w:val="0"/>
        <w:jc w:val="both"/>
        <w:rPr>
          <w:rFonts w:eastAsia="Calibri"/>
          <w:bCs w:val="0"/>
        </w:rPr>
      </w:pPr>
      <w:r w:rsidRPr="006A42CE">
        <w:rPr>
          <w:rFonts w:eastAsia="Calibri"/>
          <w:bCs w:val="0"/>
        </w:rPr>
        <w:t xml:space="preserve">V lotérii </w:t>
      </w:r>
      <w:r w:rsidRPr="006A42CE">
        <w:rPr>
          <w:rFonts w:eastAsia="Calibri"/>
          <w:bCs w:val="0"/>
          <w:lang w:eastAsia="en-US"/>
        </w:rPr>
        <w:t xml:space="preserve">pokladničných dokladov nie je podmienkou účasti zaplatenie vkladu. Platby uskutočnené na účely získania plnení od prevádzkovateľa </w:t>
      </w:r>
      <w:r w:rsidRPr="006A42CE">
        <w:rPr>
          <w:rFonts w:eastAsia="Calibri"/>
          <w:bCs w:val="0"/>
        </w:rPr>
        <w:t xml:space="preserve">lotérie </w:t>
      </w:r>
      <w:r w:rsidRPr="006A42CE">
        <w:rPr>
          <w:rFonts w:eastAsia="Calibri"/>
          <w:bCs w:val="0"/>
          <w:lang w:eastAsia="en-US"/>
        </w:rPr>
        <w:t>pokladničných dokladov sa nepovažujú za vklad.“.</w:t>
        <w:tab/>
      </w:r>
    </w:p>
    <w:p w:rsidR="006A42CE" w:rsidRPr="006A42CE" w:rsidP="006A42CE">
      <w:pPr>
        <w:ind w:left="3540" w:firstLine="708"/>
        <w:jc w:val="both"/>
        <w:rPr>
          <w:bCs w:val="0"/>
          <w:u w:val="single"/>
        </w:rPr>
      </w:pPr>
    </w:p>
    <w:p w:rsidR="006A42CE" w:rsidRPr="006A42CE" w:rsidP="006A42CE">
      <w:pPr>
        <w:ind w:left="2832"/>
        <w:jc w:val="both"/>
        <w:rPr>
          <w:bCs w:val="0"/>
        </w:rPr>
      </w:pPr>
      <w:r w:rsidRPr="006A42CE">
        <w:rPr>
          <w:bCs w:val="0"/>
        </w:rPr>
        <w:t xml:space="preserve">Vymedzujú sa základné charakteristiky lotérie pokladničných dokladov. K hlavným znakom odlišujúcim lotériu pokladničných dokladov od iných lotériových hier je, že hráč môže získať žreb tejto lotérie výlučne na základe údajov z pokladničného dokladu, pričom nie je podmienkou  účasti na  tejto hre zaplatenie vkladu.  Prípadné iné platby uskutočnené hráčom na účely získania plnení od prevádzkovateľa lotérie pokladničných dokladov sa za vklad podľa tohto zákona nepovažujú. </w:t>
      </w:r>
    </w:p>
    <w:p w:rsidR="006A42CE" w:rsidRPr="006A42CE" w:rsidP="006A42CE">
      <w:pPr>
        <w:ind w:left="2832"/>
        <w:jc w:val="both"/>
        <w:rPr>
          <w:bCs w:val="0"/>
        </w:rPr>
      </w:pPr>
      <w:r w:rsidRPr="006A42CE">
        <w:rPr>
          <w:bCs w:val="0"/>
        </w:rPr>
        <w:t>V lotérii pokladničných dokladov nebude  vopred určený počet žrebov a do žrebovania budú zaradené žreby vydané prevádzkovateľom lotérie  pokladničných dokladov na základe údajov z pokladničného dokladu. Výhercom v lotérii pokladničných dokladov bude hráč, ktorý sa preukáže žrebom s číslom alebo iným označením zhodným s vyžrebovaným číslom alebo iným označením žrebu.</w:t>
      </w:r>
    </w:p>
    <w:p w:rsidR="006A42CE" w:rsidRPr="006A42CE" w:rsidP="006A42CE">
      <w:pPr>
        <w:ind w:left="3540"/>
        <w:jc w:val="both"/>
        <w:rPr>
          <w:rFonts w:eastAsia="Calibri"/>
          <w:bCs w:val="0"/>
        </w:rPr>
      </w:pPr>
    </w:p>
    <w:p w:rsidR="006A42CE" w:rsidRPr="006A42CE" w:rsidP="006A42CE">
      <w:pPr>
        <w:numPr>
          <w:ilvl w:val="0"/>
          <w:numId w:val="41"/>
        </w:numPr>
        <w:ind w:left="0" w:firstLine="0"/>
        <w:jc w:val="both"/>
        <w:rPr>
          <w:rFonts w:eastAsia="Calibri"/>
          <w:bCs w:val="0"/>
          <w:lang w:eastAsia="en-US"/>
        </w:rPr>
      </w:pPr>
      <w:r w:rsidRPr="006A42CE">
        <w:rPr>
          <w:rFonts w:eastAsia="Calibri"/>
          <w:bCs w:val="0"/>
        </w:rPr>
        <w:t xml:space="preserve">V § 20 ods. 5 písm. a) a b) a ods. 6 písm. j) </w:t>
      </w:r>
      <w:r w:rsidRPr="006A42CE">
        <w:rPr>
          <w:rFonts w:eastAsia="Calibri"/>
          <w:bCs w:val="0"/>
          <w:lang w:eastAsia="en-US"/>
        </w:rPr>
        <w:t>sa na konci čiarka nahrádza bodkočiarkou a pripájajú sa tieto slová: „to neplatí, ak ide o žiadosť o udelenie individuálnej licencie na prevádzkovanie štátnej lotérie, ktorou sa povoľuje prevádzkovanie lotérie pokladničných dokladov,“.</w:t>
      </w:r>
    </w:p>
    <w:p w:rsidR="006A42CE" w:rsidP="006A42CE">
      <w:pPr>
        <w:jc w:val="both"/>
        <w:rPr>
          <w:bCs w:val="0"/>
        </w:rPr>
      </w:pPr>
    </w:p>
    <w:p w:rsidR="006A42CE" w:rsidRPr="006A42CE" w:rsidP="006A42CE">
      <w:pPr>
        <w:ind w:left="2832"/>
        <w:jc w:val="both"/>
        <w:rPr>
          <w:bCs w:val="0"/>
        </w:rPr>
      </w:pPr>
      <w:r w:rsidRPr="006A42CE">
        <w:rPr>
          <w:bCs w:val="0"/>
        </w:rPr>
        <w:t>Precizujú sa povinnosti žiadateľa pri predkladaní žiadosti o udelenie licencie na prevádzkovanie tejto štátnej lotérie.</w:t>
      </w:r>
    </w:p>
    <w:p w:rsidR="006A42CE" w:rsidRPr="006A42CE" w:rsidP="006A42CE">
      <w:pPr>
        <w:ind w:left="4248"/>
        <w:jc w:val="both"/>
        <w:rPr>
          <w:rFonts w:eastAsia="Calibri"/>
          <w:bCs w:val="0"/>
          <w:lang w:eastAsia="en-US"/>
        </w:rPr>
      </w:pPr>
    </w:p>
    <w:p w:rsidR="006A42CE" w:rsidRPr="006A42CE" w:rsidP="006A42CE">
      <w:pPr>
        <w:numPr>
          <w:ilvl w:val="0"/>
          <w:numId w:val="41"/>
        </w:numPr>
        <w:ind w:left="0" w:firstLine="0"/>
        <w:jc w:val="both"/>
        <w:rPr>
          <w:rFonts w:eastAsia="Calibri"/>
          <w:bCs w:val="0"/>
          <w:lang w:eastAsia="en-US"/>
        </w:rPr>
      </w:pPr>
      <w:r w:rsidRPr="006A42CE">
        <w:rPr>
          <w:rFonts w:eastAsia="Calibri"/>
          <w:bCs w:val="0"/>
        </w:rPr>
        <w:t xml:space="preserve">V § 28 ods. 3 písm. b) </w:t>
      </w:r>
      <w:r w:rsidRPr="006A42CE">
        <w:rPr>
          <w:rFonts w:eastAsia="Calibri"/>
          <w:bCs w:val="0"/>
          <w:lang w:eastAsia="en-US"/>
        </w:rPr>
        <w:t xml:space="preserve">sa na konci čiarka nahrádza bodkočiarkou a pripájajú sa tieto slová: „pri </w:t>
      </w:r>
      <w:r w:rsidRPr="006A42CE">
        <w:rPr>
          <w:rFonts w:eastAsia="Calibri"/>
          <w:bCs w:val="0"/>
        </w:rPr>
        <w:t xml:space="preserve">lotérii </w:t>
      </w:r>
      <w:r w:rsidRPr="006A42CE">
        <w:rPr>
          <w:rFonts w:eastAsia="Calibri"/>
          <w:bCs w:val="0"/>
          <w:lang w:eastAsia="en-US"/>
        </w:rPr>
        <w:t>pokladničných dokladov sa počet žrebov, cena jedného žrebu a celková výška hernej istiny neuvádzajú,“.</w:t>
      </w:r>
    </w:p>
    <w:p w:rsidR="006A42CE" w:rsidP="006A42CE">
      <w:pPr>
        <w:jc w:val="both"/>
        <w:rPr>
          <w:bCs w:val="0"/>
        </w:rPr>
      </w:pPr>
    </w:p>
    <w:p w:rsidR="006A42CE" w:rsidRPr="006A42CE" w:rsidP="006A42CE">
      <w:pPr>
        <w:ind w:left="2832"/>
        <w:jc w:val="both"/>
        <w:rPr>
          <w:bCs w:val="0"/>
        </w:rPr>
      </w:pPr>
      <w:r w:rsidRPr="006A42CE">
        <w:rPr>
          <w:bCs w:val="0"/>
        </w:rPr>
        <w:t>Vzhľadom na odlišný charakter novej lotérie pokladničných dokladov v porovnaní s ostatnými hazardnými hrami tvoriacimi štátnu lotériu sa upresňujú náležitosti rozhodnutia o udelení licencie na prevádzkovanie tejto štátnej lotérie.</w:t>
      </w:r>
    </w:p>
    <w:p w:rsidR="006A42CE" w:rsidRPr="006A42CE" w:rsidP="006A42CE">
      <w:pPr>
        <w:ind w:left="4248"/>
        <w:jc w:val="both"/>
        <w:rPr>
          <w:bCs w:val="0"/>
          <w:iCs/>
          <w:u w:val="single"/>
        </w:rPr>
      </w:pPr>
    </w:p>
    <w:p w:rsidR="006A42CE" w:rsidRPr="006A42CE" w:rsidP="006A42CE">
      <w:pPr>
        <w:numPr>
          <w:ilvl w:val="0"/>
          <w:numId w:val="41"/>
        </w:numPr>
        <w:autoSpaceDE w:val="0"/>
        <w:autoSpaceDN w:val="0"/>
        <w:adjustRightInd w:val="0"/>
        <w:ind w:left="0" w:firstLine="0"/>
        <w:jc w:val="both"/>
        <w:rPr>
          <w:rFonts w:eastAsia="Calibri"/>
          <w:bCs w:val="0"/>
        </w:rPr>
      </w:pPr>
      <w:r w:rsidRPr="006A42CE">
        <w:rPr>
          <w:rFonts w:eastAsia="Calibri"/>
          <w:bCs w:val="0"/>
        </w:rPr>
        <w:t xml:space="preserve">V § 37 ods. 2 sa </w:t>
      </w:r>
      <w:r w:rsidRPr="006A42CE">
        <w:rPr>
          <w:rFonts w:eastAsia="Calibri"/>
          <w:bCs w:val="0"/>
          <w:lang w:eastAsia="en-US"/>
        </w:rPr>
        <w:t>na konci bodka nahrádza bodkočiarkou a pripájajú sa tieto slová:</w:t>
      </w:r>
      <w:r w:rsidRPr="006A42CE">
        <w:rPr>
          <w:rFonts w:eastAsia="Calibri"/>
          <w:bCs w:val="0"/>
        </w:rPr>
        <w:t xml:space="preserve"> „to neplatí pri určovaní výšky odvodu ministerstvom pri lotérii pokladničných dokladov.“. </w:t>
      </w:r>
    </w:p>
    <w:p w:rsidR="006A42CE" w:rsidP="006A42CE">
      <w:pPr>
        <w:jc w:val="both"/>
        <w:rPr>
          <w:bCs w:val="0"/>
        </w:rPr>
      </w:pPr>
    </w:p>
    <w:p w:rsidR="006A42CE" w:rsidRPr="006A42CE" w:rsidP="006A42CE">
      <w:pPr>
        <w:ind w:left="2832"/>
        <w:jc w:val="both"/>
        <w:rPr>
          <w:bCs w:val="0"/>
        </w:rPr>
      </w:pPr>
      <w:r w:rsidRPr="006A42CE">
        <w:rPr>
          <w:bCs w:val="0"/>
        </w:rPr>
        <w:t xml:space="preserve">Keďže v prípade lotérie pokladničných dokladov sa nepredpokladá ako podmienka účasti  hráča zaplatenie vkladu, ako aj s prihliadnutím na všeobecnú konštrukciu odvodov ako osobitného druhu platby spoločností podnikajúcich v oblasti prevádzkovania hazardných hier, sa navrhuje,  aby  výšku odvodu určilo Ministerstvo financií SR priamo v rozhodnutí o udelení individuálnej licencie na prevádzkovanie tejto lotériovej hry.  </w:t>
      </w:r>
    </w:p>
    <w:p w:rsidR="006A42CE" w:rsidRPr="006A42CE" w:rsidP="006A42CE">
      <w:pPr>
        <w:ind w:left="4248"/>
        <w:jc w:val="both"/>
        <w:rPr>
          <w:rFonts w:eastAsia="Calibri"/>
          <w:bCs w:val="0"/>
          <w:lang w:eastAsia="en-US"/>
        </w:rPr>
      </w:pPr>
    </w:p>
    <w:p w:rsidR="006A42CE" w:rsidRPr="006A42CE" w:rsidP="006A42CE">
      <w:pPr>
        <w:numPr>
          <w:ilvl w:val="0"/>
          <w:numId w:val="41"/>
        </w:numPr>
        <w:ind w:left="0" w:firstLine="0"/>
        <w:jc w:val="both"/>
        <w:rPr>
          <w:rFonts w:eastAsia="Calibri"/>
          <w:bCs w:val="0"/>
          <w:lang w:eastAsia="en-US"/>
        </w:rPr>
      </w:pPr>
      <w:r w:rsidRPr="006A42CE">
        <w:rPr>
          <w:rFonts w:eastAsia="Calibri"/>
          <w:bCs w:val="0"/>
        </w:rPr>
        <w:t xml:space="preserve">V § 41 ods. 1 </w:t>
      </w:r>
      <w:r w:rsidRPr="006A42CE">
        <w:rPr>
          <w:rFonts w:eastAsia="Calibri"/>
          <w:bCs w:val="0"/>
          <w:lang w:eastAsia="en-US"/>
        </w:rPr>
        <w:t>sa na konci bodka nahrádza bodkočiarkou a pripájajú sa tieto slová: „to neplatí, ak prevádzkovateľom lotériovej hry je národná lotériová spoločnosť.“.</w:t>
      </w:r>
    </w:p>
    <w:p w:rsidR="006A42CE" w:rsidP="006A42CE">
      <w:pPr>
        <w:jc w:val="both"/>
        <w:rPr>
          <w:bCs w:val="0"/>
        </w:rPr>
      </w:pPr>
    </w:p>
    <w:p w:rsidR="006A42CE" w:rsidRPr="006A42CE" w:rsidP="006A42CE">
      <w:pPr>
        <w:ind w:left="2832"/>
        <w:jc w:val="both"/>
        <w:rPr>
          <w:rFonts w:eastAsia="Calibri"/>
          <w:bCs w:val="0"/>
          <w:lang w:eastAsia="en-US"/>
        </w:rPr>
      </w:pPr>
      <w:r w:rsidRPr="006A42CE">
        <w:rPr>
          <w:bCs w:val="0"/>
        </w:rPr>
        <w:t>Navrhuje sa umožniť národnej lotériovej spoločnosti používanie štátnych symbolov na jej žreboch.</w:t>
      </w:r>
    </w:p>
    <w:p w:rsidR="006A42CE" w:rsidRPr="006A42CE" w:rsidP="006A42CE">
      <w:pPr>
        <w:jc w:val="both"/>
        <w:rPr>
          <w:rFonts w:eastAsia="Calibri"/>
          <w:bCs w:val="0"/>
          <w:lang w:eastAsia="en-US"/>
        </w:rPr>
      </w:pPr>
    </w:p>
    <w:p w:rsidR="006A42CE" w:rsidRPr="006A42CE" w:rsidP="006A42CE">
      <w:pPr>
        <w:numPr>
          <w:ilvl w:val="0"/>
          <w:numId w:val="41"/>
        </w:numPr>
        <w:ind w:left="0" w:firstLine="0"/>
        <w:jc w:val="both"/>
        <w:rPr>
          <w:rFonts w:eastAsia="Calibri"/>
          <w:bCs w:val="0"/>
          <w:lang w:eastAsia="en-US"/>
        </w:rPr>
      </w:pPr>
      <w:r w:rsidRPr="006A42CE">
        <w:rPr>
          <w:rFonts w:eastAsia="Calibri"/>
          <w:bCs w:val="0"/>
          <w:lang w:eastAsia="en-US"/>
        </w:rPr>
        <w:t>V § 42 ods. 1 sa za prvú vetu vkladá nová druhá veta, ktorá znie:</w:t>
      </w:r>
    </w:p>
    <w:p w:rsidR="006A42CE" w:rsidRPr="006A42CE" w:rsidP="006A42CE">
      <w:pPr>
        <w:contextualSpacing/>
        <w:rPr>
          <w:rFonts w:eastAsia="Calibri"/>
          <w:bCs w:val="0"/>
          <w:lang w:eastAsia="en-US"/>
        </w:rPr>
      </w:pPr>
      <w:r w:rsidRPr="006A42CE">
        <w:rPr>
          <w:rFonts w:eastAsia="Calibri"/>
          <w:bCs w:val="0"/>
          <w:lang w:eastAsia="en-US"/>
        </w:rPr>
        <w:t>„Žrebovanie lotérie pokladničných dokladov sa musí vykonať za účasti orgánu dozoru.“.</w:t>
      </w:r>
    </w:p>
    <w:p w:rsidR="006A42CE" w:rsidRPr="006A42CE" w:rsidP="006A42CE">
      <w:pPr>
        <w:ind w:left="3540" w:firstLine="708"/>
        <w:jc w:val="both"/>
        <w:rPr>
          <w:bCs w:val="0"/>
          <w:u w:val="single"/>
        </w:rPr>
      </w:pPr>
    </w:p>
    <w:p w:rsidR="006A42CE" w:rsidRPr="006A42CE" w:rsidP="006A42CE">
      <w:pPr>
        <w:ind w:left="2832"/>
        <w:contextualSpacing/>
        <w:jc w:val="both"/>
        <w:rPr>
          <w:rFonts w:eastAsia="Calibri"/>
          <w:bCs w:val="0"/>
          <w:lang w:eastAsia="en-US"/>
        </w:rPr>
      </w:pPr>
      <w:r w:rsidRPr="006A42CE">
        <w:rPr>
          <w:bCs w:val="0"/>
        </w:rPr>
        <w:t>Vzhľadom na špecifický charakter lotérie pokladničných dokladov sa navrhuje, aby sa žrebovanie lotérie pokladničných dokladov vykonalo vždy za účasti orgánu dozoru.</w:t>
      </w:r>
    </w:p>
    <w:p w:rsidR="006A42CE" w:rsidRPr="006A42CE" w:rsidP="006A42CE">
      <w:pPr>
        <w:jc w:val="both"/>
        <w:rPr>
          <w:rFonts w:eastAsia="Calibri"/>
          <w:bCs w:val="0"/>
          <w:lang w:eastAsia="en-US"/>
        </w:rPr>
      </w:pPr>
    </w:p>
    <w:p w:rsidR="006A42CE" w:rsidRPr="006A42CE" w:rsidP="006A42CE">
      <w:pPr>
        <w:numPr>
          <w:ilvl w:val="0"/>
          <w:numId w:val="41"/>
        </w:numPr>
        <w:ind w:left="0" w:firstLine="0"/>
        <w:jc w:val="both"/>
        <w:rPr>
          <w:rFonts w:eastAsia="Calibri"/>
          <w:bCs w:val="0"/>
          <w:lang w:eastAsia="en-US"/>
        </w:rPr>
      </w:pPr>
      <w:r w:rsidRPr="006A42CE">
        <w:rPr>
          <w:rFonts w:eastAsia="Calibri"/>
          <w:bCs w:val="0"/>
          <w:lang w:eastAsia="en-US"/>
        </w:rPr>
        <w:t xml:space="preserve"> Za § 58i sa vkladá § 58j, ktorý vrátane nadpisu znie:</w:t>
      </w:r>
    </w:p>
    <w:p w:rsidR="006A42CE" w:rsidRPr="006A42CE" w:rsidP="006A42CE">
      <w:pPr>
        <w:jc w:val="both"/>
        <w:rPr>
          <w:rFonts w:eastAsia="Calibri"/>
          <w:bCs w:val="0"/>
          <w:lang w:eastAsia="en-US"/>
        </w:rPr>
      </w:pPr>
    </w:p>
    <w:p w:rsidR="006A42CE" w:rsidRPr="006A42CE" w:rsidP="006A42CE">
      <w:pPr>
        <w:jc w:val="center"/>
        <w:rPr>
          <w:rFonts w:eastAsia="Calibri"/>
          <w:bCs w:val="0"/>
          <w:lang w:eastAsia="en-US"/>
        </w:rPr>
      </w:pPr>
      <w:r w:rsidRPr="006A42CE">
        <w:rPr>
          <w:rFonts w:eastAsia="Calibri"/>
          <w:bCs w:val="0"/>
          <w:lang w:eastAsia="en-US"/>
        </w:rPr>
        <w:t>„§ 58j</w:t>
      </w:r>
    </w:p>
    <w:p w:rsidR="006A42CE" w:rsidRPr="006A42CE" w:rsidP="006A42CE">
      <w:pPr>
        <w:jc w:val="center"/>
        <w:rPr>
          <w:rFonts w:eastAsia="Calibri"/>
          <w:bCs w:val="0"/>
          <w:lang w:eastAsia="en-US"/>
        </w:rPr>
      </w:pPr>
      <w:r w:rsidRPr="006A42CE">
        <w:rPr>
          <w:rFonts w:eastAsia="Calibri"/>
          <w:bCs w:val="0"/>
          <w:lang w:eastAsia="en-US"/>
        </w:rPr>
        <w:t>Prechodné ustanovenie k úpravám účinným od 1. septembra 2013</w:t>
      </w:r>
    </w:p>
    <w:p w:rsidR="006A42CE" w:rsidRPr="006A42CE" w:rsidP="006A42CE">
      <w:pPr>
        <w:ind w:left="360"/>
        <w:contextualSpacing/>
        <w:jc w:val="both"/>
        <w:rPr>
          <w:rFonts w:eastAsia="Calibri"/>
          <w:bCs w:val="0"/>
          <w:lang w:eastAsia="en-US"/>
        </w:rPr>
      </w:pPr>
    </w:p>
    <w:p w:rsidR="006A42CE" w:rsidRPr="006A42CE" w:rsidP="006A42CE">
      <w:pPr>
        <w:tabs>
          <w:tab w:val="left" w:pos="426"/>
        </w:tabs>
        <w:jc w:val="both"/>
        <w:rPr>
          <w:rFonts w:eastAsia="Calibri"/>
          <w:bCs w:val="0"/>
          <w:lang w:eastAsia="en-US"/>
        </w:rPr>
      </w:pPr>
      <w:r w:rsidRPr="006A42CE">
        <w:rPr>
          <w:rFonts w:eastAsia="Calibri"/>
          <w:bCs w:val="0"/>
          <w:lang w:eastAsia="en-US"/>
        </w:rPr>
        <w:t>Do lotérie pokladničných dokladov môže byť zaradený žreb vydaný prevádzkovateľom hráčovi po predložení pokladničného dokladu, ktorý bol vyhotovený po 31. auguste 2013.“.</w:t>
      </w:r>
    </w:p>
    <w:p w:rsidR="006A42CE" w:rsidRPr="006A42CE" w:rsidP="006A42CE">
      <w:pPr>
        <w:tabs>
          <w:tab w:val="left" w:pos="426"/>
        </w:tabs>
        <w:ind w:left="720"/>
        <w:contextualSpacing/>
        <w:jc w:val="both"/>
        <w:rPr>
          <w:rFonts w:eastAsia="Calibri"/>
          <w:bCs w:val="0"/>
          <w:lang w:eastAsia="en-US"/>
        </w:rPr>
      </w:pPr>
    </w:p>
    <w:p w:rsidR="006A42CE" w:rsidRPr="006A42CE" w:rsidP="006A42CE">
      <w:pPr>
        <w:ind w:left="3540" w:firstLine="708"/>
        <w:jc w:val="both"/>
        <w:rPr>
          <w:bCs w:val="0"/>
          <w:u w:val="single"/>
        </w:rPr>
      </w:pPr>
    </w:p>
    <w:p w:rsidR="006A42CE" w:rsidRPr="006A42CE" w:rsidP="006A42CE">
      <w:pPr>
        <w:ind w:left="3540" w:firstLine="708"/>
        <w:jc w:val="both"/>
        <w:rPr>
          <w:bCs w:val="0"/>
          <w:u w:val="single"/>
        </w:rPr>
      </w:pPr>
    </w:p>
    <w:p w:rsidR="006A42CE" w:rsidRPr="006A42CE" w:rsidP="006A42CE">
      <w:pPr>
        <w:ind w:left="3540" w:firstLine="708"/>
        <w:jc w:val="both"/>
        <w:rPr>
          <w:bCs w:val="0"/>
          <w:u w:val="single"/>
        </w:rPr>
      </w:pPr>
    </w:p>
    <w:p w:rsidR="006A42CE" w:rsidRPr="006A42CE" w:rsidP="006A42CE">
      <w:pPr>
        <w:tabs>
          <w:tab w:val="left" w:pos="0"/>
        </w:tabs>
        <w:ind w:left="2832"/>
        <w:contextualSpacing/>
        <w:jc w:val="both"/>
        <w:rPr>
          <w:rFonts w:eastAsia="Calibri"/>
          <w:bCs w:val="0"/>
          <w:lang w:eastAsia="en-US"/>
        </w:rPr>
      </w:pPr>
      <w:r w:rsidRPr="006A42CE">
        <w:rPr>
          <w:bCs w:val="0"/>
        </w:rPr>
        <w:t>V rámci prechodných ustanovení sa navrhuje, aby sa do žrebovania lotérie pokladničných dokladov zaradili všetky pokladničné doklady vyhotovené odo dňa účinnosti tejto novely.</w:t>
      </w:r>
    </w:p>
    <w:p w:rsidR="006A42CE" w:rsidRPr="006A42CE" w:rsidP="006A42CE">
      <w:pPr>
        <w:tabs>
          <w:tab w:val="left" w:pos="0"/>
        </w:tabs>
        <w:contextualSpacing/>
        <w:rPr>
          <w:rFonts w:eastAsia="Calibri"/>
          <w:bCs w:val="0"/>
          <w:lang w:eastAsia="en-US"/>
        </w:rPr>
      </w:pPr>
    </w:p>
    <w:p w:rsidR="006A42CE" w:rsidRPr="006A42CE" w:rsidP="006A42CE">
      <w:pPr>
        <w:tabs>
          <w:tab w:val="left" w:pos="0"/>
        </w:tabs>
        <w:contextualSpacing/>
        <w:rPr>
          <w:rFonts w:eastAsia="Calibri"/>
          <w:bCs w:val="0"/>
          <w:lang w:eastAsia="en-US"/>
        </w:rPr>
      </w:pPr>
      <w:r w:rsidRPr="006A42CE">
        <w:rPr>
          <w:rFonts w:eastAsia="Calibri"/>
          <w:bCs w:val="0"/>
          <w:lang w:eastAsia="en-US"/>
        </w:rPr>
        <w:t>Doterajší čl. II sa označuje ako čl. VI.“.</w:t>
      </w:r>
    </w:p>
    <w:p w:rsidR="006A42CE" w:rsidP="006A42CE">
      <w:pPr>
        <w:rPr>
          <w:b/>
          <w:bCs w:val="0"/>
        </w:rPr>
      </w:pPr>
    </w:p>
    <w:p w:rsidR="006A42CE" w:rsidP="006A42CE">
      <w:pPr>
        <w:rPr>
          <w:b/>
          <w:bCs w:val="0"/>
        </w:rPr>
      </w:pPr>
    </w:p>
    <w:p w:rsidR="006A42CE" w:rsidRPr="006A42CE" w:rsidP="006A42CE">
      <w:pPr>
        <w:numPr>
          <w:ilvl w:val="0"/>
          <w:numId w:val="45"/>
        </w:numPr>
        <w:rPr>
          <w:bCs w:val="0"/>
        </w:rPr>
      </w:pPr>
      <w:r w:rsidRPr="006A42CE">
        <w:rPr>
          <w:b/>
          <w:bCs w:val="0"/>
          <w:u w:val="single"/>
        </w:rPr>
        <w:t>Čl. VI</w:t>
      </w:r>
      <w:r w:rsidRPr="006A42CE">
        <w:rPr>
          <w:bCs w:val="0"/>
        </w:rPr>
        <w:t xml:space="preserve"> (doterajší čl. II) navrhujem preformulovať takto:</w:t>
      </w:r>
    </w:p>
    <w:p w:rsidR="006A42CE" w:rsidRPr="006A42CE" w:rsidP="006A42CE">
      <w:pPr>
        <w:rPr>
          <w:bCs w:val="0"/>
        </w:rPr>
      </w:pPr>
    </w:p>
    <w:p w:rsidR="006A42CE" w:rsidRPr="006A42CE" w:rsidP="006A42CE">
      <w:pPr>
        <w:jc w:val="center"/>
        <w:rPr>
          <w:bCs w:val="0"/>
        </w:rPr>
      </w:pPr>
      <w:r w:rsidRPr="006A42CE">
        <w:rPr>
          <w:bCs w:val="0"/>
        </w:rPr>
        <w:t>„Čl. VI</w:t>
      </w:r>
    </w:p>
    <w:p w:rsidR="006A42CE" w:rsidRPr="006A42CE" w:rsidP="006A42CE">
      <w:pPr>
        <w:rPr>
          <w:bCs w:val="0"/>
        </w:rPr>
      </w:pPr>
    </w:p>
    <w:p w:rsidR="006A42CE" w:rsidRPr="006A42CE" w:rsidP="006A42CE">
      <w:pPr>
        <w:ind w:firstLine="708"/>
        <w:rPr>
          <w:bCs w:val="0"/>
        </w:rPr>
      </w:pPr>
      <w:r w:rsidRPr="006A42CE">
        <w:rPr>
          <w:bCs w:val="0"/>
        </w:rPr>
        <w:t>Tento zákon nadobúda účinnosť 1. júla 2013 okrem čl. V, ktorý nadobúda účinnosť 1. septembra 2013.“.</w:t>
      </w:r>
    </w:p>
    <w:p w:rsidR="006A42CE" w:rsidRPr="006A42CE" w:rsidP="006A42CE">
      <w:pPr>
        <w:ind w:left="3540" w:firstLine="708"/>
        <w:jc w:val="both"/>
        <w:rPr>
          <w:bCs w:val="0"/>
          <w:u w:val="single"/>
        </w:rPr>
      </w:pPr>
    </w:p>
    <w:p w:rsidR="006A42CE" w:rsidP="006A42CE">
      <w:pPr>
        <w:jc w:val="both"/>
        <w:rPr>
          <w:bCs w:val="0"/>
        </w:rPr>
      </w:pPr>
    </w:p>
    <w:p w:rsidR="006A42CE" w:rsidRPr="006A42CE" w:rsidP="006A42CE">
      <w:pPr>
        <w:ind w:left="2832"/>
        <w:jc w:val="both"/>
        <w:rPr>
          <w:bCs w:val="0"/>
        </w:rPr>
      </w:pPr>
      <w:r w:rsidRPr="006A42CE">
        <w:rPr>
          <w:bCs w:val="0"/>
        </w:rPr>
        <w:t>Pôvodne navrhovanú účinnosť zákona 1. mája 2013 je potrebné posunúť vzhľadom na jej nereálnosť a s prihliadnutím na nevyhnutnosť legisvakančného obdobia navrhnutých noviel. Posunúť účinnosť čl. V je nevyhnutné z dôvodu zabezpečenia technických, organizačných a personálnych predpokladov prevádzkovania lotérie v zmysle navrhovanej novely zákona.</w:t>
      </w:r>
    </w:p>
    <w:p w:rsidR="006A42CE" w:rsidRPr="006A42CE" w:rsidP="006A42CE">
      <w:pPr>
        <w:autoSpaceDE w:val="0"/>
        <w:autoSpaceDN w:val="0"/>
        <w:adjustRightInd w:val="0"/>
        <w:ind w:left="2124" w:firstLine="708"/>
        <w:jc w:val="both"/>
        <w:rPr>
          <w:rFonts w:eastAsia="Calibri"/>
          <w:bCs w:val="0"/>
          <w:u w:val="single"/>
          <w:lang w:eastAsia="en-US"/>
        </w:rPr>
      </w:pPr>
    </w:p>
    <w:p w:rsidR="006A42CE" w:rsidRPr="006A42CE" w:rsidP="006A42CE">
      <w:pPr>
        <w:ind w:firstLine="708"/>
        <w:rPr>
          <w:bCs w:val="0"/>
        </w:rPr>
      </w:pPr>
    </w:p>
    <w:p w:rsidR="006A42CE" w:rsidP="000D14F9">
      <w:pPr>
        <w:rPr>
          <w:b/>
          <w:bCs w:val="0"/>
        </w:rPr>
      </w:pPr>
    </w:p>
    <w:sectPr w:rsidSect="00BC3578">
      <w:footerReference w:type="even" r:id="rId4"/>
      <w:footerReference w:type="default" r:id="rId5"/>
      <w:pgSz w:w="11906" w:h="16838"/>
      <w:pgMar w:top="539" w:right="1106" w:bottom="899"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5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42CE">
      <w:rPr>
        <w:rStyle w:val="PageNumber"/>
        <w:noProof/>
      </w:rPr>
      <w:t>2</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1">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3">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A3A4AE0"/>
    <w:multiLevelType w:val="hybridMultilevel"/>
    <w:tmpl w:val="4FFCDB92"/>
    <w:lvl w:ilvl="0">
      <w:start w:val="1"/>
      <w:numFmt w:val="decimal"/>
      <w:lvlText w:val="(%1)"/>
      <w:lvlJc w:val="left"/>
      <w:pPr>
        <w:ind w:left="735" w:hanging="375"/>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D381C91"/>
    <w:multiLevelType w:val="hybridMultilevel"/>
    <w:tmpl w:val="3338451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495A74"/>
    <w:multiLevelType w:val="hybridMultilevel"/>
    <w:tmpl w:val="C6F42454"/>
    <w:lvl w:ilvl="0">
      <w:start w:val="2"/>
      <w:numFmt w:val="decimal"/>
      <w:lvlText w:val="%1."/>
      <w:lvlJc w:val="left"/>
      <w:pPr>
        <w:ind w:left="720" w:hanging="360"/>
      </w:pPr>
      <w:rPr>
        <w:rFonts w:hint="default"/>
        <w:u w:val="single" w:color="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0BD3860"/>
    <w:multiLevelType w:val="hybridMultilevel"/>
    <w:tmpl w:val="C53625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4D7545"/>
    <w:multiLevelType w:val="hybridMultilevel"/>
    <w:tmpl w:val="3864BC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6">
    <w:nsid w:val="26DC122F"/>
    <w:multiLevelType w:val="hybridMultilevel"/>
    <w:tmpl w:val="017657D8"/>
    <w:lvl w:ilvl="0">
      <w:start w:val="2"/>
      <w:numFmt w:val="decimal"/>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2F5240E"/>
    <w:multiLevelType w:val="hybridMultilevel"/>
    <w:tmpl w:val="5A828046"/>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82A490F"/>
    <w:multiLevelType w:val="hybridMultilevel"/>
    <w:tmpl w:val="A52E63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9410655"/>
    <w:multiLevelType w:val="hybridMultilevel"/>
    <w:tmpl w:val="6688E8F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36630C8"/>
    <w:multiLevelType w:val="hybridMultilevel"/>
    <w:tmpl w:val="C2CC9A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6">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F423BEB"/>
    <w:multiLevelType w:val="hybridMultilevel"/>
    <w:tmpl w:val="7C205A3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2C31D7C"/>
    <w:multiLevelType w:val="hybridMultilevel"/>
    <w:tmpl w:val="A3DCA9E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3824076"/>
    <w:multiLevelType w:val="hybridMultilevel"/>
    <w:tmpl w:val="99EC8A28"/>
    <w:lvl w:ilvl="0">
      <w:start w:val="1"/>
      <w:numFmt w:val="decimal"/>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nsid w:val="66CC6419"/>
    <w:multiLevelType w:val="hybridMultilevel"/>
    <w:tmpl w:val="636A34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EA877F2"/>
    <w:multiLevelType w:val="hybridMultilevel"/>
    <w:tmpl w:val="D2883340"/>
    <w:lvl w:ilvl="0">
      <w:start w:val="1"/>
      <w:numFmt w:val="decimal"/>
      <w:lvlText w:val="%1."/>
      <w:lvlJc w:val="left"/>
      <w:pPr>
        <w:tabs>
          <w:tab w:val="num" w:pos="644"/>
        </w:tabs>
        <w:ind w:left="644" w:hanging="360"/>
      </w:pPr>
      <w:rPr>
        <w:rFonts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Letter"/>
      <w:lvlText w:val="%3)"/>
      <w:lvlJc w:val="right"/>
      <w:pPr>
        <w:tabs>
          <w:tab w:val="num" w:pos="180"/>
        </w:tabs>
        <w:ind w:left="180" w:hanging="180"/>
      </w:pPr>
      <w:rPr>
        <w:rFonts w:ascii="Arial Narrow" w:eastAsia="Times New Roman" w:hAnsi="Arial Narrow" w:cs="Times New Roman" w:hint="default"/>
        <w:b w:val="0"/>
        <w:bCs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3">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num>
  <w:num w:numId="4">
    <w:abstractNumId w:val="4"/>
  </w:num>
  <w:num w:numId="5">
    <w:abstractNumId w:val="34"/>
  </w:num>
  <w:num w:numId="6">
    <w:abstractNumId w:val="5"/>
  </w:num>
  <w:num w:numId="7">
    <w:abstractNumId w:val="19"/>
  </w:num>
  <w:num w:numId="8">
    <w:abstractNumId w:val="38"/>
  </w:num>
  <w:num w:numId="9">
    <w:abstractNumId w:val="39"/>
  </w:num>
  <w:num w:numId="10">
    <w:abstractNumId w:val="1"/>
  </w:num>
  <w:num w:numId="11">
    <w:abstractNumId w:val="24"/>
  </w:num>
  <w:num w:numId="12">
    <w:abstractNumId w:val="10"/>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41"/>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7"/>
  </w:num>
  <w:num w:numId="19">
    <w:abstractNumId w:val="14"/>
  </w:num>
  <w:num w:numId="20">
    <w:abstractNumId w:val="32"/>
  </w:num>
  <w:num w:numId="21">
    <w:abstractNumId w:val="7"/>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26"/>
  </w:num>
  <w:num w:numId="25">
    <w:abstractNumId w:val="42"/>
  </w:num>
  <w:num w:numId="26">
    <w:abstractNumId w:val="25"/>
  </w:num>
  <w:num w:numId="27">
    <w:abstractNumId w:val="22"/>
  </w:num>
  <w:num w:numId="28">
    <w:abstractNumId w:val="13"/>
  </w:num>
  <w:num w:numId="29">
    <w:abstractNumId w:val="2"/>
  </w:num>
  <w:num w:numId="30">
    <w:abstractNumId w:val="37"/>
  </w:num>
  <w:num w:numId="31">
    <w:abstractNumId w:val="31"/>
  </w:num>
  <w:num w:numId="32">
    <w:abstractNumId w:val="33"/>
  </w:num>
  <w:num w:numId="33">
    <w:abstractNumId w:val="16"/>
  </w:num>
  <w:num w:numId="34">
    <w:abstractNumId w:val="21"/>
  </w:num>
  <w:num w:numId="35">
    <w:abstractNumId w:val="12"/>
  </w:num>
  <w:num w:numId="36">
    <w:abstractNumId w:val="30"/>
  </w:num>
  <w:num w:numId="37">
    <w:abstractNumId w:val="8"/>
  </w:num>
  <w:num w:numId="38">
    <w:abstractNumId w:val="18"/>
  </w:num>
  <w:num w:numId="39">
    <w:abstractNumId w:val="23"/>
  </w:num>
  <w:num w:numId="40">
    <w:abstractNumId w:val="11"/>
  </w:num>
  <w:num w:numId="41">
    <w:abstractNumId w:val="36"/>
  </w:num>
  <w:num w:numId="42">
    <w:abstractNumId w:val="6"/>
  </w:num>
  <w:num w:numId="43">
    <w:abstractNumId w:val="20"/>
  </w:num>
  <w:num w:numId="44">
    <w:abstractNumId w:val="9"/>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4001B"/>
    <w:rsid w:val="00040044"/>
    <w:rsid w:val="00041192"/>
    <w:rsid w:val="000434DA"/>
    <w:rsid w:val="00045E54"/>
    <w:rsid w:val="0005173D"/>
    <w:rsid w:val="0005235B"/>
    <w:rsid w:val="00053FB9"/>
    <w:rsid w:val="00066275"/>
    <w:rsid w:val="00067F0B"/>
    <w:rsid w:val="000741D0"/>
    <w:rsid w:val="0007451E"/>
    <w:rsid w:val="000826D8"/>
    <w:rsid w:val="00085A9B"/>
    <w:rsid w:val="00092341"/>
    <w:rsid w:val="00092B30"/>
    <w:rsid w:val="000A44A0"/>
    <w:rsid w:val="000A7E84"/>
    <w:rsid w:val="000B19F4"/>
    <w:rsid w:val="000B4AAD"/>
    <w:rsid w:val="000C5845"/>
    <w:rsid w:val="000D0046"/>
    <w:rsid w:val="000D14F9"/>
    <w:rsid w:val="000D4078"/>
    <w:rsid w:val="000E176D"/>
    <w:rsid w:val="000E2CAC"/>
    <w:rsid w:val="000E5323"/>
    <w:rsid w:val="000E5C35"/>
    <w:rsid w:val="000F1967"/>
    <w:rsid w:val="0010647C"/>
    <w:rsid w:val="00111508"/>
    <w:rsid w:val="001117D7"/>
    <w:rsid w:val="001139A4"/>
    <w:rsid w:val="0011524C"/>
    <w:rsid w:val="00117627"/>
    <w:rsid w:val="001212D5"/>
    <w:rsid w:val="0012432D"/>
    <w:rsid w:val="001348BD"/>
    <w:rsid w:val="00143F10"/>
    <w:rsid w:val="00152B22"/>
    <w:rsid w:val="00153E1E"/>
    <w:rsid w:val="001545C9"/>
    <w:rsid w:val="001559B7"/>
    <w:rsid w:val="00160A16"/>
    <w:rsid w:val="001626EB"/>
    <w:rsid w:val="0016446B"/>
    <w:rsid w:val="0016756E"/>
    <w:rsid w:val="001734EE"/>
    <w:rsid w:val="00183676"/>
    <w:rsid w:val="00184104"/>
    <w:rsid w:val="001852E1"/>
    <w:rsid w:val="00192864"/>
    <w:rsid w:val="001957AD"/>
    <w:rsid w:val="001A602E"/>
    <w:rsid w:val="001B1E93"/>
    <w:rsid w:val="001B41F7"/>
    <w:rsid w:val="001C51E2"/>
    <w:rsid w:val="001C5BF3"/>
    <w:rsid w:val="001C6390"/>
    <w:rsid w:val="001D1076"/>
    <w:rsid w:val="001D5926"/>
    <w:rsid w:val="001D6BE4"/>
    <w:rsid w:val="001E6E4A"/>
    <w:rsid w:val="001E6F56"/>
    <w:rsid w:val="001F1FB7"/>
    <w:rsid w:val="00201108"/>
    <w:rsid w:val="00205C7B"/>
    <w:rsid w:val="0020683C"/>
    <w:rsid w:val="00210542"/>
    <w:rsid w:val="00213659"/>
    <w:rsid w:val="00214BD9"/>
    <w:rsid w:val="00216351"/>
    <w:rsid w:val="00224C5E"/>
    <w:rsid w:val="00232F32"/>
    <w:rsid w:val="002461A5"/>
    <w:rsid w:val="00254F23"/>
    <w:rsid w:val="00255E78"/>
    <w:rsid w:val="002629D4"/>
    <w:rsid w:val="0027125D"/>
    <w:rsid w:val="00272FA8"/>
    <w:rsid w:val="002743DB"/>
    <w:rsid w:val="00282205"/>
    <w:rsid w:val="00284126"/>
    <w:rsid w:val="0028499B"/>
    <w:rsid w:val="00294FAE"/>
    <w:rsid w:val="002A13DF"/>
    <w:rsid w:val="002A59BC"/>
    <w:rsid w:val="002A6335"/>
    <w:rsid w:val="002A7220"/>
    <w:rsid w:val="002B6101"/>
    <w:rsid w:val="002C62FF"/>
    <w:rsid w:val="002D29EA"/>
    <w:rsid w:val="002E46AB"/>
    <w:rsid w:val="002E7F6B"/>
    <w:rsid w:val="002F3ED4"/>
    <w:rsid w:val="00301227"/>
    <w:rsid w:val="00321A20"/>
    <w:rsid w:val="00323852"/>
    <w:rsid w:val="00325E49"/>
    <w:rsid w:val="0032711D"/>
    <w:rsid w:val="00334FEC"/>
    <w:rsid w:val="003371B9"/>
    <w:rsid w:val="00342FD3"/>
    <w:rsid w:val="00347242"/>
    <w:rsid w:val="00352292"/>
    <w:rsid w:val="00356336"/>
    <w:rsid w:val="003565D8"/>
    <w:rsid w:val="003676F8"/>
    <w:rsid w:val="00370DA7"/>
    <w:rsid w:val="00371F1B"/>
    <w:rsid w:val="003727C3"/>
    <w:rsid w:val="00373CBB"/>
    <w:rsid w:val="0038060C"/>
    <w:rsid w:val="00397CB2"/>
    <w:rsid w:val="003A4FC0"/>
    <w:rsid w:val="003B1B33"/>
    <w:rsid w:val="003B756E"/>
    <w:rsid w:val="003C2355"/>
    <w:rsid w:val="003D3BA5"/>
    <w:rsid w:val="003E4817"/>
    <w:rsid w:val="003E5C21"/>
    <w:rsid w:val="003E60B4"/>
    <w:rsid w:val="00401691"/>
    <w:rsid w:val="00415698"/>
    <w:rsid w:val="004231C1"/>
    <w:rsid w:val="004265B4"/>
    <w:rsid w:val="0043269C"/>
    <w:rsid w:val="00447F14"/>
    <w:rsid w:val="00450C55"/>
    <w:rsid w:val="0046108E"/>
    <w:rsid w:val="0047332F"/>
    <w:rsid w:val="004770E8"/>
    <w:rsid w:val="004925DB"/>
    <w:rsid w:val="00493DCA"/>
    <w:rsid w:val="004A12F3"/>
    <w:rsid w:val="004A3E40"/>
    <w:rsid w:val="004B7312"/>
    <w:rsid w:val="004D03C0"/>
    <w:rsid w:val="004D71D6"/>
    <w:rsid w:val="004E263D"/>
    <w:rsid w:val="004E2763"/>
    <w:rsid w:val="004E6C03"/>
    <w:rsid w:val="004F0838"/>
    <w:rsid w:val="004F2B3E"/>
    <w:rsid w:val="004F45C8"/>
    <w:rsid w:val="00500C97"/>
    <w:rsid w:val="0050102D"/>
    <w:rsid w:val="00504177"/>
    <w:rsid w:val="00517E1B"/>
    <w:rsid w:val="00522678"/>
    <w:rsid w:val="005375F3"/>
    <w:rsid w:val="00546007"/>
    <w:rsid w:val="00552BE1"/>
    <w:rsid w:val="0057223B"/>
    <w:rsid w:val="00573D64"/>
    <w:rsid w:val="005757C8"/>
    <w:rsid w:val="0058523A"/>
    <w:rsid w:val="005860D4"/>
    <w:rsid w:val="00587F18"/>
    <w:rsid w:val="00590FB8"/>
    <w:rsid w:val="00594981"/>
    <w:rsid w:val="00595842"/>
    <w:rsid w:val="00595B3A"/>
    <w:rsid w:val="005A7352"/>
    <w:rsid w:val="005B36AB"/>
    <w:rsid w:val="005D03BE"/>
    <w:rsid w:val="005D04B9"/>
    <w:rsid w:val="005D1F0B"/>
    <w:rsid w:val="005D2E69"/>
    <w:rsid w:val="005D368F"/>
    <w:rsid w:val="005D62EB"/>
    <w:rsid w:val="005E0E12"/>
    <w:rsid w:val="005E26FF"/>
    <w:rsid w:val="005E27AA"/>
    <w:rsid w:val="005E3D70"/>
    <w:rsid w:val="005F2A14"/>
    <w:rsid w:val="00602FF8"/>
    <w:rsid w:val="006107BB"/>
    <w:rsid w:val="00611469"/>
    <w:rsid w:val="00622525"/>
    <w:rsid w:val="00624DDC"/>
    <w:rsid w:val="0063617C"/>
    <w:rsid w:val="0063749C"/>
    <w:rsid w:val="00642D4E"/>
    <w:rsid w:val="00642DEE"/>
    <w:rsid w:val="006437A1"/>
    <w:rsid w:val="006443CB"/>
    <w:rsid w:val="006526B6"/>
    <w:rsid w:val="0065582E"/>
    <w:rsid w:val="00665A38"/>
    <w:rsid w:val="0066682E"/>
    <w:rsid w:val="00670BE9"/>
    <w:rsid w:val="006732DF"/>
    <w:rsid w:val="00697397"/>
    <w:rsid w:val="006A3C85"/>
    <w:rsid w:val="006A42CE"/>
    <w:rsid w:val="006A6D97"/>
    <w:rsid w:val="006A749F"/>
    <w:rsid w:val="006C19B0"/>
    <w:rsid w:val="006C72E6"/>
    <w:rsid w:val="006D23E3"/>
    <w:rsid w:val="006D6B84"/>
    <w:rsid w:val="006E5A71"/>
    <w:rsid w:val="006F4192"/>
    <w:rsid w:val="007119E1"/>
    <w:rsid w:val="00714E4A"/>
    <w:rsid w:val="00716246"/>
    <w:rsid w:val="00716C63"/>
    <w:rsid w:val="00716D1C"/>
    <w:rsid w:val="00716FBB"/>
    <w:rsid w:val="00723D47"/>
    <w:rsid w:val="0072664E"/>
    <w:rsid w:val="00731798"/>
    <w:rsid w:val="00740E97"/>
    <w:rsid w:val="007451AB"/>
    <w:rsid w:val="0074684C"/>
    <w:rsid w:val="00753D13"/>
    <w:rsid w:val="00754367"/>
    <w:rsid w:val="00766B24"/>
    <w:rsid w:val="00766EB1"/>
    <w:rsid w:val="00771DBB"/>
    <w:rsid w:val="00776A60"/>
    <w:rsid w:val="007865EF"/>
    <w:rsid w:val="00787F13"/>
    <w:rsid w:val="00791016"/>
    <w:rsid w:val="007965EB"/>
    <w:rsid w:val="007A7FC3"/>
    <w:rsid w:val="007B40ED"/>
    <w:rsid w:val="007C0E28"/>
    <w:rsid w:val="007C3A2E"/>
    <w:rsid w:val="007C4274"/>
    <w:rsid w:val="007C6EC6"/>
    <w:rsid w:val="007E168E"/>
    <w:rsid w:val="0080397B"/>
    <w:rsid w:val="0081158D"/>
    <w:rsid w:val="00830899"/>
    <w:rsid w:val="008458BA"/>
    <w:rsid w:val="0085189B"/>
    <w:rsid w:val="0087118F"/>
    <w:rsid w:val="008720CA"/>
    <w:rsid w:val="008769DE"/>
    <w:rsid w:val="00880343"/>
    <w:rsid w:val="00881478"/>
    <w:rsid w:val="00883651"/>
    <w:rsid w:val="0089148D"/>
    <w:rsid w:val="008A2AEF"/>
    <w:rsid w:val="008A65D4"/>
    <w:rsid w:val="008B2507"/>
    <w:rsid w:val="008C2619"/>
    <w:rsid w:val="008C606C"/>
    <w:rsid w:val="008D037B"/>
    <w:rsid w:val="008E0724"/>
    <w:rsid w:val="008E46E2"/>
    <w:rsid w:val="008E4744"/>
    <w:rsid w:val="008E52C8"/>
    <w:rsid w:val="008F1D4B"/>
    <w:rsid w:val="008F35D7"/>
    <w:rsid w:val="00901501"/>
    <w:rsid w:val="00902EC3"/>
    <w:rsid w:val="00914F38"/>
    <w:rsid w:val="009171A7"/>
    <w:rsid w:val="0092719B"/>
    <w:rsid w:val="009434CE"/>
    <w:rsid w:val="00945E30"/>
    <w:rsid w:val="009534E4"/>
    <w:rsid w:val="009673E9"/>
    <w:rsid w:val="00972CAE"/>
    <w:rsid w:val="00985280"/>
    <w:rsid w:val="00990B21"/>
    <w:rsid w:val="009940AF"/>
    <w:rsid w:val="00996EF0"/>
    <w:rsid w:val="009A046C"/>
    <w:rsid w:val="009A5069"/>
    <w:rsid w:val="009B1A9B"/>
    <w:rsid w:val="009B629D"/>
    <w:rsid w:val="009C5634"/>
    <w:rsid w:val="009D0655"/>
    <w:rsid w:val="009D25C5"/>
    <w:rsid w:val="009D3928"/>
    <w:rsid w:val="009E4434"/>
    <w:rsid w:val="009E58D6"/>
    <w:rsid w:val="009E6FD9"/>
    <w:rsid w:val="009F0117"/>
    <w:rsid w:val="009F434A"/>
    <w:rsid w:val="00A13BFD"/>
    <w:rsid w:val="00A20F25"/>
    <w:rsid w:val="00A22570"/>
    <w:rsid w:val="00A26DE4"/>
    <w:rsid w:val="00A35DBB"/>
    <w:rsid w:val="00A42717"/>
    <w:rsid w:val="00A44797"/>
    <w:rsid w:val="00A45E0F"/>
    <w:rsid w:val="00A46F21"/>
    <w:rsid w:val="00A64B15"/>
    <w:rsid w:val="00A73ECD"/>
    <w:rsid w:val="00A76F2A"/>
    <w:rsid w:val="00A80718"/>
    <w:rsid w:val="00A8165F"/>
    <w:rsid w:val="00A8705A"/>
    <w:rsid w:val="00A90A24"/>
    <w:rsid w:val="00A944BF"/>
    <w:rsid w:val="00AC22E2"/>
    <w:rsid w:val="00AC65F9"/>
    <w:rsid w:val="00AC7EC3"/>
    <w:rsid w:val="00AE1F88"/>
    <w:rsid w:val="00AE3087"/>
    <w:rsid w:val="00AE69DF"/>
    <w:rsid w:val="00AF0917"/>
    <w:rsid w:val="00AF7145"/>
    <w:rsid w:val="00B07F36"/>
    <w:rsid w:val="00B16CED"/>
    <w:rsid w:val="00B17563"/>
    <w:rsid w:val="00B55EBB"/>
    <w:rsid w:val="00B614DE"/>
    <w:rsid w:val="00B64787"/>
    <w:rsid w:val="00B71E6A"/>
    <w:rsid w:val="00B774DD"/>
    <w:rsid w:val="00B956AC"/>
    <w:rsid w:val="00B97CFB"/>
    <w:rsid w:val="00BA1E88"/>
    <w:rsid w:val="00BB1415"/>
    <w:rsid w:val="00BB19BA"/>
    <w:rsid w:val="00BB42C8"/>
    <w:rsid w:val="00BB438D"/>
    <w:rsid w:val="00BB4DB1"/>
    <w:rsid w:val="00BB5C38"/>
    <w:rsid w:val="00BB7007"/>
    <w:rsid w:val="00BC2BF3"/>
    <w:rsid w:val="00BC3578"/>
    <w:rsid w:val="00BD1191"/>
    <w:rsid w:val="00BD172A"/>
    <w:rsid w:val="00BD37D8"/>
    <w:rsid w:val="00BD7172"/>
    <w:rsid w:val="00BE5478"/>
    <w:rsid w:val="00BE788B"/>
    <w:rsid w:val="00C059CD"/>
    <w:rsid w:val="00C2409D"/>
    <w:rsid w:val="00C37D3C"/>
    <w:rsid w:val="00C40208"/>
    <w:rsid w:val="00C511AD"/>
    <w:rsid w:val="00C637C7"/>
    <w:rsid w:val="00C72FBD"/>
    <w:rsid w:val="00C74C86"/>
    <w:rsid w:val="00C81129"/>
    <w:rsid w:val="00C85101"/>
    <w:rsid w:val="00C91164"/>
    <w:rsid w:val="00C93F38"/>
    <w:rsid w:val="00CA02CA"/>
    <w:rsid w:val="00CA0E04"/>
    <w:rsid w:val="00CA4BC6"/>
    <w:rsid w:val="00CA7FA7"/>
    <w:rsid w:val="00CB45BF"/>
    <w:rsid w:val="00CB5AF6"/>
    <w:rsid w:val="00CB60CD"/>
    <w:rsid w:val="00CD05F3"/>
    <w:rsid w:val="00CD3386"/>
    <w:rsid w:val="00CD513F"/>
    <w:rsid w:val="00CD5189"/>
    <w:rsid w:val="00CD689C"/>
    <w:rsid w:val="00CD6B63"/>
    <w:rsid w:val="00CE23DD"/>
    <w:rsid w:val="00CE5FA3"/>
    <w:rsid w:val="00CF0260"/>
    <w:rsid w:val="00CF7721"/>
    <w:rsid w:val="00D066CB"/>
    <w:rsid w:val="00D14BB3"/>
    <w:rsid w:val="00D24006"/>
    <w:rsid w:val="00D3491C"/>
    <w:rsid w:val="00D43E19"/>
    <w:rsid w:val="00D468CB"/>
    <w:rsid w:val="00D51BBC"/>
    <w:rsid w:val="00D5389F"/>
    <w:rsid w:val="00D56CFD"/>
    <w:rsid w:val="00D60D33"/>
    <w:rsid w:val="00D64717"/>
    <w:rsid w:val="00D77944"/>
    <w:rsid w:val="00D93A8F"/>
    <w:rsid w:val="00DB14FA"/>
    <w:rsid w:val="00DB15FF"/>
    <w:rsid w:val="00DC342A"/>
    <w:rsid w:val="00DD72DC"/>
    <w:rsid w:val="00DE311B"/>
    <w:rsid w:val="00DF00E6"/>
    <w:rsid w:val="00E077EC"/>
    <w:rsid w:val="00E13467"/>
    <w:rsid w:val="00E165F4"/>
    <w:rsid w:val="00E20A99"/>
    <w:rsid w:val="00E24E2F"/>
    <w:rsid w:val="00E27648"/>
    <w:rsid w:val="00E3668B"/>
    <w:rsid w:val="00E37B5D"/>
    <w:rsid w:val="00E4207A"/>
    <w:rsid w:val="00E54D4F"/>
    <w:rsid w:val="00E564B4"/>
    <w:rsid w:val="00E56CEF"/>
    <w:rsid w:val="00E70960"/>
    <w:rsid w:val="00E85590"/>
    <w:rsid w:val="00E8666A"/>
    <w:rsid w:val="00E92427"/>
    <w:rsid w:val="00E95866"/>
    <w:rsid w:val="00E97E3F"/>
    <w:rsid w:val="00EA2888"/>
    <w:rsid w:val="00EA6751"/>
    <w:rsid w:val="00EA7E4D"/>
    <w:rsid w:val="00EC5F3F"/>
    <w:rsid w:val="00ED3C5E"/>
    <w:rsid w:val="00EE616F"/>
    <w:rsid w:val="00EF01B1"/>
    <w:rsid w:val="00F00247"/>
    <w:rsid w:val="00F03B10"/>
    <w:rsid w:val="00F15963"/>
    <w:rsid w:val="00F328DE"/>
    <w:rsid w:val="00F33022"/>
    <w:rsid w:val="00F35CED"/>
    <w:rsid w:val="00F362CE"/>
    <w:rsid w:val="00F6286E"/>
    <w:rsid w:val="00F7316C"/>
    <w:rsid w:val="00F7461A"/>
    <w:rsid w:val="00F80E71"/>
    <w:rsid w:val="00F87FF3"/>
    <w:rsid w:val="00F966EF"/>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pPr>
      <w:ind w:left="1065"/>
      <w:jc w:val="both"/>
    </w:pPr>
    <w:rPr>
      <w:bCs w:val="0"/>
      <w:szCs w:val="20"/>
      <w:lang w:val="cs-CZ"/>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99"/>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894</TotalTime>
  <Pages>9</Pages>
  <Words>2899</Words>
  <Characters>16528</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306</cp:revision>
  <cp:lastPrinted>2011-06-10T09:52:00Z</cp:lastPrinted>
  <dcterms:created xsi:type="dcterms:W3CDTF">2003-06-05T10:59:00Z</dcterms:created>
  <dcterms:modified xsi:type="dcterms:W3CDTF">2013-05-09T10:27:00Z</dcterms:modified>
</cp:coreProperties>
</file>