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EC5F3F" w:rsidRPr="003371B9">
      <w:pPr>
        <w:ind w:left="4248"/>
        <w:jc w:val="right"/>
      </w:pPr>
      <w:r>
        <w:rPr>
          <w:sz w:val="28"/>
        </w:rPr>
        <w:t xml:space="preserve">                                        </w:t>
      </w:r>
      <w:r w:rsidR="00224C5E">
        <w:t>25</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224C5E">
        <w:t>42</w:t>
      </w:r>
      <w:r w:rsidR="003B13EF">
        <w:t>1</w:t>
      </w:r>
      <w:r w:rsidRPr="00053FB9" w:rsidR="003371B9">
        <w:t>/</w:t>
      </w:r>
      <w:r w:rsidR="00053FB9">
        <w:t>201</w:t>
      </w:r>
      <w:r w:rsidR="003565D8">
        <w:t>3</w:t>
      </w:r>
    </w:p>
    <w:p w:rsidR="0004001B" w:rsidP="00067F0B">
      <w:pPr>
        <w:ind w:left="3540" w:firstLine="708"/>
        <w:rPr>
          <w:b/>
        </w:rPr>
      </w:pPr>
    </w:p>
    <w:p w:rsidR="00A45E0F" w:rsidP="00067F0B">
      <w:pPr>
        <w:ind w:left="3540" w:firstLine="708"/>
        <w:rPr>
          <w:b/>
        </w:rPr>
      </w:pPr>
      <w:r w:rsidR="001D6BE4">
        <w:rPr>
          <w:b/>
        </w:rPr>
        <w:t xml:space="preserve">          </w:t>
      </w:r>
      <w:r w:rsidR="000B19F4">
        <w:rPr>
          <w:b/>
        </w:rPr>
        <w:t xml:space="preserve"> </w:t>
      </w:r>
    </w:p>
    <w:p w:rsidR="00EF01B1" w:rsidP="00067F0B">
      <w:pPr>
        <w:ind w:left="3540" w:firstLine="708"/>
        <w:rPr>
          <w:b/>
        </w:rPr>
      </w:pPr>
      <w:r w:rsidR="0036395F">
        <w:rPr>
          <w:b/>
        </w:rPr>
        <w:t xml:space="preserve">        159</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w:t>
      </w:r>
      <w:r>
        <w:rPr>
          <w:b/>
        </w:rPr>
        <w:t>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24C5E">
        <w:rPr>
          <w:b/>
        </w:rPr>
        <w:t xml:space="preserve"> 9</w:t>
      </w:r>
      <w:r w:rsidR="00C72FBD">
        <w:rPr>
          <w:b/>
        </w:rPr>
        <w:t>.</w:t>
      </w:r>
      <w:r w:rsidR="00224C5E">
        <w:rPr>
          <w:b/>
        </w:rPr>
        <w:t xml:space="preserve"> mája</w:t>
      </w:r>
      <w:r w:rsidR="00EF01B1">
        <w:rPr>
          <w:b/>
        </w:rPr>
        <w:t xml:space="preserve"> 2013</w:t>
      </w:r>
    </w:p>
    <w:p w:rsidR="00AC22E2" w:rsidP="00AC22E2">
      <w:pPr>
        <w:pStyle w:val="Heading1"/>
        <w:ind w:left="0"/>
        <w:jc w:val="both"/>
        <w:rPr>
          <w:rFonts w:eastAsia="Times New Roman"/>
        </w:rPr>
      </w:pPr>
    </w:p>
    <w:p w:rsidR="00224C5E" w:rsidRPr="00224C5E" w:rsidP="00224C5E"/>
    <w:p w:rsidR="00A90A24" w:rsidP="003B13EF">
      <w:pPr>
        <w:jc w:val="both"/>
      </w:pPr>
      <w:r w:rsidRPr="005D2E69" w:rsidR="00EC5F3F">
        <w:t>Výbor Národnej rady Sl</w:t>
      </w:r>
      <w:r w:rsidRPr="005D2E69" w:rsidR="003371B9">
        <w:t>ovenskej republiky pre financie a</w:t>
      </w:r>
      <w:r w:rsidRPr="005D2E69" w:rsidR="00EC5F3F">
        <w:t xml:space="preserve"> rozpočet </w:t>
      </w:r>
      <w:r w:rsidRPr="005D2E69" w:rsidR="00F966EF">
        <w:t>prerokoval</w:t>
      </w:r>
      <w:r w:rsidR="00216351">
        <w:t xml:space="preserve"> </w:t>
      </w:r>
      <w:r w:rsidR="003B13EF">
        <w:t>v</w:t>
      </w:r>
      <w:r w:rsidRPr="003B13EF" w:rsidR="003B13EF">
        <w:rPr>
          <w:bCs w:val="0"/>
        </w:rPr>
        <w:t>ládny návrh zákona, ktorým sa mení a dopĺňa zákon č. 483/2001 Z. z. o bankách a o zmene a doplnení niektorých zákonov v znení neskorších predpisov a ktorým sa menia a dopĺňajú niektoré zákony (tlač 405)</w:t>
      </w:r>
      <w:r w:rsidR="003B13EF">
        <w:rPr>
          <w:bCs w:val="0"/>
        </w:rPr>
        <w:t xml:space="preserve"> </w:t>
      </w:r>
      <w:r w:rsidRPr="003B13EF">
        <w:rPr>
          <w:b/>
        </w:rPr>
        <w:t>a</w:t>
      </w:r>
    </w:p>
    <w:p w:rsidR="00EC5F3F" w:rsidP="00117627">
      <w:pPr>
        <w:jc w:val="both"/>
      </w:pPr>
      <w:r w:rsidRPr="005D2E69" w:rsidR="00ED3C5E">
        <w:t xml:space="preserve"> </w:t>
      </w:r>
      <w:r w:rsidRPr="005D2E69" w:rsidR="008458BA">
        <w:t xml:space="preserve"> </w:t>
      </w:r>
    </w:p>
    <w:p w:rsidR="00282205" w:rsidRPr="005D2E69" w:rsidP="00117627">
      <w:pPr>
        <w:jc w:val="both"/>
      </w:pPr>
    </w:p>
    <w:p w:rsidR="00EC5F3F" w:rsidP="00067F0B">
      <w:pPr>
        <w:numPr>
          <w:ilvl w:val="0"/>
          <w:numId w:val="1"/>
        </w:numPr>
        <w:jc w:val="both"/>
        <w:rPr>
          <w:b/>
        </w:rPr>
      </w:pPr>
      <w:r w:rsidR="00224C5E">
        <w:rPr>
          <w:b/>
        </w:rPr>
        <w:t>s</w:t>
      </w:r>
      <w:r>
        <w:rPr>
          <w:b/>
        </w:rPr>
        <w:t>úhlasí</w:t>
      </w:r>
    </w:p>
    <w:p w:rsidR="00224C5E" w:rsidP="00224C5E">
      <w:pPr>
        <w:ind w:left="1440"/>
        <w:jc w:val="both"/>
        <w:rPr>
          <w:b/>
        </w:rPr>
      </w:pPr>
    </w:p>
    <w:p w:rsidR="00D64717" w:rsidRPr="00D64717" w:rsidP="00EF01B1">
      <w:pPr>
        <w:pStyle w:val="BodyText"/>
        <w:spacing w:after="0"/>
        <w:ind w:left="1416" w:firstLine="708"/>
        <w:jc w:val="both"/>
      </w:pPr>
      <w:r w:rsidR="00321A20">
        <w:t>s</w:t>
      </w:r>
      <w:r w:rsidRPr="00A73ECD" w:rsidR="00B614DE">
        <w:t> </w:t>
      </w:r>
      <w:r w:rsidRPr="00A45E0F" w:rsidR="00F362CE">
        <w:t xml:space="preserve"> </w:t>
      </w:r>
      <w:r w:rsidR="003B13EF">
        <w:t>v</w:t>
      </w:r>
      <w:r w:rsidRPr="003B13EF" w:rsidR="003B13EF">
        <w:rPr>
          <w:bCs w:val="0"/>
        </w:rPr>
        <w:t>ládny</w:t>
      </w:r>
      <w:r w:rsidR="003B13EF">
        <w:rPr>
          <w:bCs w:val="0"/>
        </w:rPr>
        <w:t>m</w:t>
      </w:r>
      <w:r w:rsidRPr="003B13EF" w:rsidR="003B13EF">
        <w:rPr>
          <w:bCs w:val="0"/>
        </w:rPr>
        <w:t xml:space="preserve"> návrh</w:t>
      </w:r>
      <w:r w:rsidR="003B13EF">
        <w:rPr>
          <w:bCs w:val="0"/>
        </w:rPr>
        <w:t>om</w:t>
      </w:r>
      <w:r w:rsidRPr="003B13EF" w:rsidR="003B13EF">
        <w:rPr>
          <w:bCs w:val="0"/>
        </w:rPr>
        <w:t xml:space="preserve"> zákona, ktorým sa mení a dopĺňa zákon č. 483/2001 Z. z. o bankách a o zmene a doplnení niektorých zákonov v znení neskorších predpisov a ktorým sa menia a dopĺňajú niektoré zákony (tlač 405)</w:t>
      </w:r>
    </w:p>
    <w:p w:rsidR="00A90A24" w:rsidP="00E20A99">
      <w:pPr>
        <w:pStyle w:val="BodyText"/>
        <w:spacing w:after="0"/>
        <w:ind w:left="1416" w:firstLine="708"/>
        <w:jc w:val="both"/>
        <w:rPr>
          <w:color w:val="000000"/>
        </w:rPr>
      </w:pPr>
    </w:p>
    <w:p w:rsidR="00EF01B1"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3B13EF" w:rsidR="003B13EF">
        <w:rPr>
          <w:b w:val="0"/>
        </w:rPr>
        <w:t>v</w:t>
      </w:r>
      <w:r w:rsidRPr="003B13EF" w:rsidR="003B13EF">
        <w:rPr>
          <w:b w:val="0"/>
          <w:bCs w:val="0"/>
        </w:rPr>
        <w:t>ládny návrh zákona, ktorým sa mení a dopĺňa zákon č. 483/2001 Z. z. o bankách a o zmene a doplnení niektorých zákonov v znení neskorších predpisov a ktorým sa menia a dopĺňajú niektoré zákony (tlač 405)</w:t>
      </w:r>
      <w:r w:rsidR="003B13EF">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224C5E" w:rsidP="00224C5E">
      <w:pPr>
        <w:pStyle w:val="BodyText"/>
        <w:spacing w:after="0"/>
        <w:ind w:left="1770" w:firstLine="352"/>
        <w:jc w:val="both"/>
        <w:rPr>
          <w:szCs w:val="20"/>
        </w:rPr>
      </w:pPr>
      <w:r w:rsidR="00BD7172">
        <w:t xml:space="preserve"> </w:t>
      </w:r>
      <w:r w:rsidR="00E20A99">
        <w:t xml:space="preserve"> </w:t>
      </w:r>
      <w:r w:rsidRPr="00224C5E">
        <w:rPr>
          <w:szCs w:val="20"/>
        </w:rPr>
        <w:t xml:space="preserve">informovať predsedu Národnej rady Slovenskej republiky o výsledku </w:t>
      </w:r>
    </w:p>
    <w:p w:rsidR="00224C5E" w:rsidRPr="00224C5E" w:rsidP="00224C5E">
      <w:pPr>
        <w:pStyle w:val="BodyText"/>
        <w:spacing w:after="0"/>
        <w:ind w:left="1062" w:firstLine="352"/>
        <w:jc w:val="both"/>
        <w:rPr>
          <w:szCs w:val="20"/>
        </w:rPr>
      </w:pPr>
      <w:r>
        <w:rPr>
          <w:szCs w:val="20"/>
        </w:rPr>
        <w:t xml:space="preserve"> </w:t>
      </w:r>
      <w:r w:rsidRPr="00224C5E">
        <w:rPr>
          <w:szCs w:val="20"/>
        </w:rPr>
        <w:t>prerokovania uvedených náv</w:t>
      </w:r>
      <w:r w:rsidRPr="00224C5E">
        <w:rPr>
          <w:szCs w:val="20"/>
        </w:rPr>
        <w:t>rhov vo výbore.</w:t>
      </w:r>
    </w:p>
    <w:p w:rsidR="00111508" w:rsidRPr="00111508" w:rsidP="00111508">
      <w:pPr>
        <w:pStyle w:val="BodyTextIndent3"/>
        <w:ind w:firstLine="351"/>
        <w:rPr>
          <w:lang w:val="sk-SK"/>
        </w:rPr>
      </w:pPr>
    </w:p>
    <w:p w:rsidR="00C059CD" w:rsidP="00A73ECD">
      <w:pPr>
        <w:rPr>
          <w:b/>
          <w:bCs w:val="0"/>
        </w:rPr>
      </w:pPr>
      <w:r w:rsidR="00E20A99">
        <w:t xml:space="preserve">                                                            </w:t>
      </w:r>
    </w:p>
    <w:p w:rsidR="00A90A24">
      <w:pPr>
        <w:ind w:left="5664" w:firstLine="708"/>
        <w:rPr>
          <w:b/>
          <w:bCs w:val="0"/>
        </w:rPr>
      </w:pPr>
    </w:p>
    <w:p w:rsidR="00EF01B1">
      <w:pPr>
        <w:ind w:left="5664" w:firstLine="708"/>
        <w:rPr>
          <w:b/>
          <w:bCs w:val="0"/>
        </w:rPr>
      </w:pPr>
    </w:p>
    <w:p w:rsidR="00EF01B1">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A90A24">
        <w:rPr>
          <w:b/>
          <w:bCs w:val="0"/>
        </w:rPr>
        <w:t>Daniel Duchoň</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A90A24">
        <w:rPr>
          <w:b/>
        </w:rPr>
        <w:t xml:space="preserve">  Milan Mojš</w:t>
      </w:r>
    </w:p>
    <w:p w:rsidR="00EC5F3F">
      <w:r w:rsidR="00595842">
        <w:t xml:space="preserve">  </w:t>
      </w:r>
      <w:r>
        <w:t>overovateľ výboru</w:t>
      </w:r>
    </w:p>
    <w:p w:rsidR="00A45E0F"/>
    <w:p w:rsidR="00EF01B1"/>
    <w:p w:rsidR="00EF01B1"/>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w:t>
      </w:r>
      <w:r>
        <w:rPr>
          <w:rFonts w:ascii="AT*Zurich Calligraphic" w:hAnsi="AT*Zurich Calligraphic"/>
          <w:b/>
        </w:rPr>
        <w:t xml:space="preserve">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272FA8">
        <w:rPr>
          <w:b/>
        </w:rPr>
        <w:t xml:space="preserve"> </w:t>
      </w:r>
      <w:r w:rsidR="00802C95">
        <w:rPr>
          <w:b/>
        </w:rPr>
        <w:t>159</w:t>
      </w:r>
    </w:p>
    <w:p w:rsidR="000D14F9" w:rsidRPr="003371B9" w:rsidP="000D14F9">
      <w:pPr>
        <w:jc w:val="right"/>
      </w:pPr>
      <w:r w:rsidR="00224C5E">
        <w:rPr>
          <w:bCs w:val="0"/>
        </w:rPr>
        <w:t>25</w:t>
      </w:r>
      <w:r w:rsidR="00A90A24">
        <w:rPr>
          <w:bCs w:val="0"/>
        </w:rPr>
        <w:t>.</w:t>
      </w:r>
      <w:r w:rsidRPr="003371B9">
        <w:rPr>
          <w:bCs w:val="0"/>
        </w:rPr>
        <w:t xml:space="preserve"> </w:t>
      </w:r>
      <w:r w:rsidRPr="003371B9">
        <w:t>schôdza</w:t>
      </w:r>
    </w:p>
    <w:p w:rsidR="000D14F9" w:rsidP="000D14F9">
      <w:pPr>
        <w:jc w:val="center"/>
        <w:rPr>
          <w:b/>
        </w:rPr>
      </w:pPr>
    </w:p>
    <w:p w:rsidR="00EF01B1" w:rsidP="000D14F9">
      <w:pPr>
        <w:jc w:val="center"/>
        <w:rPr>
          <w:b/>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111508">
      <w:pPr>
        <w:pStyle w:val="Heading1"/>
        <w:ind w:left="360"/>
        <w:jc w:val="center"/>
      </w:pPr>
      <w:r w:rsidR="00117627">
        <w:t>k</w:t>
      </w:r>
      <w:r w:rsidR="00111508">
        <w:t> </w:t>
      </w:r>
      <w:r w:rsidR="003B13EF">
        <w:t>v</w:t>
      </w:r>
      <w:r w:rsidR="003B13EF">
        <w:rPr>
          <w:bCs w:val="0"/>
        </w:rPr>
        <w:t>ládnemu</w:t>
      </w:r>
      <w:r w:rsidRPr="003B13EF" w:rsidR="003B13EF">
        <w:rPr>
          <w:bCs w:val="0"/>
        </w:rPr>
        <w:t xml:space="preserve"> návrh</w:t>
      </w:r>
      <w:r w:rsidR="003B13EF">
        <w:rPr>
          <w:bCs w:val="0"/>
        </w:rPr>
        <w:t>u</w:t>
      </w:r>
      <w:r w:rsidRPr="003B13EF" w:rsidR="003B13EF">
        <w:rPr>
          <w:bCs w:val="0"/>
        </w:rPr>
        <w:t xml:space="preserve"> zákona, ktorým sa mení a dopĺňa zákon č. 483/2001 Z. z. o bankách a o zmene a doplnení niektorých zákonov v znení neskorších predpisov a ktorým sa menia a dopĺňajú niektoré zákony (tlač 405)</w:t>
      </w:r>
    </w:p>
    <w:p w:rsidR="000D14F9" w:rsidP="000D14F9">
      <w:pPr>
        <w:rPr>
          <w:b/>
          <w:bCs w:val="0"/>
        </w:rPr>
      </w:pPr>
      <w:r>
        <w:rPr>
          <w:b/>
          <w:bCs w:val="0"/>
        </w:rPr>
        <w:t xml:space="preserve">––––––––––––––––––––––––––––––––––––––––––––––––––––––––––––––––––––––––––––––  </w:t>
      </w:r>
    </w:p>
    <w:p w:rsidR="006847E8" w:rsidRPr="00A459AE" w:rsidP="006847E8">
      <w:pPr>
        <w:numPr>
          <w:ilvl w:val="0"/>
          <w:numId w:val="40"/>
        </w:numPr>
        <w:jc w:val="both"/>
        <w:rPr>
          <w:b/>
        </w:rPr>
      </w:pPr>
      <w:r w:rsidRPr="00A459AE">
        <w:rPr>
          <w:b/>
        </w:rPr>
        <w:t>K čl. I doterajší bod 3 znie:</w:t>
      </w:r>
    </w:p>
    <w:p w:rsidR="006847E8" w:rsidRPr="00A459AE" w:rsidP="006847E8">
      <w:pPr>
        <w:ind w:left="426"/>
        <w:jc w:val="both"/>
      </w:pPr>
      <w:r w:rsidRPr="00A459AE">
        <w:t>„3. V § 2 ods. 5 sa za slovo „môžu“ vkladajú slová „na území Slovenskej republiky v súlade s jej právnym poriadkom“ a na konci sa pripájajú tieto slová: „alebo ktoré sú oprávnené na vykonávanie bankových činností podľa § 11 až 20“.“.</w:t>
      </w:r>
    </w:p>
    <w:p w:rsidR="006847E8" w:rsidRPr="00A459AE" w:rsidP="006847E8">
      <w:pPr>
        <w:ind w:left="360"/>
        <w:jc w:val="both"/>
      </w:pPr>
    </w:p>
    <w:p w:rsidR="006847E8" w:rsidRPr="00A459AE" w:rsidP="006847E8">
      <w:pPr>
        <w:ind w:left="3969"/>
        <w:jc w:val="both"/>
      </w:pPr>
      <w:r w:rsidRPr="00A459AE">
        <w:t>V záujme ochrany bankových klientov sa predkladajú navrhované spresnenia a doplnenia ustanovení zákona o bankách, ktoré sa týkajú vykonávania bankových činností bankami a pobočkami zahraničných bánk na území Slovenskej republiky.</w:t>
      </w:r>
    </w:p>
    <w:p w:rsidR="006847E8" w:rsidRPr="00A459AE" w:rsidP="006847E8">
      <w:pPr>
        <w:ind w:left="360"/>
        <w:jc w:val="both"/>
      </w:pPr>
    </w:p>
    <w:p w:rsidR="006847E8" w:rsidRPr="00A459AE" w:rsidP="006847E8">
      <w:pPr>
        <w:numPr>
          <w:ilvl w:val="0"/>
          <w:numId w:val="40"/>
        </w:numPr>
        <w:jc w:val="both"/>
        <w:rPr>
          <w:b/>
        </w:rPr>
      </w:pPr>
      <w:r w:rsidRPr="00A459AE">
        <w:rPr>
          <w:b/>
        </w:rPr>
        <w:t>K čl. I za doterajší bod 3 sa vkladá nový bod 4, ktorý znie:</w:t>
      </w:r>
    </w:p>
    <w:p w:rsidR="006847E8" w:rsidRPr="00A459AE" w:rsidP="006847E8">
      <w:pPr>
        <w:ind w:left="360"/>
        <w:jc w:val="both"/>
      </w:pPr>
      <w:r w:rsidRPr="00A459AE">
        <w:t>„4. V § 7 sa odsek 2 dopĺňa písmenami p) a q), ktoré znejú:</w:t>
      </w:r>
    </w:p>
    <w:p w:rsidR="006847E8" w:rsidRPr="00A459AE" w:rsidP="006847E8">
      <w:pPr>
        <w:ind w:left="709" w:hanging="283"/>
        <w:jc w:val="both"/>
      </w:pPr>
      <w:r w:rsidRPr="00A459AE">
        <w:t>„p) vhodné a primerané technické systémy, zdroje a postupy na riadny výkon bankových činností a materiálno – technické zabezpečenie výkonu bankových činností,</w:t>
      </w:r>
    </w:p>
    <w:p w:rsidR="006847E8" w:rsidRPr="00A459AE" w:rsidP="006847E8">
      <w:pPr>
        <w:ind w:left="709" w:hanging="283"/>
        <w:jc w:val="both"/>
      </w:pPr>
      <w:r w:rsidRPr="00A459AE">
        <w:t>q) vhodné a primerané organizačné a personálne predpoklady pre výkon bankových činností, funkčný riadiaci a </w:t>
      </w:r>
      <w:r w:rsidRPr="00A459AE">
        <w:t>kontrolný systém vrátane útvaru vnútornej kontroly a vnútorného auditu, systému riadenia rizík a pravidiel obozretného podnikania.“.“.</w:t>
      </w:r>
    </w:p>
    <w:p w:rsidR="006847E8" w:rsidRPr="00A459AE" w:rsidP="006847E8">
      <w:pPr>
        <w:ind w:left="360"/>
        <w:jc w:val="both"/>
      </w:pPr>
    </w:p>
    <w:p w:rsidR="006847E8" w:rsidRPr="00A459AE" w:rsidP="006847E8">
      <w:pPr>
        <w:ind w:left="360"/>
        <w:jc w:val="both"/>
      </w:pPr>
      <w:r w:rsidRPr="00A459AE">
        <w:t>Doterajšie body 4 až 67 je potrebné primerane prečíslovať.</w:t>
      </w:r>
    </w:p>
    <w:p w:rsidR="006847E8" w:rsidRPr="00A459AE" w:rsidP="006847E8">
      <w:pPr>
        <w:jc w:val="both"/>
      </w:pPr>
    </w:p>
    <w:p w:rsidR="006847E8" w:rsidRPr="00A459AE" w:rsidP="006847E8">
      <w:pPr>
        <w:widowControl w:val="0"/>
        <w:tabs>
          <w:tab w:val="left" w:pos="3969"/>
        </w:tabs>
        <w:autoSpaceDE w:val="0"/>
        <w:autoSpaceDN w:val="0"/>
        <w:adjustRightInd w:val="0"/>
        <w:ind w:left="3969"/>
        <w:jc w:val="both"/>
      </w:pPr>
      <w:r w:rsidRPr="00A459AE">
        <w:t>Úpravou sa navrhujú doplniť do ustanovenia § 7 ods. 2 podmienky pre udelenie bankového povolenia, ktoré je nevyhnutné skúmať v rámci licenčného procesu. Navrhované podmienky pre udelenie bankového povolenia sa týkajú technickej, organizačnej a personálnej pripravenosti ako aj funkčného riadiaceho a kontrolného systému a pravidiel obozretného podnikania žiadateľa o bankovú licenciu. Podľa súčasnej úpravy sa tieto požiadavky skúmajú až vo fáze po udelení povolenia pred začatím vykonávania povolených bankových činností (§ 7 ods. 4 a § 8 ods. 4 zákona o bankách), pričom</w:t>
      </w:r>
      <w:r w:rsidRPr="00A459AE">
        <w:t xml:space="preserve"> v štádiu konania o udelenie povolenia tieto podmienky absentujú. </w:t>
      </w:r>
    </w:p>
    <w:p w:rsidR="006847E8" w:rsidP="006847E8">
      <w:pPr>
        <w:jc w:val="both"/>
      </w:pPr>
    </w:p>
    <w:p w:rsidR="00C17C9F" w:rsidP="006847E8">
      <w:pPr>
        <w:jc w:val="both"/>
      </w:pPr>
    </w:p>
    <w:p w:rsidR="00C17C9F" w:rsidP="006847E8">
      <w:pPr>
        <w:jc w:val="both"/>
      </w:pPr>
    </w:p>
    <w:p w:rsidR="00C17C9F" w:rsidP="006847E8">
      <w:pPr>
        <w:jc w:val="both"/>
      </w:pPr>
    </w:p>
    <w:p w:rsidR="00C17C9F" w:rsidP="006847E8">
      <w:pPr>
        <w:jc w:val="both"/>
      </w:pPr>
    </w:p>
    <w:p w:rsidR="00C17C9F" w:rsidP="006847E8">
      <w:pPr>
        <w:jc w:val="both"/>
      </w:pPr>
    </w:p>
    <w:p w:rsidR="00C17C9F" w:rsidP="006847E8">
      <w:pPr>
        <w:jc w:val="both"/>
      </w:pPr>
    </w:p>
    <w:p w:rsidR="00C17C9F" w:rsidP="006847E8">
      <w:pPr>
        <w:jc w:val="both"/>
      </w:pPr>
    </w:p>
    <w:p w:rsidR="00C17C9F" w:rsidRPr="00C17C9F" w:rsidP="00C17C9F">
      <w:pPr>
        <w:pStyle w:val="ListParagraph"/>
        <w:numPr>
          <w:ilvl w:val="0"/>
          <w:numId w:val="40"/>
        </w:numPr>
        <w:spacing w:after="0" w:line="240" w:lineRule="auto"/>
        <w:jc w:val="both"/>
        <w:rPr>
          <w:rFonts w:ascii="Times New Roman" w:hAnsi="Times New Roman"/>
          <w:b/>
          <w:sz w:val="24"/>
          <w:szCs w:val="24"/>
        </w:rPr>
      </w:pPr>
      <w:r w:rsidRPr="00C17C9F">
        <w:rPr>
          <w:rFonts w:ascii="Times New Roman" w:hAnsi="Times New Roman"/>
          <w:b/>
          <w:sz w:val="24"/>
          <w:szCs w:val="24"/>
        </w:rPr>
        <w:t>K čl. I 5. bodu - § 7 ods. 16</w:t>
      </w:r>
    </w:p>
    <w:p w:rsidR="00C17C9F" w:rsidP="00C17C9F">
      <w:pPr>
        <w:ind w:firstLine="284"/>
        <w:jc w:val="both"/>
      </w:pPr>
      <w:r>
        <w:t xml:space="preserve">    </w:t>
      </w:r>
      <w:r w:rsidRPr="00E17951">
        <w:t>V § 7 ods. 16 sa za slová „z hľadiska času“ vkladajú slová „pôsobenia vo funkcii“.</w:t>
      </w:r>
    </w:p>
    <w:p w:rsidR="00C17C9F" w:rsidP="00C17C9F">
      <w:pPr>
        <w:ind w:left="3402"/>
        <w:jc w:val="both"/>
      </w:pPr>
    </w:p>
    <w:p w:rsidR="00C17C9F" w:rsidP="00C17C9F">
      <w:pPr>
        <w:ind w:left="4248"/>
        <w:jc w:val="both"/>
      </w:pPr>
      <w:r w:rsidRPr="00E17951">
        <w:t>Ide o významové precizovanie navrhovaného doplnenia ustan</w:t>
      </w:r>
      <w:r>
        <w:t>ovenia</w:t>
      </w:r>
      <w:r w:rsidRPr="00E17951">
        <w:t xml:space="preserve">  § 7 ods. 16  o rozšírenie oprávnenia Národnej banky Slovenska uznať osobu  za dôveryhodnú.</w:t>
      </w:r>
    </w:p>
    <w:p w:rsidR="00C17C9F" w:rsidP="006847E8">
      <w:pPr>
        <w:jc w:val="both"/>
      </w:pPr>
    </w:p>
    <w:p w:rsidR="00C17C9F" w:rsidP="006847E8">
      <w:pPr>
        <w:jc w:val="both"/>
      </w:pPr>
    </w:p>
    <w:p w:rsidR="006847E8" w:rsidRPr="00A459AE" w:rsidP="006847E8">
      <w:pPr>
        <w:numPr>
          <w:ilvl w:val="0"/>
          <w:numId w:val="40"/>
        </w:numPr>
        <w:jc w:val="both"/>
        <w:rPr>
          <w:b/>
        </w:rPr>
      </w:pPr>
      <w:r w:rsidRPr="00A459AE">
        <w:rPr>
          <w:b/>
        </w:rPr>
        <w:t>K čl. I za doterajší bod 5 sa vkladá nový bod 6, ktorý znie:</w:t>
      </w:r>
    </w:p>
    <w:p w:rsidR="006847E8" w:rsidRPr="00A459AE" w:rsidP="006847E8">
      <w:pPr>
        <w:ind w:left="426"/>
        <w:jc w:val="both"/>
      </w:pPr>
      <w:r w:rsidRPr="00A459AE">
        <w:t>„6. V § 8 sa odsek 2 dopĺňa písmenami l) a m), ktoré znejú:</w:t>
      </w:r>
    </w:p>
    <w:p w:rsidR="006847E8" w:rsidRPr="00A459AE" w:rsidP="006847E8">
      <w:pPr>
        <w:ind w:left="567" w:hanging="141"/>
        <w:jc w:val="both"/>
      </w:pPr>
      <w:r w:rsidRPr="00A459AE">
        <w:t>„l) vhodné a primerané technické systémy, zdroje a postupy na riadny výkon bankových činností a materiálno – technické zabezpečenie výkonu bankových činností,</w:t>
      </w:r>
    </w:p>
    <w:p w:rsidR="006847E8" w:rsidRPr="00A459AE" w:rsidP="006847E8">
      <w:pPr>
        <w:ind w:left="567" w:hanging="141"/>
        <w:jc w:val="both"/>
      </w:pPr>
      <w:r w:rsidRPr="00A459AE">
        <w:t>m) vhodné a primerané organizačné a personálne predpoklady pre výkon bankových činností, funkčný riadiaci a kontrolný systém vrátane útva</w:t>
      </w:r>
      <w:r w:rsidRPr="00A459AE">
        <w:t>ru vnútornej kontroly a vnútorného auditu, systému riadenia rizík a pravidiel obozretného podnikania.“.“</w:t>
      </w:r>
    </w:p>
    <w:p w:rsidR="006847E8" w:rsidRPr="00A459AE" w:rsidP="006847E8">
      <w:pPr>
        <w:ind w:left="426"/>
        <w:jc w:val="both"/>
      </w:pPr>
    </w:p>
    <w:p w:rsidR="006847E8" w:rsidRPr="00A459AE" w:rsidP="006847E8">
      <w:pPr>
        <w:ind w:left="426"/>
        <w:jc w:val="both"/>
      </w:pPr>
      <w:r w:rsidRPr="00A459AE">
        <w:t>Doterajšie body 6 až 67 je potrebné primerane prečíslovať.</w:t>
      </w:r>
    </w:p>
    <w:p w:rsidR="006847E8" w:rsidRPr="00A459AE" w:rsidP="006847E8">
      <w:pPr>
        <w:jc w:val="both"/>
      </w:pPr>
    </w:p>
    <w:p w:rsidR="006847E8" w:rsidRPr="00A459AE" w:rsidP="006847E8">
      <w:pPr>
        <w:widowControl w:val="0"/>
        <w:autoSpaceDE w:val="0"/>
        <w:autoSpaceDN w:val="0"/>
        <w:adjustRightInd w:val="0"/>
        <w:ind w:left="4248"/>
        <w:jc w:val="both"/>
      </w:pPr>
      <w:r w:rsidRPr="00A459AE">
        <w:t>Úpravou sa navrhujú doplniť do ustanovenia § 8 ods. 2 podmienky pre udelenie bankového povolenia, ktoré je nevyhnutné skúmať v rámci licenčného procesu. Navrhované podmienky pre udelenie bankového povolenia sa týkajú technickej, organizačnej a personálnej pripravenosti ako aj funkčného riadiaceho a kontrolného systému a pravidiel obozretného podnikania žiadateľa o bankovú licenciu. Podľa súčasnej úpravy sa tieto požiadavky skúmajú až vo fáze po udelení povolenia pred začatím vykonávania povolených bankových činností (§ 7 ods. 4 a § 8 ods. 4 zákona o bankách), pričom v štádiu konania o udelenie p</w:t>
      </w:r>
      <w:r w:rsidRPr="00A459AE">
        <w:t xml:space="preserve">ovolenia tieto podmienky absentujú. </w:t>
      </w:r>
    </w:p>
    <w:p w:rsidR="006847E8" w:rsidRPr="00A459AE" w:rsidP="006847E8">
      <w:pPr>
        <w:jc w:val="both"/>
      </w:pPr>
    </w:p>
    <w:p w:rsidR="006847E8" w:rsidRPr="00A459AE" w:rsidP="006847E8">
      <w:pPr>
        <w:numPr>
          <w:ilvl w:val="0"/>
          <w:numId w:val="40"/>
        </w:numPr>
        <w:tabs>
          <w:tab w:val="left" w:pos="426"/>
        </w:tabs>
        <w:jc w:val="both"/>
        <w:rPr>
          <w:b/>
        </w:rPr>
      </w:pPr>
      <w:r w:rsidRPr="00A459AE">
        <w:rPr>
          <w:b/>
        </w:rPr>
        <w:t>K čl. I doterajšie body 6 až 8 znejú:</w:t>
      </w:r>
    </w:p>
    <w:p w:rsidR="006847E8" w:rsidRPr="006847E8" w:rsidP="006847E8">
      <w:pPr>
        <w:pStyle w:val="BodyTextIndent3"/>
        <w:ind w:left="426"/>
        <w:rPr>
          <w:szCs w:val="24"/>
          <w:lang w:val="sk-SK"/>
        </w:rPr>
      </w:pPr>
      <w:r w:rsidRPr="006847E8">
        <w:rPr>
          <w:szCs w:val="24"/>
          <w:lang w:val="sk-SK"/>
        </w:rPr>
        <w:t>„6. V § 8 ods. 9 sa za slovo „listov“ vkladajú slová „alebo komunálnych obligácií“, slová „podľa osobitného predpisu</w:t>
      </w:r>
      <w:r w:rsidRPr="006847E8">
        <w:rPr>
          <w:szCs w:val="24"/>
          <w:vertAlign w:val="superscript"/>
          <w:lang w:val="sk-SK"/>
        </w:rPr>
        <w:t>6</w:t>
      </w:r>
      <w:r w:rsidRPr="006847E8">
        <w:rPr>
          <w:szCs w:val="24"/>
          <w:lang w:val="sk-SK"/>
        </w:rPr>
        <w:t>)“ sa nahrádzajú slovami „pri vykonávaní hypotekárnych obchodov podľa tohto zákona a osobitných predpisov</w:t>
      </w:r>
      <w:r w:rsidRPr="006847E8">
        <w:rPr>
          <w:szCs w:val="24"/>
          <w:vertAlign w:val="superscript"/>
          <w:lang w:val="sk-SK"/>
        </w:rPr>
        <w:t>24ab</w:t>
      </w:r>
      <w:r w:rsidRPr="006847E8">
        <w:rPr>
          <w:szCs w:val="24"/>
          <w:lang w:val="sk-SK"/>
        </w:rPr>
        <w:t xml:space="preserve">)“ a nad slovo „konaní“ sa umiestňuje odkaz 24ac. </w:t>
      </w:r>
    </w:p>
    <w:p w:rsidR="006847E8" w:rsidRPr="00A459AE" w:rsidP="006847E8">
      <w:pPr>
        <w:ind w:left="426"/>
        <w:jc w:val="both"/>
      </w:pPr>
    </w:p>
    <w:p w:rsidR="006847E8" w:rsidRPr="00A459AE" w:rsidP="006847E8">
      <w:pPr>
        <w:ind w:left="426"/>
        <w:jc w:val="both"/>
      </w:pPr>
      <w:r w:rsidRPr="00A459AE">
        <w:t>Poznámky pod čiarou k odkazom 24ab a 24ac znejú:</w:t>
      </w:r>
    </w:p>
    <w:p w:rsidR="006847E8" w:rsidRPr="00A459AE" w:rsidP="006847E8">
      <w:pPr>
        <w:ind w:left="993" w:hanging="567"/>
        <w:jc w:val="both"/>
      </w:pPr>
      <w:r w:rsidRPr="00A459AE">
        <w:t>„</w:t>
      </w:r>
      <w:r w:rsidRPr="00A459AE">
        <w:rPr>
          <w:vertAlign w:val="superscript"/>
        </w:rPr>
        <w:t>24ab</w:t>
      </w:r>
      <w:r w:rsidRPr="00A459AE">
        <w:t>) Napríklad § 14 až 17 a § 20 zákona č. 530/1990 Zb. v znení neskorších predpisov, § 73j ods. 2 zákona č. 566/2001 Z. z. v znení zákona č. 209/2007 Z. z.</w:t>
      </w:r>
    </w:p>
    <w:p w:rsidR="006847E8" w:rsidRPr="00A459AE" w:rsidP="006847E8">
      <w:pPr>
        <w:tabs>
          <w:tab w:val="left" w:pos="426"/>
        </w:tabs>
        <w:ind w:left="426"/>
        <w:jc w:val="both"/>
      </w:pPr>
      <w:r w:rsidRPr="00A459AE">
        <w:rPr>
          <w:vertAlign w:val="superscript"/>
        </w:rPr>
        <w:t>24ac</w:t>
      </w:r>
      <w:r w:rsidRPr="00A459AE">
        <w:t>) Napríklad § 176 až 195 zákona č. 7/2005 Z. z. v znení neskorších predpisov.“.</w:t>
      </w:r>
    </w:p>
    <w:p w:rsidR="006847E8" w:rsidRPr="00A459AE" w:rsidP="006847E8">
      <w:pPr>
        <w:tabs>
          <w:tab w:val="left" w:pos="426"/>
        </w:tabs>
        <w:ind w:left="426"/>
        <w:jc w:val="both"/>
      </w:pPr>
    </w:p>
    <w:p w:rsidR="006847E8" w:rsidRPr="00A459AE" w:rsidP="006847E8">
      <w:pPr>
        <w:tabs>
          <w:tab w:val="left" w:pos="426"/>
        </w:tabs>
        <w:ind w:left="426"/>
        <w:jc w:val="both"/>
      </w:pPr>
      <w:r w:rsidRPr="00A459AE">
        <w:t>7. V § 11 ods. 6 sa vypúšťajú slová „ods. 1“.</w:t>
      </w:r>
    </w:p>
    <w:p w:rsidR="006847E8" w:rsidRPr="00A459AE" w:rsidP="006847E8">
      <w:pPr>
        <w:tabs>
          <w:tab w:val="left" w:pos="426"/>
        </w:tabs>
        <w:ind w:left="426"/>
        <w:jc w:val="both"/>
      </w:pPr>
    </w:p>
    <w:p w:rsidR="006847E8" w:rsidRPr="00A459AE" w:rsidP="006847E8">
      <w:pPr>
        <w:tabs>
          <w:tab w:val="left" w:pos="426"/>
        </w:tabs>
        <w:ind w:left="426"/>
        <w:jc w:val="both"/>
      </w:pPr>
      <w:r w:rsidRPr="00A459AE">
        <w:t>8. V § 11 ods. 7 sa vypúšťajú slová „§ 8 ods. 1 až 8,“ a na konci sa bodka nahrádza bodkočiarkou a pripájajú sa tieto slová: „na zahraničnú banku podľa odseku 1 sa nepoužijú ani ustanovenia § 8 okrem prípadov uvedených v odseku 6.“.“.</w:t>
      </w:r>
    </w:p>
    <w:p w:rsidR="006847E8" w:rsidRPr="00A459AE" w:rsidP="006847E8">
      <w:pPr>
        <w:jc w:val="both"/>
      </w:pPr>
    </w:p>
    <w:p w:rsidR="006847E8" w:rsidRPr="00A459AE" w:rsidP="006847E8">
      <w:pPr>
        <w:ind w:left="3969"/>
        <w:jc w:val="both"/>
      </w:pPr>
      <w:r w:rsidRPr="00A459AE">
        <w:t>V záujme ochrany bankových klientov sa predkladajú navrhované spresnenia a doplnenia ustanovení zákona o bankách, ktoré sa týkajú vykonávania bankových činností bankami a pobočkami zahraničných bánk na území Slovenskej republiky. Zároveň sa legislatívno-technicky spresňujú ustanovenia § 11 ods. 6 a 7 zákona.</w:t>
      </w:r>
    </w:p>
    <w:p w:rsidR="006847E8" w:rsidRPr="00A459AE" w:rsidP="006847E8">
      <w:pPr>
        <w:jc w:val="both"/>
      </w:pPr>
    </w:p>
    <w:p w:rsidR="006847E8" w:rsidRPr="00A459AE" w:rsidP="006847E8">
      <w:pPr>
        <w:numPr>
          <w:ilvl w:val="0"/>
          <w:numId w:val="40"/>
        </w:numPr>
        <w:tabs>
          <w:tab w:val="left" w:pos="426"/>
        </w:tabs>
        <w:jc w:val="both"/>
        <w:rPr>
          <w:b/>
        </w:rPr>
      </w:pPr>
      <w:r w:rsidRPr="00A459AE">
        <w:rPr>
          <w:b/>
        </w:rPr>
        <w:t xml:space="preserve">K čl. I doterajší bod 11 sa vypúšťa. </w:t>
      </w:r>
    </w:p>
    <w:p w:rsidR="006847E8" w:rsidRPr="00A459AE" w:rsidP="006847E8">
      <w:pPr>
        <w:tabs>
          <w:tab w:val="left" w:pos="426"/>
        </w:tabs>
        <w:jc w:val="both"/>
      </w:pPr>
      <w:r w:rsidRPr="00A459AE">
        <w:tab/>
        <w:t>Doterajšie body 12 až 67 je potrebné primerane prečíslovať.</w:t>
      </w:r>
    </w:p>
    <w:p w:rsidR="006847E8" w:rsidRPr="00A459AE" w:rsidP="006847E8">
      <w:pPr>
        <w:tabs>
          <w:tab w:val="left" w:pos="426"/>
        </w:tabs>
        <w:jc w:val="both"/>
      </w:pPr>
    </w:p>
    <w:p w:rsidR="006847E8" w:rsidRPr="00A459AE" w:rsidP="006847E8">
      <w:pPr>
        <w:tabs>
          <w:tab w:val="left" w:pos="426"/>
        </w:tabs>
        <w:ind w:left="3969"/>
        <w:jc w:val="both"/>
      </w:pPr>
      <w:r w:rsidRPr="00A459AE">
        <w:t>V záujme ochrany bankových klientov sa predkladajú navrhované spresnenia a doplnenia ustanovení zákona o bankách, ktoré sa týkajú vykonávania bankových činností bankami a pobočkami zahraničných b</w:t>
      </w:r>
      <w:r w:rsidRPr="00A459AE">
        <w:t>ánk na území Slovenskej republiky.</w:t>
      </w:r>
    </w:p>
    <w:p w:rsidR="006847E8" w:rsidP="006847E8">
      <w:pPr>
        <w:jc w:val="both"/>
      </w:pPr>
    </w:p>
    <w:p w:rsidR="006847E8" w:rsidP="006847E8">
      <w:pPr>
        <w:jc w:val="both"/>
      </w:pPr>
    </w:p>
    <w:p w:rsidR="006847E8" w:rsidRPr="00A459AE" w:rsidP="006847E8">
      <w:pPr>
        <w:jc w:val="both"/>
      </w:pPr>
    </w:p>
    <w:p w:rsidR="006847E8" w:rsidRPr="00A459AE" w:rsidP="006847E8">
      <w:pPr>
        <w:numPr>
          <w:ilvl w:val="0"/>
          <w:numId w:val="40"/>
        </w:numPr>
        <w:jc w:val="both"/>
        <w:rPr>
          <w:b/>
        </w:rPr>
      </w:pPr>
      <w:r w:rsidRPr="00A459AE">
        <w:rPr>
          <w:b/>
        </w:rPr>
        <w:t>K čl. I v doterajšom bode 18 poznámka pod čiarou k odkazu 35c znie:</w:t>
      </w:r>
    </w:p>
    <w:p w:rsidR="006847E8" w:rsidRPr="00A459AE" w:rsidP="006847E8">
      <w:pPr>
        <w:ind w:left="360"/>
        <w:jc w:val="both"/>
      </w:pPr>
      <w:r w:rsidRPr="00A459AE">
        <w:t>„</w:t>
      </w:r>
      <w:r w:rsidRPr="00A459AE">
        <w:rPr>
          <w:vertAlign w:val="superscript"/>
        </w:rPr>
        <w:t>35c</w:t>
      </w:r>
      <w:r w:rsidRPr="00A459AE">
        <w:t>)  § 2 ods. 1 písm. d) a ods. 9 zákona č. 492/2009 Z. z.“.</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ind w:left="3969"/>
        <w:jc w:val="both"/>
      </w:pPr>
      <w:r w:rsidRPr="00A459AE">
        <w:t>Ide o doplnenie poznámky pod čiarou s cieľom presnejšieho vymedzenia, že ustanovenie sa netýka kontokorentných úverov a úverov poskytnutých prostredníctvom kreditnej karty pre spotrebiteľov.</w:t>
      </w:r>
    </w:p>
    <w:p w:rsidR="006847E8" w:rsidRPr="00A459AE" w:rsidP="006847E8">
      <w:pPr>
        <w:jc w:val="both"/>
      </w:pPr>
    </w:p>
    <w:p w:rsidR="006847E8" w:rsidRPr="00A459AE" w:rsidP="006847E8">
      <w:pPr>
        <w:numPr>
          <w:ilvl w:val="0"/>
          <w:numId w:val="40"/>
        </w:numPr>
        <w:jc w:val="both"/>
        <w:rPr>
          <w:b/>
        </w:rPr>
      </w:pPr>
      <w:r w:rsidRPr="00A459AE">
        <w:rPr>
          <w:b/>
        </w:rPr>
        <w:t>K čl. I za doterajší bod 18 sa vkladá nový bod 19, ktorý znie:</w:t>
      </w:r>
    </w:p>
    <w:p w:rsidR="006847E8" w:rsidRPr="00A459AE" w:rsidP="006847E8">
      <w:pPr>
        <w:ind w:left="66"/>
        <w:jc w:val="both"/>
      </w:pPr>
      <w:r w:rsidRPr="00A459AE">
        <w:t>„19. § 37 sa dopĺňa odsekom 22, ktorý znie:</w:t>
      </w:r>
    </w:p>
    <w:p w:rsidR="006847E8" w:rsidRPr="00A459AE" w:rsidP="006847E8">
      <w:pPr>
        <w:ind w:left="66"/>
        <w:jc w:val="both"/>
      </w:pPr>
      <w:r w:rsidRPr="00A459AE">
        <w:t>„(22) Banka a pobočka zahraničnej banky sú povinné predkladať v súhrnnej podobe ministerstvu údaje o jednotlivých poplatkoch uvedených v cenníkoch pre fyzické osoby – nepodnikateľov. Údaje podľa prvej vety sú banka a pobočka zahraničnej banky povinné predkladať v kalendárnom roku, ktorý nasleduje po kalendárnom roku, v ktorom k 31.decembru ich podiel vkladov od obyvateľstva predstavuje minimálne 2% z celkového stavu vkladov obyvateľstva vykázaného na základe tohto zákona a osobitných predpisov.</w:t>
      </w:r>
      <w:r w:rsidRPr="00A459AE">
        <w:rPr>
          <w:vertAlign w:val="superscript"/>
        </w:rPr>
        <w:t>35d</w:t>
      </w:r>
      <w:r w:rsidRPr="00A459AE">
        <w:t>) Rozsah údajov o poplatkoch uvedených v cenníkoch pre fyzické osoby – nepodnikateľov a ich štruktúru, spôsob, termín a miesto predkladania týchto údajov ustanoví všeobecne záväzný právny predpis, ktorý vydá ministerstvo.“.“.</w:t>
      </w:r>
    </w:p>
    <w:p w:rsidR="006847E8" w:rsidRPr="00A459AE" w:rsidP="006847E8">
      <w:pPr>
        <w:ind w:left="66"/>
        <w:jc w:val="both"/>
      </w:pPr>
    </w:p>
    <w:p w:rsidR="006847E8" w:rsidRPr="00A459AE" w:rsidP="006847E8">
      <w:pPr>
        <w:ind w:left="66"/>
        <w:jc w:val="both"/>
      </w:pPr>
      <w:r w:rsidRPr="00A459AE">
        <w:t>Poznámka pod čiarou k odkazu 35d znie:</w:t>
      </w:r>
    </w:p>
    <w:p w:rsidR="006847E8" w:rsidRPr="00A459AE" w:rsidP="006847E8">
      <w:pPr>
        <w:tabs>
          <w:tab w:val="left" w:pos="567"/>
        </w:tabs>
        <w:ind w:left="66"/>
        <w:jc w:val="both"/>
      </w:pPr>
      <w:r w:rsidRPr="00A459AE">
        <w:t>„</w:t>
      </w:r>
      <w:r w:rsidRPr="00A459AE">
        <w:rPr>
          <w:vertAlign w:val="superscript"/>
        </w:rPr>
        <w:t>35d</w:t>
      </w:r>
      <w:r w:rsidRPr="00A459AE">
        <w:t xml:space="preserve">) § 77 ods. 7 zákona č. 566/2001 Z. z. </w:t>
      </w:r>
      <w:r w:rsidRPr="00A459AE">
        <w:t>v znení neskorších predpisov.</w:t>
      </w:r>
    </w:p>
    <w:p w:rsidR="006847E8" w:rsidRPr="00A459AE" w:rsidP="006847E8">
      <w:pPr>
        <w:tabs>
          <w:tab w:val="left" w:pos="567"/>
        </w:tabs>
        <w:ind w:left="66"/>
        <w:jc w:val="both"/>
      </w:pPr>
      <w:r w:rsidRPr="00A459AE">
        <w:tab/>
        <w:t>§ 35 ods. 2 zákona č. 747/2004 Z. z. v znení neskorších predpisov.</w:t>
      </w:r>
    </w:p>
    <w:p w:rsidR="006847E8" w:rsidRPr="00A459AE" w:rsidP="006847E8">
      <w:pPr>
        <w:tabs>
          <w:tab w:val="left" w:pos="567"/>
        </w:tabs>
        <w:ind w:left="567"/>
        <w:jc w:val="both"/>
      </w:pPr>
      <w:r w:rsidRPr="00A459AE">
        <w:t>Opatrenie Národnej banky Slovenska z 22. novembra 2011 č. 17/2011 o predkladaní výkazov bankami, pobočkami zahraničných bánk, obchodníkmi s cennými papiermi a pobočkami zahraničných obchodníkov s cennými papiermi na štatistické účely (oznámenie č. 24/2012 Z.z.).“.“.</w:t>
      </w:r>
    </w:p>
    <w:p w:rsidR="006847E8" w:rsidRPr="00A459AE" w:rsidP="006847E8">
      <w:pPr>
        <w:ind w:left="66"/>
        <w:jc w:val="both"/>
      </w:pPr>
    </w:p>
    <w:p w:rsidR="006847E8" w:rsidRPr="00A459AE" w:rsidP="006847E8">
      <w:pPr>
        <w:ind w:left="66"/>
        <w:jc w:val="both"/>
      </w:pPr>
      <w:r w:rsidRPr="00A459AE">
        <w:t>Doterajšie body 19 až 67 je potrebné primerane prečíslovať.</w:t>
      </w:r>
    </w:p>
    <w:p w:rsidR="006847E8" w:rsidRPr="00A459AE" w:rsidP="006847E8">
      <w:pPr>
        <w:ind w:left="66"/>
        <w:jc w:val="both"/>
      </w:pPr>
    </w:p>
    <w:p w:rsidR="006847E8" w:rsidRPr="00A459AE" w:rsidP="006847E8">
      <w:pPr>
        <w:ind w:left="3969"/>
        <w:jc w:val="both"/>
      </w:pPr>
      <w:r w:rsidRPr="00A459AE">
        <w:t xml:space="preserve">Ministerstvo financií Slovenskej republiky sa vzhľadom na rastúci význam problematiky poplatkov v bankovom sektore rozhodlo tejto téme bližšie analyticky venovať. S cieľom objektívne posúdiť vývoj poplatkov je snahou MFSR zostrojiť cenový index poplatkov pre obyvateľstvo. Za účelom vyhotovenia uvedeného indexu je nutné poznať súhrnné hodnoty jednotlivých poplatkov za kalendárny rok, pričom výsledný index by zohľadňoval iba zmeny ceny (napr. zmenu ceny balíka služieb) a nie zmeny počtu klientov. Údaje budú využité na vytvorenie efektívneho rámca pre tvorbu cenového indexu poplatkov pre obyvateľstvo. </w:t>
      </w:r>
    </w:p>
    <w:p w:rsidR="006847E8" w:rsidRPr="00A459AE" w:rsidP="006847E8">
      <w:pPr>
        <w:ind w:left="3969"/>
        <w:jc w:val="both"/>
      </w:pPr>
      <w:r w:rsidRPr="00A459AE">
        <w:t xml:space="preserve">Použitie pojmu obyvateľstvo zohľadňuje terminológiu štatistiky Národnej banky Slovenska, z ktorej si konkrétna banka a pobočka zahraničnej banky zistia, či spĺňajú kritérium 2% z celkového stavu vkladov obyvateľstva a sú následne povinné predkladať ministerstvu požadované údaje.  </w:t>
      </w:r>
    </w:p>
    <w:p w:rsidR="006847E8" w:rsidRPr="00A459AE" w:rsidP="006847E8">
      <w:pPr>
        <w:jc w:val="both"/>
      </w:pPr>
    </w:p>
    <w:p w:rsidR="006847E8" w:rsidRPr="00A459AE" w:rsidP="006847E8">
      <w:pPr>
        <w:jc w:val="both"/>
      </w:pPr>
    </w:p>
    <w:p w:rsidR="006847E8" w:rsidRPr="00A459AE" w:rsidP="006847E8">
      <w:pPr>
        <w:numPr>
          <w:ilvl w:val="0"/>
          <w:numId w:val="40"/>
        </w:numPr>
        <w:tabs>
          <w:tab w:val="left" w:pos="426"/>
        </w:tabs>
        <w:jc w:val="both"/>
        <w:rPr>
          <w:b/>
        </w:rPr>
      </w:pPr>
      <w:r w:rsidRPr="00A459AE">
        <w:rPr>
          <w:b/>
        </w:rPr>
        <w:t>K čl. I za doterajší bod 20 sa vkladá nový bod 21, ktorý znie:</w:t>
      </w:r>
    </w:p>
    <w:p w:rsidR="006847E8" w:rsidRPr="00A459AE" w:rsidP="006847E8">
      <w:pPr>
        <w:tabs>
          <w:tab w:val="left" w:pos="426"/>
        </w:tabs>
        <w:ind w:left="426"/>
        <w:jc w:val="both"/>
      </w:pPr>
      <w:r w:rsidRPr="00A459AE">
        <w:t>„21. V § 44 ods. 5 písm. b) sa na konci pripájajú tieto slová: „zmiešanej finančnej holdingovej spoločnosti alebo“.“.</w:t>
      </w:r>
    </w:p>
    <w:p w:rsidR="006847E8" w:rsidRPr="00A459AE" w:rsidP="006847E8">
      <w:pPr>
        <w:tabs>
          <w:tab w:val="left" w:pos="426"/>
        </w:tabs>
        <w:jc w:val="both"/>
      </w:pPr>
      <w:r w:rsidRPr="00A459AE">
        <w:tab/>
        <w:t>Doterajšie body 21 až 67 je potrebné primerane prečíslovať.</w:t>
      </w:r>
    </w:p>
    <w:p w:rsidR="006847E8" w:rsidRPr="00A459AE" w:rsidP="006847E8">
      <w:pPr>
        <w:jc w:val="both"/>
      </w:pPr>
    </w:p>
    <w:p w:rsidR="006847E8" w:rsidRPr="00A459AE" w:rsidP="006847E8">
      <w:pPr>
        <w:ind w:left="3969"/>
        <w:jc w:val="both"/>
      </w:pPr>
      <w:r w:rsidRPr="00A459AE">
        <w:t xml:space="preserve">Úprava súvisí s transpozíciou smernice EP a Rady 2011/89/EÚ, ktorou sa menia a dopĺňajú smernice 98/78/ES, 2002/87/ES, 2006/48/ES a 2009/138/ES, pokiaľ ide o doplnkový dohľad nad finančnými inštitúciami vo finančnom konglomeráte, pričom sa rozširuje okruh osôb o zmiešanú finančnú holdingovú spoločnosť v súvislosti s výkonom dohľadu na konsolidovanom základe. </w:t>
      </w:r>
    </w:p>
    <w:p w:rsidR="006847E8" w:rsidRPr="00A459AE" w:rsidP="006847E8">
      <w:pPr>
        <w:ind w:left="66"/>
        <w:jc w:val="both"/>
      </w:pPr>
    </w:p>
    <w:p w:rsidR="006847E8" w:rsidRPr="00A459AE" w:rsidP="006847E8">
      <w:pPr>
        <w:numPr>
          <w:ilvl w:val="0"/>
          <w:numId w:val="40"/>
        </w:numPr>
        <w:tabs>
          <w:tab w:val="left" w:pos="426"/>
        </w:tabs>
        <w:jc w:val="both"/>
        <w:rPr>
          <w:b/>
        </w:rPr>
      </w:pPr>
      <w:r w:rsidRPr="00A459AE">
        <w:rPr>
          <w:b/>
        </w:rPr>
        <w:t>K čl. I za doterajší bod 30 sa vkladajú nové body 31 až 33, ktoré znejú:</w:t>
      </w:r>
    </w:p>
    <w:p w:rsidR="006847E8" w:rsidRPr="00A459AE" w:rsidP="006847E8">
      <w:pPr>
        <w:ind w:left="426"/>
        <w:jc w:val="both"/>
      </w:pPr>
      <w:r w:rsidRPr="00A459AE">
        <w:t>„31. V § 45 ods. 5 sa za slovo „spoločnosti“ vkladajú slová „alebo materskej zmiešanej finančnej holdingovej spoločnosti“, za slová „materská finančná holdingová spoločnosť“ sa vkladajú slová „alebo materská zmiešaná finančná holdingová spoločnosť“ a za slová „spoločnosť alebo“ sa vkladajú slová „zmiešaná finančná holdingová spoločnosť alebo“.</w:t>
      </w:r>
    </w:p>
    <w:p w:rsidR="006847E8" w:rsidRPr="00A459AE" w:rsidP="006847E8">
      <w:pPr>
        <w:ind w:left="66"/>
        <w:jc w:val="both"/>
      </w:pPr>
    </w:p>
    <w:p w:rsidR="006847E8" w:rsidRPr="00A459AE" w:rsidP="006847E8">
      <w:pPr>
        <w:ind w:left="426"/>
        <w:jc w:val="both"/>
      </w:pPr>
      <w:r w:rsidRPr="00A459AE">
        <w:t>32. V § 45 ods. 6 sa na konci pripájajú tieto slová: „alebo materskej zmiešanej finančnej holdingovej spoločnosti“.</w:t>
      </w:r>
    </w:p>
    <w:p w:rsidR="006847E8" w:rsidRPr="00A459AE" w:rsidP="006847E8">
      <w:pPr>
        <w:ind w:left="66"/>
        <w:jc w:val="both"/>
      </w:pPr>
    </w:p>
    <w:p w:rsidR="006847E8" w:rsidRPr="00A459AE" w:rsidP="006847E8">
      <w:pPr>
        <w:ind w:left="426"/>
        <w:jc w:val="both"/>
      </w:pPr>
      <w:r w:rsidRPr="00A459AE">
        <w:t>33. V § 45 ods. 7 sa za slovo „spoločnosť“ vkladajú slová „alebo materská zmiešaná finančná holdingová spoločnosť“.“.</w:t>
      </w:r>
    </w:p>
    <w:p w:rsidR="006847E8" w:rsidRPr="00A459AE" w:rsidP="006847E8">
      <w:pPr>
        <w:ind w:left="66"/>
        <w:jc w:val="both"/>
      </w:pPr>
    </w:p>
    <w:p w:rsidR="006847E8" w:rsidRPr="00A459AE" w:rsidP="006847E8">
      <w:pPr>
        <w:ind w:left="66" w:firstLine="360"/>
        <w:jc w:val="both"/>
      </w:pPr>
      <w:r w:rsidRPr="00A459AE">
        <w:t>Doterajšie body 31 až 67 je potrebné primerane prečíslovať.</w:t>
      </w:r>
    </w:p>
    <w:p w:rsidR="006847E8" w:rsidRPr="00A459AE" w:rsidP="006847E8">
      <w:pPr>
        <w:ind w:left="66"/>
        <w:jc w:val="both"/>
      </w:pPr>
    </w:p>
    <w:p w:rsidR="006847E8" w:rsidRPr="00A459AE" w:rsidP="006847E8">
      <w:pPr>
        <w:ind w:left="3969"/>
        <w:jc w:val="both"/>
      </w:pPr>
      <w:r w:rsidRPr="00A459AE">
        <w:t xml:space="preserve">Úprava súvisí s transpozíciou smernice EP a Rady 2011/89/EÚ, ktorou sa menia a dopĺňajú smernice 98/78/ES, 2002/87/ES, 2006/48/ES a 2009/138/ES, pokiaľ ide o doplnkový dohľad nad finančnými inštitúciami vo finančnom konglomeráte, pričom sa rozširuje okruh osôb o zmiešanú, resp. materskú zmiešanú finančnú holdingovú spoločnosť v súvislosti  s výkonom dohľadu na konsolidovanom základe. </w:t>
      </w:r>
    </w:p>
    <w:p w:rsidR="006847E8" w:rsidP="006847E8">
      <w:pPr>
        <w:ind w:left="66"/>
        <w:jc w:val="both"/>
        <w:rPr>
          <w:b/>
        </w:rPr>
      </w:pPr>
    </w:p>
    <w:p w:rsidR="00C17C9F" w:rsidP="006847E8">
      <w:pPr>
        <w:ind w:left="66"/>
        <w:jc w:val="both"/>
        <w:rPr>
          <w:b/>
        </w:rPr>
      </w:pPr>
    </w:p>
    <w:p w:rsidR="00C17C9F" w:rsidRPr="00C17C9F" w:rsidP="00C17C9F">
      <w:pPr>
        <w:pStyle w:val="ListParagraph"/>
        <w:numPr>
          <w:ilvl w:val="0"/>
          <w:numId w:val="40"/>
        </w:numPr>
        <w:spacing w:after="0" w:line="240" w:lineRule="auto"/>
        <w:jc w:val="both"/>
        <w:rPr>
          <w:rFonts w:ascii="Times New Roman" w:hAnsi="Times New Roman"/>
          <w:b/>
          <w:sz w:val="24"/>
          <w:szCs w:val="24"/>
        </w:rPr>
      </w:pPr>
      <w:r w:rsidRPr="00C17C9F">
        <w:rPr>
          <w:rFonts w:ascii="Times New Roman" w:hAnsi="Times New Roman"/>
          <w:b/>
          <w:sz w:val="24"/>
          <w:szCs w:val="24"/>
        </w:rPr>
        <w:t>K čl. I 56. bodu - § 49j ods. 4 písm. b)</w:t>
      </w:r>
    </w:p>
    <w:p w:rsidR="00C17C9F" w:rsidP="00C17C9F">
      <w:pPr>
        <w:tabs>
          <w:tab w:val="left" w:pos="284"/>
        </w:tabs>
        <w:ind w:firstLine="284"/>
        <w:jc w:val="both"/>
      </w:pPr>
      <w:r>
        <w:t xml:space="preserve">     </w:t>
      </w:r>
      <w:r w:rsidRPr="00E17951">
        <w:t xml:space="preserve">V § 49j ods. 4 písm. </w:t>
      </w:r>
      <w:r>
        <w:t>b</w:t>
      </w:r>
      <w:r w:rsidRPr="00E17951">
        <w:t>)  sa na začiatok vkladajú slová „na svojom webovom sídle“</w:t>
      </w:r>
      <w:r>
        <w:t>.</w:t>
      </w:r>
    </w:p>
    <w:p w:rsidR="00C17C9F" w:rsidP="00C17C9F">
      <w:pPr>
        <w:ind w:left="3402"/>
        <w:jc w:val="both"/>
      </w:pPr>
    </w:p>
    <w:p w:rsidR="00C17C9F" w:rsidP="00C17C9F">
      <w:pPr>
        <w:ind w:left="3402"/>
        <w:jc w:val="both"/>
      </w:pPr>
      <w:r w:rsidRPr="00E17951">
        <w:t>Ide o zjednotenie formy zverejňovania povinnosti uloženej zákonom</w:t>
      </w:r>
      <w:r>
        <w:t>,</w:t>
      </w:r>
      <w:r w:rsidRPr="00E17951">
        <w:t xml:space="preserve"> </w:t>
      </w:r>
      <w:r>
        <w:t>ktorú už platný zákon zavádza (</w:t>
      </w:r>
      <w:r w:rsidRPr="00E17951">
        <w:t xml:space="preserve">napr. </w:t>
      </w:r>
      <w:r>
        <w:t xml:space="preserve">v </w:t>
      </w:r>
      <w:r w:rsidRPr="00E17951">
        <w:t>§ 75 ods. 9).</w:t>
      </w:r>
    </w:p>
    <w:p w:rsidR="00C17C9F" w:rsidP="006847E8">
      <w:pPr>
        <w:ind w:left="66"/>
        <w:jc w:val="both"/>
        <w:rPr>
          <w:b/>
        </w:rPr>
      </w:pPr>
    </w:p>
    <w:p w:rsidR="00C17C9F" w:rsidP="006847E8">
      <w:pPr>
        <w:ind w:left="66"/>
        <w:jc w:val="both"/>
        <w:rPr>
          <w:b/>
        </w:rPr>
      </w:pPr>
    </w:p>
    <w:p w:rsidR="00C17C9F" w:rsidP="006847E8">
      <w:pPr>
        <w:ind w:left="66"/>
        <w:jc w:val="both"/>
        <w:rPr>
          <w:b/>
        </w:rPr>
      </w:pPr>
    </w:p>
    <w:p w:rsidR="00C17C9F" w:rsidRPr="00A459AE" w:rsidP="006847E8">
      <w:pPr>
        <w:ind w:left="66"/>
        <w:jc w:val="both"/>
        <w:rPr>
          <w:b/>
        </w:rPr>
      </w:pPr>
    </w:p>
    <w:p w:rsidR="006847E8" w:rsidRPr="00A459AE" w:rsidP="006847E8">
      <w:pPr>
        <w:numPr>
          <w:ilvl w:val="0"/>
          <w:numId w:val="40"/>
        </w:numPr>
        <w:tabs>
          <w:tab w:val="left" w:pos="426"/>
        </w:tabs>
        <w:jc w:val="both"/>
        <w:rPr>
          <w:b/>
        </w:rPr>
      </w:pPr>
      <w:r w:rsidRPr="00A459AE">
        <w:rPr>
          <w:b/>
        </w:rPr>
        <w:t>K čl. I doterajší bod 61 sa vypúšťa.</w:t>
      </w:r>
    </w:p>
    <w:p w:rsidR="006847E8" w:rsidRPr="00A459AE" w:rsidP="006847E8">
      <w:pPr>
        <w:tabs>
          <w:tab w:val="left" w:pos="426"/>
        </w:tabs>
        <w:jc w:val="both"/>
      </w:pPr>
      <w:r w:rsidRPr="00A459AE">
        <w:tab/>
        <w:t>Doterajšie body 62 až 67 je potrebné primerane prečíslovať.</w:t>
      </w:r>
    </w:p>
    <w:p w:rsidR="006847E8" w:rsidRPr="00A459AE" w:rsidP="006847E8">
      <w:pPr>
        <w:ind w:left="3969"/>
        <w:jc w:val="both"/>
        <w:rPr>
          <w:u w:val="single"/>
        </w:rPr>
      </w:pPr>
    </w:p>
    <w:p w:rsidR="006847E8" w:rsidRPr="00A459AE" w:rsidP="006847E8">
      <w:pPr>
        <w:ind w:left="3969"/>
        <w:jc w:val="both"/>
      </w:pPr>
      <w:r w:rsidRPr="00A459AE">
        <w:t>V záujme ochrany bankových klientov sa predkladajú navrhované spresnenia a doplnenia ustanovení zákona o bankách, ktoré sa týkajú vykonávania bankových činností bankami a pobočkami zahraničných bánk na</w:t>
      </w:r>
      <w:r w:rsidRPr="00A459AE">
        <w:t xml:space="preserve"> území Slovenskej republiky. </w:t>
      </w:r>
    </w:p>
    <w:p w:rsidR="006847E8" w:rsidRPr="00A459AE" w:rsidP="006847E8">
      <w:pPr>
        <w:tabs>
          <w:tab w:val="left" w:pos="426"/>
        </w:tabs>
        <w:jc w:val="both"/>
      </w:pPr>
    </w:p>
    <w:p w:rsidR="006847E8" w:rsidRPr="00A459AE" w:rsidP="006847E8">
      <w:pPr>
        <w:ind w:left="66"/>
        <w:jc w:val="both"/>
      </w:pPr>
    </w:p>
    <w:p w:rsidR="006847E8" w:rsidRPr="00A459AE" w:rsidP="006847E8">
      <w:pPr>
        <w:numPr>
          <w:ilvl w:val="0"/>
          <w:numId w:val="40"/>
        </w:numPr>
        <w:tabs>
          <w:tab w:val="left" w:pos="426"/>
        </w:tabs>
        <w:jc w:val="both"/>
        <w:rPr>
          <w:b/>
        </w:rPr>
      </w:pPr>
      <w:r w:rsidRPr="00A459AE">
        <w:rPr>
          <w:b/>
        </w:rPr>
        <w:t>K čl. I za doterajší bod 63 sa vkladajú nové body 64 až 68, ktoré znejú:</w:t>
      </w:r>
    </w:p>
    <w:p w:rsidR="006847E8" w:rsidRPr="006847E8" w:rsidP="006847E8">
      <w:pPr>
        <w:pStyle w:val="BodyTextIndent3"/>
        <w:ind w:left="426"/>
        <w:rPr>
          <w:szCs w:val="24"/>
          <w:lang w:val="sk-SK"/>
        </w:rPr>
      </w:pPr>
      <w:r w:rsidRPr="00A459AE">
        <w:rPr>
          <w:szCs w:val="24"/>
        </w:rPr>
        <w:t>„</w:t>
      </w:r>
      <w:r w:rsidRPr="006847E8">
        <w:rPr>
          <w:szCs w:val="24"/>
          <w:lang w:val="sk-SK"/>
        </w:rPr>
        <w:t>64. V nadpise štrnástej časti sa na začiatok vkladajú slová „OCHRANA KLIENTOV A“.</w:t>
      </w:r>
    </w:p>
    <w:p w:rsidR="006847E8" w:rsidRPr="006847E8" w:rsidP="006847E8">
      <w:pPr>
        <w:pStyle w:val="BodyTextIndent3"/>
        <w:ind w:left="426"/>
        <w:rPr>
          <w:szCs w:val="24"/>
          <w:lang w:val="sk-SK"/>
        </w:rPr>
      </w:pPr>
    </w:p>
    <w:p w:rsidR="006847E8" w:rsidRPr="006847E8" w:rsidP="006847E8">
      <w:pPr>
        <w:pStyle w:val="BodyTextIndent3"/>
        <w:ind w:left="426"/>
        <w:rPr>
          <w:szCs w:val="24"/>
          <w:lang w:val="sk-SK"/>
        </w:rPr>
      </w:pPr>
      <w:r w:rsidRPr="006847E8">
        <w:rPr>
          <w:szCs w:val="24"/>
          <w:lang w:val="sk-SK"/>
        </w:rPr>
        <w:t>65. V §</w:t>
      </w:r>
      <w:r w:rsidRPr="006847E8">
        <w:rPr>
          <w:rFonts w:ascii="Times New Roman" w:hAnsi="Times New Roman"/>
          <w:szCs w:val="24"/>
          <w:lang w:val="sk-SK"/>
        </w:rPr>
        <w:t> </w:t>
      </w:r>
      <w:r w:rsidRPr="006847E8">
        <w:rPr>
          <w:szCs w:val="24"/>
          <w:lang w:val="sk-SK"/>
        </w:rPr>
        <w:t>89 sa na začiatku vkladá nový odsek 1, ktorý znie:</w:t>
      </w:r>
    </w:p>
    <w:p w:rsidR="006847E8" w:rsidRPr="00A459AE" w:rsidP="006847E8">
      <w:pPr>
        <w:ind w:left="426"/>
        <w:jc w:val="both"/>
        <w:rPr>
          <w:color w:val="000000"/>
        </w:rPr>
      </w:pPr>
      <w:r w:rsidRPr="00A459AE">
        <w:rPr>
          <w:color w:val="000000"/>
        </w:rPr>
        <w:t xml:space="preserve">„(1) Banka a pobočka zahraničnej banky pri vykonávaní bankových činností na území Slovenskej republiky uzatvárajú a vykonávajú obchody so svojimi klientmi na zmluvnom základe v súlade s </w:t>
      </w:r>
      <w:r w:rsidRPr="00A459AE">
        <w:t>právnym poriadkom Slovenskej republiky.</w:t>
      </w:r>
      <w:r w:rsidRPr="00A459AE">
        <w:rPr>
          <w:color w:val="000000"/>
        </w:rPr>
        <w:t xml:space="preserve"> Klient má právo na uzavretie zmluvy o obchode v slovenskom jazyku, ako aj na poskytovanie informácií od banky a pobočky zahraničnej banky, na predkladanie podaní banke a pobočke zahraničnej banky a na uskutočňovanie inej komunikácie s bankou a pobočkou zahraničnej banky v slovenskom jazyku; týmto nie je dotknutá možnosť súbežného používania iných jazykov, ak to ustanovuje osobitný zákon alebo ak sa na tom banka alebo pobočka zahraničnej banky so svojim klientom písomne dohodnú, pričom klient má právo vybrať si rozhodujúci jazyk pre znenie zmluv</w:t>
      </w:r>
      <w:r w:rsidRPr="00A459AE">
        <w:rPr>
          <w:color w:val="000000"/>
        </w:rPr>
        <w:t>y, ak osobitný zákon neustanovuje inak.</w:t>
      </w:r>
      <w:r w:rsidRPr="00A459AE">
        <w:rPr>
          <w:color w:val="000000"/>
          <w:vertAlign w:val="superscript"/>
        </w:rPr>
        <w:t>72b</w:t>
      </w:r>
      <w:r w:rsidRPr="00A459AE">
        <w:rPr>
          <w:color w:val="000000"/>
        </w:rPr>
        <w:t>) Banka alebo pobočka zahraničnej banky si so svojim klientom môžu zmluvne upraviť práva a povinnosti z obchodov odchylne od zákona alebo osobitného predpisu, ak to zákon ani osobitný predpis výslovne nezakazuje alebo ak z povahy ich ustanovení nevyplýva, že sa od nich nemožno odchýliť;</w:t>
      </w:r>
      <w:r w:rsidRPr="00A459AE">
        <w:rPr>
          <w:color w:val="000000"/>
          <w:vertAlign w:val="superscript"/>
        </w:rPr>
        <w:t>72c</w:t>
      </w:r>
      <w:r w:rsidRPr="00A459AE">
        <w:rPr>
          <w:color w:val="000000"/>
        </w:rPr>
        <w:t>) takáto zmluva musí mať formu a podobu vyžadovanú zákonom alebo dohodou účastníkov, pričom banka a pobočka zahraničnej banky zodpovedá za jej preukázateľné vyhotovenie v listinnej</w:t>
      </w:r>
      <w:r w:rsidRPr="00A459AE">
        <w:rPr>
          <w:color w:val="000000"/>
        </w:rPr>
        <w:t xml:space="preserve"> podobe alebo na inom trvanlivom médiu</w:t>
      </w:r>
      <w:r w:rsidRPr="00A459AE">
        <w:rPr>
          <w:color w:val="000000"/>
          <w:vertAlign w:val="superscript"/>
        </w:rPr>
        <w:t>72d</w:t>
      </w:r>
      <w:r w:rsidRPr="00A459AE">
        <w:rPr>
          <w:color w:val="000000"/>
        </w:rPr>
        <w:t xml:space="preserve">) najneskôr pri uzavretí obchodu a za jej uchovávanie a ochranu podľa § 42 ods. 1.“. </w:t>
      </w:r>
    </w:p>
    <w:p w:rsidR="006847E8" w:rsidRPr="00A459AE" w:rsidP="006847E8">
      <w:pPr>
        <w:ind w:left="426"/>
        <w:jc w:val="both"/>
      </w:pPr>
    </w:p>
    <w:p w:rsidR="006847E8" w:rsidRPr="00A459AE" w:rsidP="006847E8">
      <w:pPr>
        <w:ind w:left="426"/>
        <w:jc w:val="both"/>
      </w:pPr>
      <w:r w:rsidRPr="00A459AE">
        <w:t>Poznámky pod čiarou k odkazom 72b, 72c a 72d znejú:</w:t>
      </w:r>
    </w:p>
    <w:p w:rsidR="006847E8" w:rsidRPr="00A459AE" w:rsidP="006847E8">
      <w:pPr>
        <w:ind w:left="709" w:hanging="283"/>
        <w:jc w:val="both"/>
      </w:pPr>
      <w:r w:rsidRPr="00A459AE">
        <w:t>„</w:t>
      </w:r>
      <w:r w:rsidRPr="00A459AE">
        <w:rPr>
          <w:vertAlign w:val="superscript"/>
        </w:rPr>
        <w:t>72b</w:t>
      </w:r>
      <w:r w:rsidRPr="00A459AE">
        <w:t>) Napríklad § 8 ods. 5 zákona Národnej rady Slovenskej republiky č. 270/</w:t>
      </w:r>
      <w:r w:rsidRPr="00A459AE">
        <w:t>1995 Z. z. o štátnom jazyku Slovenskej republiky v znení neskorších predpisov.</w:t>
      </w:r>
    </w:p>
    <w:p w:rsidR="006847E8" w:rsidRPr="00A459AE" w:rsidP="006847E8">
      <w:pPr>
        <w:ind w:left="709" w:hanging="283"/>
        <w:jc w:val="both"/>
      </w:pPr>
      <w:r w:rsidRPr="00A459AE">
        <w:rPr>
          <w:vertAlign w:val="superscript"/>
        </w:rPr>
        <w:t>72c</w:t>
      </w:r>
      <w:r w:rsidRPr="00A459AE">
        <w:t>) Napríklad § 2 ods. 3 a § 53 ods. 1 a 4 Občianskeho zákonníka, § 87 písm. f) a § 88 ods. 2 Občianskeho súdneho poriadku,  čl. 6</w:t>
      </w:r>
      <w:r w:rsidRPr="00A459AE">
        <w:rPr>
          <w:color w:val="000000"/>
        </w:rPr>
        <w:t xml:space="preserve"> a </w:t>
      </w:r>
      <w:r w:rsidRPr="00A459AE">
        <w:t xml:space="preserve">19 </w:t>
      </w:r>
      <w:r w:rsidRPr="00A459AE">
        <w:rPr>
          <w:color w:val="000000"/>
        </w:rPr>
        <w:t>nariadenia Európskeho parlamentu a Rady (ES) č. 593/2008 zo 17. júna 2008 o rozhodnom práve</w:t>
      </w:r>
      <w:r w:rsidRPr="00A459AE">
        <w:rPr>
          <w:rStyle w:val="apple-converted-space"/>
          <w:color w:val="000000"/>
        </w:rPr>
        <w:t> </w:t>
      </w:r>
      <w:r w:rsidRPr="00A459AE">
        <w:rPr>
          <w:color w:val="000000"/>
        </w:rPr>
        <w:t>pre zmluvné záväzky (Rím I) (</w:t>
      </w:r>
      <w:r w:rsidRPr="00A459AE">
        <w:rPr>
          <w:rStyle w:val="Emphasis"/>
          <w:i w:val="0"/>
          <w:color w:val="000000"/>
        </w:rPr>
        <w:t>Ú. v. EÚ L 177, 4. 7. 2008</w:t>
      </w:r>
      <w:r w:rsidRPr="00A459AE">
        <w:rPr>
          <w:i/>
          <w:color w:val="000000"/>
        </w:rPr>
        <w:t>)</w:t>
      </w:r>
      <w:r w:rsidRPr="00A459AE">
        <w:t xml:space="preserve"> v platnom znení.</w:t>
      </w:r>
    </w:p>
    <w:p w:rsidR="006847E8" w:rsidRPr="00A459AE" w:rsidP="006847E8">
      <w:pPr>
        <w:ind w:left="709" w:hanging="283"/>
        <w:jc w:val="both"/>
      </w:pPr>
      <w:r w:rsidRPr="00A459AE">
        <w:rPr>
          <w:vertAlign w:val="superscript"/>
        </w:rPr>
        <w:t>72d</w:t>
      </w:r>
      <w:r w:rsidRPr="00A459AE">
        <w:t xml:space="preserve">) § 2 písm. m) zákona č. 129/2010 Z. z. o spotrebiteľských úveroch a o iných úveroch a pôžičkách pre spotrebiteľov a o zmene a </w:t>
      </w:r>
      <w:r w:rsidRPr="00A459AE">
        <w:t>doplnení niektorých zákonov.“.</w:t>
      </w:r>
    </w:p>
    <w:p w:rsidR="006847E8" w:rsidRPr="00A459AE" w:rsidP="006847E8">
      <w:pPr>
        <w:ind w:left="426"/>
        <w:jc w:val="both"/>
      </w:pPr>
    </w:p>
    <w:p w:rsidR="006847E8" w:rsidRPr="00A459AE" w:rsidP="006847E8">
      <w:pPr>
        <w:ind w:left="426"/>
        <w:jc w:val="both"/>
      </w:pPr>
      <w:r w:rsidRPr="00A459AE">
        <w:t>Doterajšie odseky 1 až 5 sa označujú ako odseky 2 až 6.</w:t>
      </w:r>
    </w:p>
    <w:p w:rsidR="006847E8" w:rsidRPr="00A459AE" w:rsidP="006847E8">
      <w:pPr>
        <w:ind w:left="426"/>
        <w:jc w:val="both"/>
      </w:pPr>
    </w:p>
    <w:p w:rsidR="006847E8" w:rsidRPr="006847E8" w:rsidP="006847E8">
      <w:pPr>
        <w:pStyle w:val="BodyTextIndent3"/>
        <w:ind w:left="426"/>
        <w:rPr>
          <w:szCs w:val="24"/>
          <w:lang w:val="sk-SK"/>
        </w:rPr>
      </w:pPr>
      <w:r w:rsidRPr="006847E8">
        <w:rPr>
          <w:szCs w:val="24"/>
          <w:lang w:val="sk-SK"/>
        </w:rPr>
        <w:t>66. V §</w:t>
      </w:r>
      <w:r w:rsidRPr="006847E8">
        <w:rPr>
          <w:rFonts w:ascii="Times New Roman" w:hAnsi="Times New Roman"/>
          <w:szCs w:val="24"/>
          <w:lang w:val="sk-SK"/>
        </w:rPr>
        <w:t> </w:t>
      </w:r>
      <w:r w:rsidRPr="006847E8">
        <w:rPr>
          <w:szCs w:val="24"/>
          <w:lang w:val="sk-SK"/>
        </w:rPr>
        <w:t>89 ods. 2 sa slová „odseku 4“ nahrádzajú slovami „odseku 5“.</w:t>
      </w:r>
    </w:p>
    <w:p w:rsidR="006847E8" w:rsidRPr="006847E8" w:rsidP="006847E8">
      <w:pPr>
        <w:pStyle w:val="BodyTextIndent3"/>
        <w:ind w:left="426"/>
        <w:rPr>
          <w:szCs w:val="24"/>
          <w:lang w:val="sk-SK"/>
        </w:rPr>
      </w:pPr>
      <w:r w:rsidRPr="006847E8">
        <w:rPr>
          <w:szCs w:val="24"/>
          <w:lang w:val="sk-SK"/>
        </w:rPr>
        <w:t>67. V §</w:t>
      </w:r>
      <w:r w:rsidRPr="006847E8">
        <w:rPr>
          <w:rFonts w:ascii="Times New Roman" w:hAnsi="Times New Roman"/>
          <w:szCs w:val="24"/>
          <w:lang w:val="sk-SK"/>
        </w:rPr>
        <w:t> </w:t>
      </w:r>
      <w:r w:rsidRPr="006847E8">
        <w:rPr>
          <w:szCs w:val="24"/>
          <w:lang w:val="sk-SK"/>
        </w:rPr>
        <w:t>89 ods. 3 sa slová „odseku 1“ nahrádzajú slovami „odseku 2“.</w:t>
      </w:r>
    </w:p>
    <w:p w:rsidR="006847E8" w:rsidRPr="006847E8" w:rsidP="006847E8">
      <w:pPr>
        <w:pStyle w:val="BodyTextIndent3"/>
        <w:ind w:left="426"/>
        <w:rPr>
          <w:szCs w:val="24"/>
          <w:lang w:val="sk-SK"/>
        </w:rPr>
      </w:pPr>
      <w:r w:rsidRPr="006847E8">
        <w:rPr>
          <w:szCs w:val="24"/>
          <w:lang w:val="sk-SK"/>
        </w:rPr>
        <w:t>68. V §</w:t>
      </w:r>
      <w:r w:rsidRPr="006847E8">
        <w:rPr>
          <w:rFonts w:ascii="Times New Roman" w:hAnsi="Times New Roman"/>
          <w:szCs w:val="24"/>
          <w:lang w:val="sk-SK"/>
        </w:rPr>
        <w:t> </w:t>
      </w:r>
      <w:r w:rsidRPr="006847E8">
        <w:rPr>
          <w:szCs w:val="24"/>
          <w:lang w:val="sk-SK"/>
        </w:rPr>
        <w:t>89 ods. 6 sa slová „o</w:t>
      </w:r>
      <w:r w:rsidRPr="006847E8">
        <w:rPr>
          <w:szCs w:val="24"/>
          <w:lang w:val="sk-SK"/>
        </w:rPr>
        <w:t>dsekov 1 a 3“ nahrádzajú slovami „odsekov 2 a 4“.“.</w:t>
      </w:r>
    </w:p>
    <w:p w:rsidR="006847E8" w:rsidRPr="006847E8" w:rsidP="006847E8">
      <w:pPr>
        <w:ind w:left="426"/>
        <w:jc w:val="both"/>
      </w:pPr>
    </w:p>
    <w:p w:rsidR="006847E8" w:rsidRPr="00A459AE" w:rsidP="006847E8">
      <w:pPr>
        <w:ind w:left="426"/>
        <w:jc w:val="both"/>
      </w:pPr>
      <w:r w:rsidRPr="00A459AE">
        <w:t>Doterajšie body 64 až 67 je potrebné primerane prečíslovať.</w:t>
      </w:r>
    </w:p>
    <w:p w:rsidR="006847E8" w:rsidRPr="00A459AE" w:rsidP="006847E8">
      <w:pPr>
        <w:jc w:val="both"/>
      </w:pPr>
    </w:p>
    <w:p w:rsidR="006847E8" w:rsidRPr="00A459AE" w:rsidP="006847E8">
      <w:pPr>
        <w:ind w:left="3969"/>
        <w:jc w:val="both"/>
      </w:pPr>
      <w:r w:rsidRPr="00A459AE">
        <w:t xml:space="preserve">V záujme ochrany bankových klientov sa predkladajú navrhované spresnenia a doplnenia ustanovení zákona o bankách, ktoré sa týkajú vykonávania bankových činností bankami a pobočkami zahraničných bánk na území Slovenskej republiky. </w:t>
      </w:r>
    </w:p>
    <w:p w:rsidR="006847E8" w:rsidRPr="00A459AE" w:rsidP="006847E8">
      <w:pPr>
        <w:ind w:left="66"/>
        <w:jc w:val="both"/>
      </w:pPr>
    </w:p>
    <w:p w:rsidR="006847E8" w:rsidRPr="00A459AE" w:rsidP="006847E8">
      <w:pPr>
        <w:numPr>
          <w:ilvl w:val="0"/>
          <w:numId w:val="40"/>
        </w:numPr>
        <w:tabs>
          <w:tab w:val="left" w:pos="426"/>
        </w:tabs>
        <w:jc w:val="both"/>
        <w:rPr>
          <w:b/>
        </w:rPr>
      </w:pPr>
      <w:r w:rsidRPr="00A459AE">
        <w:rPr>
          <w:b/>
        </w:rPr>
        <w:t>K čl. I  za doterajší bod 64 sa vkladá nový bod 65, ktorý znie:</w:t>
      </w:r>
    </w:p>
    <w:p w:rsidR="006847E8" w:rsidRPr="00A459AE" w:rsidP="006847E8">
      <w:pPr>
        <w:tabs>
          <w:tab w:val="left" w:pos="426"/>
        </w:tabs>
        <w:ind w:left="426"/>
        <w:jc w:val="both"/>
      </w:pPr>
      <w:r w:rsidRPr="00A459AE">
        <w:t>„65. V § 91 sa odsek 4 dopĺňa písmenom s), ktoré znie:</w:t>
      </w:r>
    </w:p>
    <w:p w:rsidR="006847E8" w:rsidRPr="00A459AE" w:rsidP="006847E8">
      <w:pPr>
        <w:ind w:left="426"/>
        <w:jc w:val="both"/>
      </w:pPr>
      <w:r w:rsidRPr="00A459AE">
        <w:t>„s) Kriminálnemu úradu finančnej správy na účely plnenia úloh pri odhaľovaní trestných činov, zisťovaní ich páchateľov a pátraní po nich.</w:t>
      </w:r>
      <w:r w:rsidRPr="00A459AE">
        <w:rPr>
          <w:vertAlign w:val="superscript"/>
        </w:rPr>
        <w:t>86db</w:t>
      </w:r>
      <w:r w:rsidRPr="00A459AE">
        <w:t>)“.</w:t>
      </w:r>
    </w:p>
    <w:p w:rsidR="006847E8" w:rsidRPr="00A459AE" w:rsidP="006847E8">
      <w:pPr>
        <w:ind w:left="426"/>
        <w:jc w:val="both"/>
      </w:pPr>
    </w:p>
    <w:p w:rsidR="006847E8" w:rsidRPr="00A459AE" w:rsidP="006847E8">
      <w:pPr>
        <w:ind w:left="426"/>
        <w:jc w:val="both"/>
      </w:pPr>
      <w:r w:rsidRPr="00A459AE">
        <w:t>Poznámka pod čiarou k odkazu 86db znie:</w:t>
      </w:r>
    </w:p>
    <w:p w:rsidR="006847E8" w:rsidRPr="00A459AE" w:rsidP="006847E8">
      <w:pPr>
        <w:ind w:left="426"/>
        <w:jc w:val="both"/>
      </w:pPr>
      <w:r w:rsidRPr="00A459AE">
        <w:t>„</w:t>
      </w:r>
      <w:r w:rsidRPr="00A459AE">
        <w:rPr>
          <w:vertAlign w:val="superscript"/>
        </w:rPr>
        <w:t>86db</w:t>
      </w:r>
      <w:r w:rsidRPr="00A459AE">
        <w:t>) § 11 ods. 2 zákona č. 199/2004 Z. z. v znení neskorších predpisov.</w:t>
      </w:r>
    </w:p>
    <w:p w:rsidR="006847E8" w:rsidRPr="00A459AE" w:rsidP="006847E8">
      <w:pPr>
        <w:ind w:left="993"/>
        <w:jc w:val="both"/>
      </w:pPr>
      <w:r w:rsidRPr="00A459AE">
        <w:t>§ 5 ods. 3 písm. h), i) a l) zákona č. 333/2011 Z. z. o orgánoch štátnej správy v oblasti daní, poplatkov a colníctva v znení zákona č. 441/2012 Z. z.“.“.</w:t>
      </w:r>
    </w:p>
    <w:p w:rsidR="006847E8" w:rsidRPr="00A459AE" w:rsidP="006847E8">
      <w:pPr>
        <w:ind w:left="426"/>
        <w:jc w:val="both"/>
      </w:pPr>
    </w:p>
    <w:p w:rsidR="006847E8" w:rsidRPr="00A459AE" w:rsidP="006847E8">
      <w:pPr>
        <w:ind w:left="426"/>
        <w:jc w:val="both"/>
      </w:pPr>
      <w:r w:rsidRPr="00A459AE">
        <w:t>Doterajšie body 65 až 67 je potrebné primerane prečíslovať.</w:t>
      </w:r>
    </w:p>
    <w:p w:rsidR="006847E8" w:rsidRPr="00A459AE" w:rsidP="006847E8">
      <w:pPr>
        <w:jc w:val="both"/>
      </w:pPr>
    </w:p>
    <w:p w:rsidR="006847E8" w:rsidRPr="00A459AE" w:rsidP="006847E8">
      <w:pPr>
        <w:ind w:left="3969"/>
        <w:jc w:val="both"/>
      </w:pPr>
      <w:r w:rsidRPr="00A459AE">
        <w:t xml:space="preserve">Doplnením nového písmena s) do § 91 ods. 4 zákona o bankách sa pre banky a pobočky zahraničných bánk zavádza povinnosť podať správu o záležitostiach týkajúcich sa klienta, ktoré sú predmetom bankového tajomstva, aj na vyžiadanie Kriminálneho úradu finančnej správy. Kriminálny úrad finančnej správy je colným orgánom podľa zákona č. 199/2004 Z. z. Colný zákon a o zmene a doplnení niektorých zákonov v znení neskorších predpisov. Podľa § 11 ods. 2 Colného zákona sú banky a pobočky zahraničných bánk povinné podľa zákona o bankách poskytnúť Kriminálnemu úradu finančnej správy na jeho písomnú žiadosť informácie podliehajúce bankovému tajomstvu. Vzhľadom na skutočnosť, že v zákone o bankách však doposiaľ nebola táto povinnosť analogicky upravená, tak doposiaľ nebolo možné získavanie dôležitých informácií, ktoré sú predmetom bankového tajomstva a tým umožniť efektívne plnenie úloh tohto úradu podľa zákona č. 333/2011 Z. z. o orgánoch štátnej správy v oblasti daní, poplatkov a colníctva, pričom jednou z úloh Kriminálneho úradu finančnej správy podľa § 5 ods. 3 písm. h) a i) zákona č. 333/2011 Z. z. o orgánoch štátnej správy v oblasti daní, poplatkov a colníctva je plnenie a zabezpečovanie úloh v oblasti odhaľovania trestných činov spáchaných v súvislosti s porušením daňových predpisov v oblasti dane z pridanej hodnoty a spotrebných daní alebo colných predpisov a zisťovania ich páchateľov. </w:t>
      </w:r>
    </w:p>
    <w:p w:rsidR="006847E8" w:rsidRPr="00A459AE" w:rsidP="006847E8">
      <w:pPr>
        <w:jc w:val="both"/>
      </w:pPr>
    </w:p>
    <w:p w:rsidR="006847E8" w:rsidRPr="00A459AE" w:rsidP="006847E8">
      <w:pPr>
        <w:numPr>
          <w:ilvl w:val="0"/>
          <w:numId w:val="40"/>
        </w:numPr>
        <w:jc w:val="both"/>
        <w:rPr>
          <w:b/>
        </w:rPr>
      </w:pPr>
      <w:r w:rsidRPr="00A459AE">
        <w:rPr>
          <w:b/>
        </w:rPr>
        <w:t>K čl. II  v doterajšom bode 1 poznámka pod čiarou k odkazu 3d znie:</w:t>
      </w:r>
    </w:p>
    <w:p w:rsidR="006847E8" w:rsidRPr="00A459AE" w:rsidP="006847E8">
      <w:pPr>
        <w:ind w:left="360"/>
        <w:jc w:val="both"/>
      </w:pPr>
      <w:r w:rsidRPr="00A459AE">
        <w:t>„</w:t>
      </w:r>
      <w:r w:rsidRPr="00A459AE">
        <w:rPr>
          <w:vertAlign w:val="superscript"/>
        </w:rPr>
        <w:t>3d</w:t>
      </w:r>
      <w:r w:rsidRPr="00A459AE">
        <w:t>)  § 2 ods. 1 písm. d) a ods. 9 zákona č. 492/2009 Z. z.“.</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ind w:left="3969"/>
        <w:jc w:val="both"/>
      </w:pPr>
      <w:r w:rsidRPr="00A459AE">
        <w:t>Ide o doplnenie poznámky pod čiarou s cieľom presnejšieho vymedzenia, že ustanoveni</w:t>
      </w:r>
      <w:r w:rsidRPr="00A459AE">
        <w:t>e sa netýka kontokorentných úverov a úverov poskytnutých prostredníctvom kreditnej karty.</w:t>
      </w:r>
    </w:p>
    <w:p w:rsidR="006847E8" w:rsidP="006847E8">
      <w:pPr>
        <w:jc w:val="both"/>
      </w:pPr>
    </w:p>
    <w:p w:rsidR="00C17C9F" w:rsidP="006847E8">
      <w:pPr>
        <w:jc w:val="both"/>
      </w:pPr>
    </w:p>
    <w:p w:rsidR="0053488D" w:rsidP="006847E8">
      <w:pPr>
        <w:jc w:val="both"/>
      </w:pPr>
    </w:p>
    <w:p w:rsidR="0053488D" w:rsidP="006847E8">
      <w:pPr>
        <w:jc w:val="both"/>
      </w:pPr>
    </w:p>
    <w:p w:rsidR="0053488D" w:rsidP="006847E8">
      <w:pPr>
        <w:jc w:val="both"/>
      </w:pPr>
    </w:p>
    <w:p w:rsidR="0053488D" w:rsidP="006847E8">
      <w:pPr>
        <w:jc w:val="both"/>
      </w:pPr>
    </w:p>
    <w:p w:rsidR="00C17C9F" w:rsidRPr="00C17C9F" w:rsidP="00C17C9F">
      <w:pPr>
        <w:pStyle w:val="ListParagraph"/>
        <w:numPr>
          <w:ilvl w:val="0"/>
          <w:numId w:val="40"/>
        </w:numPr>
        <w:spacing w:after="0" w:line="240" w:lineRule="auto"/>
        <w:jc w:val="both"/>
        <w:rPr>
          <w:rFonts w:ascii="Times New Roman" w:hAnsi="Times New Roman"/>
          <w:b/>
          <w:sz w:val="24"/>
          <w:szCs w:val="24"/>
        </w:rPr>
      </w:pPr>
      <w:r w:rsidRPr="00C17C9F">
        <w:rPr>
          <w:rFonts w:ascii="Times New Roman" w:hAnsi="Times New Roman"/>
          <w:b/>
          <w:sz w:val="24"/>
          <w:szCs w:val="24"/>
        </w:rPr>
        <w:t>K čl. III 1. bodu - § 8 písm. b)</w:t>
      </w:r>
    </w:p>
    <w:p w:rsidR="00C17C9F" w:rsidP="00C17C9F">
      <w:pPr>
        <w:ind w:left="284"/>
        <w:jc w:val="both"/>
      </w:pPr>
      <w:r>
        <w:t xml:space="preserve">      </w:t>
      </w:r>
      <w:r w:rsidRPr="00E17951">
        <w:t xml:space="preserve">V § 8 písm. b) siedmom bode sa za slová „z hľadiska času“ vkladajú slová „pôsobenia vo </w:t>
      </w:r>
      <w:r>
        <w:t xml:space="preserve"> </w:t>
      </w:r>
    </w:p>
    <w:p w:rsidR="00C17C9F" w:rsidRPr="00E17951" w:rsidP="00C17C9F">
      <w:pPr>
        <w:ind w:left="284"/>
        <w:jc w:val="both"/>
      </w:pPr>
      <w:r>
        <w:t xml:space="preserve">       </w:t>
      </w:r>
      <w:r w:rsidRPr="00E17951">
        <w:t>funkcii“.</w:t>
      </w:r>
    </w:p>
    <w:p w:rsidR="00C17C9F" w:rsidP="00C17C9F">
      <w:pPr>
        <w:ind w:left="4248"/>
        <w:jc w:val="both"/>
      </w:pPr>
      <w:r w:rsidRPr="00E17951">
        <w:t>Ide o významové</w:t>
      </w:r>
      <w:r w:rsidRPr="00E17951">
        <w:t xml:space="preserve"> precizovanie navrhovaného doplnenia ustan</w:t>
      </w:r>
      <w:r>
        <w:t>ovenia</w:t>
      </w:r>
      <w:r w:rsidRPr="00E17951">
        <w:t xml:space="preserve">  § </w:t>
      </w:r>
      <w:r w:rsidR="0053488D">
        <w:t>8 písm. b)</w:t>
      </w:r>
      <w:r w:rsidRPr="00E17951">
        <w:t xml:space="preserve">  o rozšírenie oprávnenia Národnej banky Slovenska uznať osobu  za dôveryhodnú.</w:t>
      </w:r>
    </w:p>
    <w:p w:rsidR="00C17C9F" w:rsidP="006847E8">
      <w:pPr>
        <w:jc w:val="both"/>
      </w:pPr>
    </w:p>
    <w:p w:rsidR="00C17C9F" w:rsidRPr="00A459AE" w:rsidP="006847E8">
      <w:pPr>
        <w:jc w:val="both"/>
      </w:pPr>
    </w:p>
    <w:p w:rsidR="006847E8" w:rsidRPr="00A459AE" w:rsidP="006847E8">
      <w:pPr>
        <w:numPr>
          <w:ilvl w:val="0"/>
          <w:numId w:val="40"/>
        </w:numPr>
        <w:tabs>
          <w:tab w:val="left" w:pos="426"/>
        </w:tabs>
        <w:rPr>
          <w:b/>
        </w:rPr>
      </w:pPr>
      <w:r w:rsidRPr="00A459AE">
        <w:rPr>
          <w:b/>
        </w:rPr>
        <w:t>K čl. III  za doterajší bod 1 sa vkladá nový bod 2, ktorý znie:</w:t>
      </w:r>
    </w:p>
    <w:p w:rsidR="006847E8" w:rsidRPr="00A459AE" w:rsidP="006847E8">
      <w:pPr>
        <w:tabs>
          <w:tab w:val="left" w:pos="426"/>
        </w:tabs>
        <w:ind w:left="426"/>
        <w:jc w:val="both"/>
      </w:pPr>
      <w:r w:rsidRPr="00A459AE">
        <w:t>„2. V § 74b ods. 7 sa za slovo „účasť“ vkladajú slová „alebo zmiešanou finančnou holdingovou spoločnosťou“.</w:t>
      </w:r>
    </w:p>
    <w:p w:rsidR="006847E8" w:rsidRPr="00A459AE" w:rsidP="006847E8">
      <w:pPr>
        <w:jc w:val="both"/>
      </w:pPr>
    </w:p>
    <w:p w:rsidR="006847E8" w:rsidRPr="00A459AE" w:rsidP="006847E8">
      <w:pPr>
        <w:ind w:firstLine="426"/>
        <w:jc w:val="both"/>
      </w:pPr>
      <w:r w:rsidRPr="00A459AE">
        <w:t>Doterajšie body 2 až 30 je potrebné primerane prečíslovať.</w:t>
      </w:r>
    </w:p>
    <w:p w:rsidR="006847E8" w:rsidRPr="00A459AE" w:rsidP="006847E8">
      <w:pPr>
        <w:jc w:val="both"/>
      </w:pPr>
    </w:p>
    <w:p w:rsidR="006847E8" w:rsidRPr="00A459AE" w:rsidP="006847E8">
      <w:pPr>
        <w:ind w:left="3969"/>
        <w:jc w:val="both"/>
      </w:pPr>
      <w:r w:rsidRPr="00A459AE">
        <w:t xml:space="preserve">Úprava súvisí s transpozíciou smernice EP a Rady 2011/89/EÚ, ktorou sa menia a dopĺňajú smernice 98/78/ES, 2002/87/ES, 2006/48/ES a 2009/138/ES, pokiaľ ide o doplnkový dohľad nad finančnými inštitúciami vo finančnom konglomeráte, pričom sa rozširuje okruh osôb o zmiešanú finančnú holdingovú spoločnosť v súvislosti s výkonom dohľadu na konsolidovanom základe. </w:t>
      </w:r>
    </w:p>
    <w:p w:rsidR="006847E8" w:rsidRPr="00A459AE" w:rsidP="006847E8">
      <w:pPr>
        <w:ind w:left="3969"/>
        <w:jc w:val="both"/>
      </w:pPr>
    </w:p>
    <w:p w:rsidR="006847E8" w:rsidRPr="00A459AE" w:rsidP="006847E8">
      <w:pPr>
        <w:numPr>
          <w:ilvl w:val="0"/>
          <w:numId w:val="40"/>
        </w:numPr>
        <w:tabs>
          <w:tab w:val="left" w:pos="426"/>
        </w:tabs>
        <w:jc w:val="both"/>
        <w:rPr>
          <w:b/>
        </w:rPr>
      </w:pPr>
      <w:r w:rsidRPr="00A459AE">
        <w:rPr>
          <w:b/>
        </w:rPr>
        <w:t>K čl. III za doterajší bod 7 sa vkladá nový bod 8, ktorý znie:</w:t>
      </w:r>
    </w:p>
    <w:p w:rsidR="006847E8" w:rsidRPr="00A459AE" w:rsidP="006847E8">
      <w:pPr>
        <w:tabs>
          <w:tab w:val="left" w:pos="426"/>
        </w:tabs>
        <w:ind w:left="426"/>
        <w:jc w:val="both"/>
      </w:pPr>
      <w:r w:rsidRPr="00A459AE">
        <w:t>„8. V § 138 ods. 2 písm. b) sa za slová „spoločnosťou v Európskej únii“ vkladajú slová „alebo zmiešanou finančnou holdingovou spoločnosťou“.</w:t>
      </w:r>
    </w:p>
    <w:p w:rsidR="006847E8" w:rsidRPr="00A459AE" w:rsidP="006847E8">
      <w:pPr>
        <w:tabs>
          <w:tab w:val="left" w:pos="426"/>
        </w:tabs>
        <w:jc w:val="both"/>
      </w:pPr>
    </w:p>
    <w:p w:rsidR="006847E8" w:rsidRPr="00A459AE" w:rsidP="006847E8">
      <w:pPr>
        <w:tabs>
          <w:tab w:val="left" w:pos="426"/>
        </w:tabs>
        <w:jc w:val="both"/>
      </w:pPr>
      <w:r w:rsidRPr="00A459AE">
        <w:tab/>
        <w:t>Doterajšie body 8 až 30 je potrebné primerane prečíslovať.</w:t>
      </w:r>
    </w:p>
    <w:p w:rsidR="006847E8" w:rsidRPr="00A459AE" w:rsidP="006847E8">
      <w:pPr>
        <w:jc w:val="both"/>
      </w:pPr>
    </w:p>
    <w:p w:rsidR="006847E8" w:rsidRPr="00A459AE" w:rsidP="006847E8">
      <w:pPr>
        <w:ind w:left="3969"/>
        <w:jc w:val="both"/>
      </w:pPr>
      <w:r w:rsidRPr="00A459AE">
        <w:t xml:space="preserve">Úprava súvisí s transpozíciou smernice EP a Rady 2011/89/EÚ, ktorou sa menia a dopĺňajú smernice 98/78/ES, 2002/87/ES, 2006/48/ES a 2009/138/ES, pokiaľ ide o doplnkový dohľad nad finančnými inštitúciami vo finančnom konglomeráte, pričom sa rozširuje okruh osôb o zmiešanú finančnú holdingovú spoločnosť v súvislosti s výkonom dohľadu na konsolidovanom základe. </w:t>
      </w:r>
    </w:p>
    <w:p w:rsidR="006847E8" w:rsidRPr="00A459AE" w:rsidP="006847E8">
      <w:pPr>
        <w:jc w:val="both"/>
      </w:pPr>
    </w:p>
    <w:p w:rsidR="006847E8" w:rsidRPr="00A459AE" w:rsidP="006847E8">
      <w:pPr>
        <w:numPr>
          <w:ilvl w:val="0"/>
          <w:numId w:val="40"/>
        </w:numPr>
        <w:jc w:val="both"/>
        <w:rPr>
          <w:b/>
        </w:rPr>
      </w:pPr>
      <w:r w:rsidRPr="00A459AE">
        <w:rPr>
          <w:b/>
        </w:rPr>
        <w:t>K čl. IV za doterajší bod 4 sa vkladá nový bod 5, ktorý znie:</w:t>
      </w:r>
    </w:p>
    <w:p w:rsidR="006847E8" w:rsidRPr="00A459AE" w:rsidP="006847E8">
      <w:pPr>
        <w:ind w:left="426"/>
        <w:jc w:val="both"/>
      </w:pPr>
      <w:r w:rsidRPr="00A459AE">
        <w:t>„5. V § 7 ods. 1 sa slovo „i)” nahrádza slovom „h)”.”.</w:t>
      </w:r>
    </w:p>
    <w:p w:rsidR="006847E8" w:rsidRPr="00A459AE" w:rsidP="006847E8">
      <w:pPr>
        <w:ind w:left="284"/>
        <w:jc w:val="both"/>
        <w:rPr>
          <w:iCs/>
        </w:rPr>
      </w:pPr>
    </w:p>
    <w:p w:rsidR="006847E8" w:rsidRPr="00A459AE" w:rsidP="006847E8">
      <w:pPr>
        <w:ind w:left="426"/>
        <w:jc w:val="both"/>
        <w:rPr>
          <w:iCs/>
        </w:rPr>
      </w:pPr>
      <w:r w:rsidRPr="00A459AE">
        <w:rPr>
          <w:iCs/>
        </w:rPr>
        <w:t>Doterajšie body 5 až 15 je potrebné primerane prečíslovať.</w:t>
      </w:r>
    </w:p>
    <w:p w:rsidR="006847E8" w:rsidRPr="00A459AE" w:rsidP="006847E8">
      <w:pPr>
        <w:ind w:left="4942"/>
        <w:jc w:val="both"/>
        <w:rPr>
          <w:iCs/>
          <w:u w:val="single"/>
        </w:rPr>
      </w:pPr>
    </w:p>
    <w:p w:rsidR="006847E8" w:rsidRPr="00A459AE" w:rsidP="006847E8">
      <w:pPr>
        <w:ind w:left="3969"/>
        <w:jc w:val="both"/>
        <w:rPr>
          <w:iCs/>
        </w:rPr>
      </w:pPr>
      <w:r w:rsidRPr="00A459AE">
        <w:rPr>
          <w:iCs/>
        </w:rPr>
        <w:t>Zmena ustanovenia vychádza zo zrušenia povinnosti pre klienta, ktorým je vyšší územný celok vrátane jeho rozpočtových organizácií a príspevkových organizácií, predkladať Štátnej pokladnici rozpočet a jeho zmeny v priebehu roka. Vzhľadom na to Štátna pokladnica u týchto klientov nebude povinná pri realizácii platobného styku prihliadať na ich rozpočet.</w:t>
      </w:r>
    </w:p>
    <w:p w:rsidR="006847E8" w:rsidP="006847E8">
      <w:pPr>
        <w:ind w:left="4520" w:firstLine="422"/>
        <w:jc w:val="both"/>
      </w:pPr>
    </w:p>
    <w:p w:rsidR="0053488D" w:rsidRPr="00A459AE" w:rsidP="006847E8">
      <w:pPr>
        <w:ind w:left="4520" w:firstLine="422"/>
        <w:jc w:val="both"/>
      </w:pPr>
    </w:p>
    <w:p w:rsidR="006847E8" w:rsidRPr="00A459AE" w:rsidP="006847E8">
      <w:pPr>
        <w:numPr>
          <w:ilvl w:val="0"/>
          <w:numId w:val="40"/>
        </w:numPr>
        <w:jc w:val="both"/>
        <w:rPr>
          <w:b/>
          <w:color w:val="000000"/>
        </w:rPr>
      </w:pPr>
      <w:r w:rsidRPr="00A459AE">
        <w:rPr>
          <w:b/>
          <w:color w:val="000000"/>
        </w:rPr>
        <w:t>K čl. IV doterajší bod 7 znie:</w:t>
      </w:r>
    </w:p>
    <w:p w:rsidR="006847E8" w:rsidRPr="00A459AE" w:rsidP="006847E8">
      <w:pPr>
        <w:ind w:left="426"/>
        <w:jc w:val="both"/>
      </w:pPr>
      <w:r w:rsidRPr="00A459AE">
        <w:rPr>
          <w:color w:val="000000"/>
        </w:rPr>
        <w:t xml:space="preserve">„7. V </w:t>
      </w:r>
      <w:r w:rsidRPr="00A459AE">
        <w:t>§</w:t>
      </w:r>
      <w:r w:rsidRPr="00A459AE">
        <w:rPr>
          <w:rFonts w:ascii="Times New Roman" w:hAnsi="Times New Roman"/>
        </w:rPr>
        <w:t> </w:t>
      </w:r>
      <w:r w:rsidRPr="00A459AE">
        <w:t>9a odsek</w:t>
      </w:r>
      <w:r w:rsidRPr="00A459AE">
        <w:rPr>
          <w:rFonts w:ascii="Times New Roman" w:hAnsi="Times New Roman"/>
        </w:rPr>
        <w:t> </w:t>
      </w:r>
      <w:r w:rsidRPr="00A459AE">
        <w:t>1 znie:</w:t>
      </w:r>
    </w:p>
    <w:p w:rsidR="006847E8" w:rsidRPr="00A459AE" w:rsidP="006847E8">
      <w:pPr>
        <w:ind w:left="426"/>
        <w:jc w:val="both"/>
      </w:pPr>
      <w:r w:rsidRPr="00A459AE">
        <w:t>„(1) Podľa odseku 3 postupuje klient uvedený v § 2a ods. 1 písm. i).“.“.</w:t>
      </w:r>
    </w:p>
    <w:p w:rsidR="006847E8" w:rsidRPr="00A459AE" w:rsidP="006847E8">
      <w:pPr>
        <w:ind w:left="4944"/>
        <w:jc w:val="both"/>
        <w:rPr>
          <w:iCs/>
          <w:u w:val="single"/>
        </w:rPr>
      </w:pPr>
    </w:p>
    <w:p w:rsidR="006847E8" w:rsidRPr="00A459AE" w:rsidP="006847E8">
      <w:pPr>
        <w:ind w:left="3969"/>
        <w:jc w:val="both"/>
        <w:rPr>
          <w:iCs/>
        </w:rPr>
      </w:pPr>
      <w:r w:rsidRPr="00A459AE">
        <w:rPr>
          <w:iCs/>
        </w:rPr>
        <w:t xml:space="preserve">Úprava vyplýva zo zjednotenia postupu realizácie platobného styku vyššieho územného celku a organizácií v jeho zriaďovateľskej pôsobnosti, ktorý je upravený v § 9a ods. 3.  </w:t>
      </w:r>
    </w:p>
    <w:p w:rsidR="006847E8" w:rsidRPr="00A459AE" w:rsidP="006847E8">
      <w:pPr>
        <w:ind w:left="3969"/>
        <w:jc w:val="both"/>
      </w:pPr>
    </w:p>
    <w:p w:rsidR="006847E8" w:rsidRPr="00A459AE" w:rsidP="006847E8">
      <w:pPr>
        <w:numPr>
          <w:ilvl w:val="0"/>
          <w:numId w:val="40"/>
        </w:numPr>
        <w:jc w:val="both"/>
        <w:rPr>
          <w:b/>
        </w:rPr>
      </w:pPr>
      <w:r w:rsidRPr="00A459AE">
        <w:rPr>
          <w:b/>
          <w:color w:val="000000"/>
        </w:rPr>
        <w:t>K čl. IV doterajší bod 8 sa vypúšťa.</w:t>
      </w:r>
    </w:p>
    <w:p w:rsidR="006847E8" w:rsidRPr="00A459AE" w:rsidP="006847E8">
      <w:pPr>
        <w:ind w:left="426"/>
        <w:jc w:val="both"/>
        <w:rPr>
          <w:iCs/>
        </w:rPr>
      </w:pPr>
      <w:r w:rsidRPr="00A459AE">
        <w:rPr>
          <w:iCs/>
        </w:rPr>
        <w:t>Doterajšie body 9 až 15 je potrebné primerane prečíslovať.</w:t>
      </w:r>
    </w:p>
    <w:p w:rsidR="006847E8" w:rsidRPr="00A459AE" w:rsidP="006847E8">
      <w:pPr>
        <w:ind w:firstLine="284"/>
        <w:jc w:val="both"/>
        <w:rPr>
          <w:iCs/>
        </w:rPr>
      </w:pPr>
    </w:p>
    <w:p w:rsidR="006847E8" w:rsidRPr="00A459AE" w:rsidP="006847E8">
      <w:pPr>
        <w:ind w:left="3969"/>
        <w:jc w:val="both"/>
        <w:rPr>
          <w:iCs/>
        </w:rPr>
      </w:pPr>
      <w:r w:rsidRPr="00A459AE">
        <w:rPr>
          <w:iCs/>
        </w:rPr>
        <w:t xml:space="preserve">Ide o legislatívno-technickú úpravu vyplývajúcu z úpravy § 9a ods. 1. V nadväznosti na vypustenie doterajšieho bodu 8 je nevyhnutné prečíslovať nasledujúce body novelizovaného článku. </w:t>
      </w:r>
    </w:p>
    <w:p w:rsidR="006847E8" w:rsidRPr="00A459AE" w:rsidP="006847E8">
      <w:pPr>
        <w:ind w:left="284"/>
        <w:jc w:val="both"/>
      </w:pPr>
    </w:p>
    <w:p w:rsidR="006847E8" w:rsidRPr="00A459AE" w:rsidP="006847E8">
      <w:pPr>
        <w:numPr>
          <w:ilvl w:val="0"/>
          <w:numId w:val="40"/>
        </w:numPr>
        <w:jc w:val="both"/>
        <w:rPr>
          <w:b/>
        </w:rPr>
      </w:pPr>
      <w:r w:rsidRPr="00A459AE">
        <w:rPr>
          <w:b/>
          <w:color w:val="000000"/>
        </w:rPr>
        <w:t>K čl. IV  doterajší bod 9</w:t>
      </w:r>
      <w:r w:rsidRPr="00A459AE">
        <w:rPr>
          <w:b/>
        </w:rPr>
        <w:t xml:space="preserve"> znie: </w:t>
      </w:r>
    </w:p>
    <w:p w:rsidR="006847E8" w:rsidRPr="00A459AE" w:rsidP="006847E8">
      <w:pPr>
        <w:ind w:left="426"/>
        <w:jc w:val="both"/>
      </w:pPr>
      <w:r w:rsidRPr="00A459AE">
        <w:t>„9. V § 9a ods. 2 sa za slová „písm. i)“ vkladá čiarka a slová „ktorým je vyšší územný celok,“, slová  „odsekov 4 a 5” sa nahrádzajú slovami „odseku 3” a slová „písm. l)“ sa nahrádzajú slovami „písm. i)“.”.</w:t>
      </w:r>
    </w:p>
    <w:p w:rsidR="006847E8" w:rsidRPr="00A459AE" w:rsidP="006847E8">
      <w:pPr>
        <w:ind w:left="426"/>
        <w:jc w:val="both"/>
      </w:pPr>
    </w:p>
    <w:p w:rsidR="006847E8" w:rsidRPr="00A459AE" w:rsidP="006847E8">
      <w:pPr>
        <w:ind w:left="3969"/>
        <w:jc w:val="both"/>
      </w:pPr>
      <w:r w:rsidRPr="00A459AE">
        <w:rPr>
          <w:iCs/>
        </w:rPr>
        <w:t xml:space="preserve">Zmenou sa umožní vyššiemu územnému celku uplatniť kompetenciu vo vzťahu k nemu zriadeným organizáciám s tým, že môže za nich voči Štátnej pokladnici vykonávať postupy podľa § 9a ods. 3, ktoré sa týkajú povinností týchto klientov pri realizácii platobných operácií. </w:t>
      </w:r>
    </w:p>
    <w:p w:rsidR="006847E8" w:rsidRPr="00A459AE" w:rsidP="006847E8">
      <w:pPr>
        <w:jc w:val="both"/>
      </w:pPr>
      <w:r w:rsidRPr="00A459AE">
        <w:t xml:space="preserve"> </w:t>
      </w:r>
    </w:p>
    <w:p w:rsidR="006847E8" w:rsidRPr="00A459AE" w:rsidP="006847E8">
      <w:pPr>
        <w:numPr>
          <w:ilvl w:val="0"/>
          <w:numId w:val="40"/>
        </w:numPr>
        <w:jc w:val="both"/>
        <w:rPr>
          <w:b/>
        </w:rPr>
      </w:pPr>
      <w:r w:rsidRPr="00A459AE">
        <w:rPr>
          <w:b/>
          <w:color w:val="000000"/>
        </w:rPr>
        <w:t>K čl. IV za doterajší bod 9</w:t>
      </w:r>
      <w:r w:rsidRPr="00A459AE">
        <w:rPr>
          <w:b/>
        </w:rPr>
        <w:t xml:space="preserve"> sa vkladá nový bod 10, ktorý znie:</w:t>
      </w:r>
    </w:p>
    <w:p w:rsidR="006847E8" w:rsidRPr="00A459AE" w:rsidP="006847E8">
      <w:pPr>
        <w:pStyle w:val="ListParagraph"/>
        <w:tabs>
          <w:tab w:val="left" w:pos="426"/>
        </w:tabs>
        <w:spacing w:after="0" w:line="240" w:lineRule="auto"/>
        <w:ind w:left="426"/>
        <w:jc w:val="both"/>
        <w:rPr>
          <w:rFonts w:ascii="Times New Roman" w:hAnsi="Times New Roman"/>
          <w:sz w:val="24"/>
          <w:szCs w:val="24"/>
        </w:rPr>
      </w:pPr>
      <w:r w:rsidRPr="00A459AE">
        <w:rPr>
          <w:rFonts w:ascii="Times New Roman" w:hAnsi="Times New Roman"/>
          <w:sz w:val="24"/>
          <w:szCs w:val="24"/>
        </w:rPr>
        <w:t xml:space="preserve">„10. V § 9a sa vypúšťajú odseky 3 a 4.“. </w:t>
      </w:r>
    </w:p>
    <w:p w:rsidR="006847E8" w:rsidRPr="00A459AE" w:rsidP="006847E8">
      <w:pPr>
        <w:ind w:left="426"/>
        <w:jc w:val="both"/>
      </w:pPr>
      <w:r w:rsidRPr="00A459AE">
        <w:t>Doterajšie odseky 5 a 6 sa označujú ako odseky 3 a 4.”.</w:t>
      </w:r>
    </w:p>
    <w:p w:rsidR="006847E8" w:rsidRPr="00A459AE" w:rsidP="006847E8">
      <w:pPr>
        <w:ind w:left="426"/>
        <w:jc w:val="both"/>
      </w:pPr>
      <w:r w:rsidRPr="00A459AE">
        <w:t>Doterajšie body 10 až 15 je potrebné primerane prečíslovať.</w:t>
      </w:r>
    </w:p>
    <w:p w:rsidR="006847E8" w:rsidRPr="00A459AE" w:rsidP="006847E8">
      <w:pPr>
        <w:tabs>
          <w:tab w:val="left" w:pos="4820"/>
          <w:tab w:val="left" w:pos="4962"/>
        </w:tabs>
        <w:ind w:left="4820"/>
        <w:jc w:val="both"/>
        <w:rPr>
          <w:iCs/>
          <w:u w:val="single"/>
        </w:rPr>
      </w:pPr>
    </w:p>
    <w:p w:rsidR="006847E8" w:rsidRPr="00A459AE" w:rsidP="006847E8">
      <w:pPr>
        <w:tabs>
          <w:tab w:val="left" w:pos="4962"/>
        </w:tabs>
        <w:ind w:left="3969"/>
        <w:jc w:val="both"/>
        <w:rPr>
          <w:iCs/>
        </w:rPr>
      </w:pPr>
      <w:r w:rsidRPr="00A459AE">
        <w:rPr>
          <w:iCs/>
        </w:rPr>
        <w:t>Navrhuje sa upustiť od povinnosti klienta, ktorým je vyšší územný celok a jeho rozpočtové organizácie a príspevkové organizácie, predkladať Štátnej pokladnici rozpočet a jeho úpravy v priebehu roka.</w:t>
      </w:r>
    </w:p>
    <w:p w:rsidR="006847E8" w:rsidRPr="00A459AE" w:rsidP="006847E8">
      <w:pPr>
        <w:ind w:left="4944"/>
        <w:jc w:val="both"/>
      </w:pPr>
    </w:p>
    <w:p w:rsidR="006847E8" w:rsidRPr="00A459AE" w:rsidP="006847E8">
      <w:pPr>
        <w:pStyle w:val="ListParagraph"/>
        <w:numPr>
          <w:ilvl w:val="0"/>
          <w:numId w:val="40"/>
        </w:numPr>
        <w:tabs>
          <w:tab w:val="left" w:pos="426"/>
        </w:tabs>
        <w:spacing w:after="0" w:line="240" w:lineRule="auto"/>
        <w:contextualSpacing w:val="0"/>
        <w:jc w:val="both"/>
        <w:rPr>
          <w:rFonts w:ascii="Times New Roman" w:hAnsi="Times New Roman"/>
          <w:b/>
          <w:sz w:val="24"/>
          <w:szCs w:val="24"/>
        </w:rPr>
      </w:pPr>
      <w:r w:rsidRPr="00A459AE">
        <w:rPr>
          <w:rFonts w:ascii="Times New Roman" w:hAnsi="Times New Roman"/>
          <w:b/>
          <w:color w:val="000000"/>
          <w:sz w:val="24"/>
          <w:szCs w:val="24"/>
        </w:rPr>
        <w:t>K čl. IV doterajší bod 10</w:t>
      </w:r>
      <w:r w:rsidRPr="00A459AE">
        <w:rPr>
          <w:rFonts w:ascii="Times New Roman" w:hAnsi="Times New Roman"/>
          <w:b/>
          <w:sz w:val="24"/>
          <w:szCs w:val="24"/>
        </w:rPr>
        <w:t xml:space="preserve"> znie: </w:t>
      </w:r>
    </w:p>
    <w:p w:rsidR="006847E8" w:rsidRPr="00A459AE" w:rsidP="006847E8">
      <w:pPr>
        <w:pStyle w:val="ListParagraph"/>
        <w:tabs>
          <w:tab w:val="left" w:pos="426"/>
        </w:tabs>
        <w:spacing w:after="0" w:line="240" w:lineRule="auto"/>
        <w:ind w:left="426"/>
        <w:jc w:val="both"/>
        <w:rPr>
          <w:rFonts w:ascii="Times New Roman" w:hAnsi="Times New Roman"/>
          <w:sz w:val="24"/>
          <w:szCs w:val="24"/>
        </w:rPr>
      </w:pPr>
      <w:r w:rsidRPr="00A459AE">
        <w:rPr>
          <w:rFonts w:ascii="Times New Roman" w:hAnsi="Times New Roman"/>
          <w:sz w:val="24"/>
          <w:szCs w:val="24"/>
        </w:rPr>
        <w:t>„10. V § 9a odsek 3 znie:</w:t>
      </w:r>
    </w:p>
    <w:p w:rsidR="006847E8" w:rsidRPr="00A459AE" w:rsidP="006847E8">
      <w:pPr>
        <w:pStyle w:val="ListParagraph"/>
        <w:tabs>
          <w:tab w:val="left" w:pos="426"/>
        </w:tabs>
        <w:spacing w:after="0" w:line="240" w:lineRule="auto"/>
        <w:ind w:left="426"/>
        <w:jc w:val="both"/>
        <w:rPr>
          <w:rFonts w:ascii="Times New Roman" w:hAnsi="Times New Roman"/>
          <w:sz w:val="24"/>
          <w:szCs w:val="24"/>
        </w:rPr>
      </w:pPr>
      <w:r w:rsidRPr="00A459AE">
        <w:rPr>
          <w:rFonts w:ascii="Times New Roman" w:hAnsi="Times New Roman"/>
          <w:sz w:val="24"/>
          <w:szCs w:val="24"/>
        </w:rPr>
        <w:t>„(3) Klient predkladá Štátnej pokladnici žiadosť o realizáciu platobnej operácie v lehote dohodnutej so Štátnou pokladnicou. Žiadosť o realizáciu platobnej operácie obsahuje najmä lehotu splatnosti, objem platobnej operácie a zúčtovacie údaje. Klient môže od Štátnej pokladnice požadovať realizáciu výdavku, iba ak Štátna pokladnica odsúhlasila žiadosť o realizáciu platobnej operácie. Deň odpísania finančných prostriedkov z účtu v žiadosti o realizáciu platobnej operácie uvádza ako deň splatnosti.“.“.</w:t>
      </w:r>
    </w:p>
    <w:p w:rsidR="006847E8" w:rsidRPr="00A459AE" w:rsidP="006847E8">
      <w:pPr>
        <w:pStyle w:val="ListParagraph"/>
        <w:tabs>
          <w:tab w:val="left" w:pos="426"/>
        </w:tabs>
        <w:spacing w:after="0" w:line="240" w:lineRule="auto"/>
        <w:ind w:left="426"/>
        <w:jc w:val="both"/>
        <w:rPr>
          <w:rFonts w:ascii="Times New Roman" w:hAnsi="Times New Roman"/>
          <w:sz w:val="24"/>
          <w:szCs w:val="24"/>
        </w:rPr>
      </w:pPr>
    </w:p>
    <w:p w:rsidR="006847E8" w:rsidRPr="00A459AE" w:rsidP="006847E8">
      <w:pPr>
        <w:ind w:left="3969"/>
        <w:jc w:val="both"/>
        <w:rPr>
          <w:iCs/>
        </w:rPr>
      </w:pPr>
      <w:r w:rsidRPr="00A459AE">
        <w:rPr>
          <w:iCs/>
        </w:rPr>
        <w:t>Úpravou sa ruší povinnosť pre klienta, ktorým je vyšší územný celok a jeho rozpočtové organizácie a príspevkové organizácie, uvádzať v rámci žiadosti o realizáciu platobnej operácie rozpočtovú klasifikáciu. Zmena ustanovenia nadväzuje na úpravu, ktorou sa ruší povinnosť predkladať rozpočet a jeho zmeny.</w:t>
      </w:r>
    </w:p>
    <w:p w:rsidR="006847E8" w:rsidRPr="00A459AE" w:rsidP="006847E8">
      <w:pPr>
        <w:pStyle w:val="ListParagraph"/>
        <w:tabs>
          <w:tab w:val="left" w:pos="284"/>
        </w:tabs>
        <w:spacing w:after="0" w:line="240" w:lineRule="auto"/>
        <w:jc w:val="both"/>
        <w:rPr>
          <w:rFonts w:ascii="Times New Roman" w:hAnsi="Times New Roman"/>
          <w:sz w:val="24"/>
          <w:szCs w:val="24"/>
        </w:rPr>
      </w:pPr>
    </w:p>
    <w:p w:rsidR="006847E8" w:rsidRPr="00A459AE" w:rsidP="006847E8">
      <w:pPr>
        <w:pStyle w:val="ListParagraph"/>
        <w:numPr>
          <w:ilvl w:val="0"/>
          <w:numId w:val="40"/>
        </w:numPr>
        <w:spacing w:after="0" w:line="240" w:lineRule="auto"/>
        <w:contextualSpacing w:val="0"/>
        <w:jc w:val="both"/>
        <w:rPr>
          <w:rFonts w:ascii="Times New Roman" w:hAnsi="Times New Roman"/>
          <w:b/>
          <w:sz w:val="24"/>
          <w:szCs w:val="24"/>
        </w:rPr>
      </w:pPr>
      <w:r w:rsidRPr="00A459AE">
        <w:rPr>
          <w:rFonts w:ascii="Times New Roman" w:hAnsi="Times New Roman"/>
          <w:b/>
          <w:color w:val="000000"/>
          <w:sz w:val="24"/>
          <w:szCs w:val="24"/>
        </w:rPr>
        <w:t>K čl. IV doterajší bod 12</w:t>
      </w:r>
      <w:r w:rsidRPr="00A459AE">
        <w:rPr>
          <w:rFonts w:ascii="Times New Roman" w:hAnsi="Times New Roman"/>
          <w:b/>
          <w:sz w:val="24"/>
          <w:szCs w:val="24"/>
        </w:rPr>
        <w:t xml:space="preserve"> znie: </w:t>
      </w:r>
    </w:p>
    <w:p w:rsidR="006847E8" w:rsidRPr="00A459AE" w:rsidP="006847E8">
      <w:pPr>
        <w:pStyle w:val="ListParagraph"/>
        <w:tabs>
          <w:tab w:val="left" w:pos="426"/>
        </w:tabs>
        <w:spacing w:after="0" w:line="240" w:lineRule="auto"/>
        <w:ind w:left="426"/>
        <w:jc w:val="both"/>
        <w:rPr>
          <w:rFonts w:ascii="Times New Roman" w:hAnsi="Times New Roman"/>
          <w:sz w:val="24"/>
          <w:szCs w:val="24"/>
        </w:rPr>
      </w:pPr>
      <w:r w:rsidRPr="00A459AE">
        <w:rPr>
          <w:rFonts w:ascii="Times New Roman" w:hAnsi="Times New Roman"/>
          <w:sz w:val="24"/>
          <w:szCs w:val="24"/>
        </w:rPr>
        <w:t>„12. V § 12 ods. 1 písmeno e) znie:</w:t>
      </w:r>
    </w:p>
    <w:p w:rsidR="006847E8" w:rsidRPr="00A459AE" w:rsidP="006847E8">
      <w:pPr>
        <w:pStyle w:val="ListParagraph"/>
        <w:tabs>
          <w:tab w:val="left" w:pos="426"/>
        </w:tabs>
        <w:spacing w:after="0" w:line="240" w:lineRule="auto"/>
        <w:ind w:left="426"/>
        <w:jc w:val="both"/>
        <w:rPr>
          <w:rFonts w:ascii="Times New Roman" w:hAnsi="Times New Roman"/>
          <w:sz w:val="24"/>
          <w:szCs w:val="24"/>
        </w:rPr>
      </w:pPr>
      <w:r w:rsidRPr="00A459AE">
        <w:rPr>
          <w:rFonts w:ascii="Times New Roman" w:hAnsi="Times New Roman"/>
          <w:sz w:val="24"/>
          <w:szCs w:val="24"/>
        </w:rPr>
        <w:t xml:space="preserve">„e) zriaďovať účty výlučne v Štátnej pokladnici, okrem </w:t>
      </w:r>
    </w:p>
    <w:p w:rsidR="006847E8" w:rsidRPr="00A459AE" w:rsidP="006847E8">
      <w:pPr>
        <w:pStyle w:val="ListParagraph"/>
        <w:numPr>
          <w:ilvl w:val="0"/>
          <w:numId w:val="39"/>
        </w:numPr>
        <w:tabs>
          <w:tab w:val="left" w:pos="709"/>
        </w:tabs>
        <w:spacing w:after="0" w:line="240" w:lineRule="auto"/>
        <w:contextualSpacing w:val="0"/>
        <w:jc w:val="both"/>
        <w:rPr>
          <w:rFonts w:ascii="Times New Roman" w:hAnsi="Times New Roman"/>
          <w:sz w:val="24"/>
          <w:szCs w:val="24"/>
          <w:u w:val="single"/>
        </w:rPr>
      </w:pPr>
      <w:r w:rsidRPr="00A459AE">
        <w:rPr>
          <w:rFonts w:ascii="Times New Roman" w:hAnsi="Times New Roman"/>
          <w:sz w:val="24"/>
          <w:szCs w:val="24"/>
        </w:rPr>
        <w:t xml:space="preserve">účtu, na ktorom je vedený úver a ktorého zriadenie alebo vedenie je podmienkou úverového vzťahu, </w:t>
      </w:r>
    </w:p>
    <w:p w:rsidR="006847E8" w:rsidRPr="00A459AE" w:rsidP="006847E8">
      <w:pPr>
        <w:pStyle w:val="ListParagraph"/>
        <w:numPr>
          <w:ilvl w:val="0"/>
          <w:numId w:val="39"/>
        </w:numPr>
        <w:tabs>
          <w:tab w:val="left" w:pos="709"/>
        </w:tabs>
        <w:spacing w:after="0" w:line="240" w:lineRule="auto"/>
        <w:contextualSpacing w:val="0"/>
        <w:jc w:val="both"/>
        <w:rPr>
          <w:rFonts w:ascii="Times New Roman" w:hAnsi="Times New Roman"/>
          <w:sz w:val="24"/>
          <w:szCs w:val="24"/>
          <w:u w:val="single"/>
        </w:rPr>
      </w:pPr>
      <w:r w:rsidRPr="00A459AE">
        <w:rPr>
          <w:rFonts w:ascii="Times New Roman" w:hAnsi="Times New Roman"/>
          <w:sz w:val="24"/>
          <w:szCs w:val="24"/>
        </w:rPr>
        <w:t xml:space="preserve">osobitného účtu, ktorý je zriadený za účelom správy finančných prostriedkov klientov zariadení pre seniorov a domovov sociálnych služieb, </w:t>
      </w:r>
    </w:p>
    <w:p w:rsidR="006847E8" w:rsidRPr="00A459AE" w:rsidP="006847E8">
      <w:pPr>
        <w:pStyle w:val="ListParagraph"/>
        <w:numPr>
          <w:ilvl w:val="0"/>
          <w:numId w:val="39"/>
        </w:numPr>
        <w:tabs>
          <w:tab w:val="left" w:pos="709"/>
        </w:tabs>
        <w:spacing w:after="0" w:line="240" w:lineRule="auto"/>
        <w:contextualSpacing w:val="0"/>
        <w:jc w:val="both"/>
        <w:rPr>
          <w:rFonts w:ascii="Times New Roman" w:hAnsi="Times New Roman"/>
          <w:sz w:val="24"/>
          <w:szCs w:val="24"/>
          <w:u w:val="single"/>
        </w:rPr>
      </w:pPr>
      <w:r w:rsidRPr="00A459AE">
        <w:rPr>
          <w:rFonts w:ascii="Times New Roman" w:hAnsi="Times New Roman"/>
          <w:sz w:val="24"/>
          <w:szCs w:val="24"/>
        </w:rPr>
        <w:t xml:space="preserve">osobitného účtu vyššieho územného celku, ktorý je zriadený za účelom správy finančných prostriedkov poskytnutých inými právnickými osobami slúžiacich na riešenie mimoriadnych udalostí,“.“.  </w:t>
      </w:r>
    </w:p>
    <w:p w:rsidR="006847E8" w:rsidRPr="00A459AE" w:rsidP="006847E8">
      <w:pPr>
        <w:jc w:val="both"/>
      </w:pPr>
    </w:p>
    <w:p w:rsidR="006847E8" w:rsidRPr="00A459AE" w:rsidP="006847E8">
      <w:pPr>
        <w:tabs>
          <w:tab w:val="left" w:pos="4962"/>
        </w:tabs>
        <w:ind w:left="3969"/>
        <w:jc w:val="both"/>
        <w:rPr>
          <w:b/>
        </w:rPr>
      </w:pPr>
      <w:r w:rsidRPr="00A459AE">
        <w:rPr>
          <w:iCs/>
        </w:rPr>
        <w:t xml:space="preserve">Navrhuje sa zaviesť výnimka vo vzťahu k povinnosti vedenia účtov klientov výlučne v Štátnej pokladnici. Výnimka sa týka  účtov, ktoré má klient zriadené mimo Štátnej pokladnice z dôvodu vedenia evidencie zostatku úveru, resp. jeho splácania a ďalej tiež o účty, na ktorých klient spravuje cudzie prostriedky a o ktorých zároveň vedie oddelenú evidenciu a účtovníctvo. </w:t>
      </w:r>
    </w:p>
    <w:p w:rsidR="006847E8" w:rsidRPr="00A459AE" w:rsidP="006847E8">
      <w:pPr>
        <w:jc w:val="both"/>
        <w:rPr>
          <w:b/>
        </w:rPr>
      </w:pPr>
    </w:p>
    <w:p w:rsidR="006847E8" w:rsidRPr="00A459AE" w:rsidP="006847E8">
      <w:pPr>
        <w:pStyle w:val="BodyText"/>
        <w:numPr>
          <w:ilvl w:val="0"/>
          <w:numId w:val="40"/>
        </w:numPr>
        <w:spacing w:after="0"/>
        <w:rPr>
          <w:b/>
        </w:rPr>
      </w:pPr>
      <w:r w:rsidRPr="00A459AE">
        <w:rPr>
          <w:b/>
        </w:rPr>
        <w:t>K čl. V za doterajší bod 2 sa vkladá nový bod 3, ktorý znie:</w:t>
      </w:r>
    </w:p>
    <w:p w:rsidR="006847E8" w:rsidRPr="00A459AE" w:rsidP="006847E8">
      <w:pPr>
        <w:pStyle w:val="BodyText"/>
        <w:spacing w:after="0"/>
        <w:ind w:firstLine="426"/>
      </w:pPr>
      <w:r w:rsidRPr="00A459AE">
        <w:t>„3. V § 63e ods. 1 sa slová „6 %“ nahrádzajú slovami „8 %“ a vypúšťa sa druhá veta.“.</w:t>
      </w:r>
    </w:p>
    <w:p w:rsidR="006847E8" w:rsidRPr="00A459AE" w:rsidP="006847E8">
      <w:pPr>
        <w:pStyle w:val="BodyText"/>
        <w:spacing w:after="0"/>
      </w:pPr>
    </w:p>
    <w:p w:rsidR="006847E8" w:rsidRPr="00A459AE" w:rsidP="006847E8">
      <w:pPr>
        <w:pStyle w:val="BodyText"/>
        <w:spacing w:after="0"/>
        <w:ind w:firstLine="426"/>
      </w:pPr>
      <w:r w:rsidRPr="00A459AE">
        <w:t>Doterajšie body 3 a 4 sa označujú ako body 4 a 5.</w:t>
      </w:r>
    </w:p>
    <w:p w:rsidR="006847E8" w:rsidRPr="00A459AE" w:rsidP="006847E8">
      <w:pPr>
        <w:pStyle w:val="BodyText"/>
        <w:spacing w:after="0"/>
        <w:rPr>
          <w:b/>
        </w:rPr>
      </w:pPr>
    </w:p>
    <w:p w:rsidR="006847E8" w:rsidRPr="00A459AE" w:rsidP="006847E8">
      <w:pPr>
        <w:pStyle w:val="BodyText3"/>
        <w:tabs>
          <w:tab w:val="left" w:pos="3969"/>
        </w:tabs>
        <w:spacing w:after="0"/>
        <w:ind w:left="3969"/>
        <w:jc w:val="both"/>
        <w:rPr>
          <w:sz w:val="24"/>
          <w:szCs w:val="24"/>
        </w:rPr>
      </w:pPr>
      <w:r w:rsidRPr="00A459AE">
        <w:rPr>
          <w:sz w:val="24"/>
          <w:szCs w:val="24"/>
        </w:rPr>
        <w:t>Nakoľko sa umožňuje, aby uzatváranie zmlúv o starobnom dôchodkovom sporení sprostredkúvali finanční agenti, ktorými môžu byť aj samostatne zárobkovo činné osoby, zvyšuje sa limit pre výdavky na zmluvu o starobnom dôchodkovom sporení ako kompenzácia za vypustenie druhej vety dotknutého ustanovenia, t.j. že do výdavku sa nezapočítava odvod zamestnávateľa, ak činnosť vedúcu k uzavretiu zmluvy vykonal zamestnanec dôchodkovej správcovskej spoločnosti. Tým sa eliminuje nepomer medzi čistou odmenou vyplatenou zamestnancovi dôchodkovej správcovskej spoločnosti a finančnému agentovi (náklad na uzavretie zmluvy v podobe odmeny) za rovnakú činnosť hoci v rôznom postavení.</w:t>
      </w:r>
    </w:p>
    <w:p w:rsidR="006847E8" w:rsidRPr="00A459AE" w:rsidP="006847E8">
      <w:pPr>
        <w:jc w:val="both"/>
      </w:pPr>
    </w:p>
    <w:p w:rsidR="006847E8" w:rsidRPr="00A459AE" w:rsidP="006847E8">
      <w:pPr>
        <w:numPr>
          <w:ilvl w:val="0"/>
          <w:numId w:val="40"/>
        </w:numPr>
        <w:autoSpaceDE w:val="0"/>
        <w:autoSpaceDN w:val="0"/>
        <w:adjustRightInd w:val="0"/>
        <w:rPr>
          <w:color w:val="000000"/>
        </w:rPr>
      </w:pPr>
      <w:r w:rsidRPr="00A459AE">
        <w:rPr>
          <w:b/>
          <w:color w:val="000000"/>
        </w:rPr>
        <w:t>K čl. V doterajšom bode 4</w:t>
      </w:r>
      <w:r w:rsidRPr="00A459AE">
        <w:rPr>
          <w:color w:val="000000"/>
        </w:rPr>
        <w:t xml:space="preserve"> sa slová „31.decembra 2013“  nahrádzajú slovami „30. júna 2014“.</w:t>
      </w:r>
    </w:p>
    <w:p w:rsidR="006847E8" w:rsidRPr="00A459AE" w:rsidP="006847E8">
      <w:pPr>
        <w:pStyle w:val="NormalWeb"/>
        <w:ind w:left="3969"/>
        <w:jc w:val="both"/>
        <w:rPr>
          <w:color w:val="000000"/>
        </w:rPr>
      </w:pPr>
      <w:r w:rsidRPr="00A459AE">
        <w:rPr>
          <w:color w:val="000000"/>
        </w:rPr>
        <w:t xml:space="preserve">Necelý polrok  na kompletnú zmenu systému sprostredkovania zmlúv je neprimerane krátky na rozsah krokov nevyhnutných na zosúladenie činnosti doplnkových správcovských spoločností so zákonom č. 186/2009 Z. z. o finančnom sprostredkovaní a finančnom poradenstve. Uvedené predĺženie vychádza aj zo skúseností pri zmene systému sprostredkovania pri poistných produktoch resp. sprostredkovaní zmlúv III. piliera. </w:t>
      </w:r>
    </w:p>
    <w:p w:rsidR="006847E8" w:rsidRPr="00A459AE" w:rsidP="006847E8">
      <w:pPr>
        <w:jc w:val="both"/>
        <w:rPr>
          <w:b/>
        </w:rPr>
      </w:pPr>
    </w:p>
    <w:p w:rsidR="006847E8" w:rsidP="006847E8">
      <w:pPr>
        <w:jc w:val="both"/>
        <w:rPr>
          <w:b/>
        </w:rPr>
      </w:pPr>
    </w:p>
    <w:p w:rsidR="00C17C9F" w:rsidP="006847E8">
      <w:pPr>
        <w:jc w:val="both"/>
        <w:rPr>
          <w:b/>
        </w:rPr>
      </w:pPr>
    </w:p>
    <w:p w:rsidR="00C17C9F" w:rsidP="006847E8">
      <w:pPr>
        <w:jc w:val="both"/>
        <w:rPr>
          <w:b/>
        </w:rPr>
      </w:pPr>
    </w:p>
    <w:p w:rsidR="00C17C9F" w:rsidP="006847E8">
      <w:pPr>
        <w:jc w:val="both"/>
        <w:rPr>
          <w:b/>
        </w:rPr>
      </w:pPr>
    </w:p>
    <w:p w:rsidR="00C17C9F" w:rsidP="006847E8">
      <w:pPr>
        <w:jc w:val="both"/>
        <w:rPr>
          <w:b/>
        </w:rPr>
      </w:pPr>
    </w:p>
    <w:p w:rsidR="00C17C9F" w:rsidRPr="00C17C9F" w:rsidP="00C17C9F">
      <w:pPr>
        <w:pStyle w:val="ListParagraph"/>
        <w:numPr>
          <w:ilvl w:val="0"/>
          <w:numId w:val="40"/>
        </w:numPr>
        <w:spacing w:after="0" w:line="240" w:lineRule="auto"/>
        <w:jc w:val="both"/>
        <w:rPr>
          <w:rFonts w:ascii="Times New Roman" w:hAnsi="Times New Roman"/>
          <w:b/>
          <w:sz w:val="24"/>
          <w:szCs w:val="24"/>
        </w:rPr>
      </w:pPr>
      <w:r w:rsidRPr="00C17C9F">
        <w:rPr>
          <w:rFonts w:ascii="Times New Roman" w:hAnsi="Times New Roman"/>
          <w:b/>
          <w:sz w:val="24"/>
          <w:szCs w:val="24"/>
        </w:rPr>
        <w:t xml:space="preserve">K čl. VI  4. bodu - § 1 ods. 3 písm. c) </w:t>
      </w:r>
    </w:p>
    <w:p w:rsidR="00C17C9F" w:rsidP="00C17C9F">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 xml:space="preserve">        V § 1 ods. 3 písm. c) </w:t>
      </w:r>
      <w:r w:rsidRPr="0027038A">
        <w:rPr>
          <w:rFonts w:ascii="Times New Roman" w:hAnsi="Times New Roman"/>
          <w:sz w:val="24"/>
          <w:szCs w:val="24"/>
        </w:rPr>
        <w:t>sa za slová „podania klientov</w:t>
      </w:r>
      <w:r>
        <w:rPr>
          <w:rFonts w:ascii="Times New Roman" w:hAnsi="Times New Roman"/>
          <w:sz w:val="24"/>
          <w:szCs w:val="24"/>
        </w:rPr>
        <w:t>“</w:t>
      </w:r>
      <w:r w:rsidRPr="0027038A">
        <w:rPr>
          <w:rFonts w:ascii="Times New Roman" w:hAnsi="Times New Roman"/>
          <w:sz w:val="24"/>
          <w:szCs w:val="24"/>
        </w:rPr>
        <w:t xml:space="preserve"> vkladajú slová „dohliadaných </w:t>
      </w:r>
      <w:r>
        <w:rPr>
          <w:rFonts w:ascii="Times New Roman" w:hAnsi="Times New Roman"/>
          <w:sz w:val="24"/>
          <w:szCs w:val="24"/>
        </w:rPr>
        <w:t xml:space="preserve"> </w:t>
      </w:r>
    </w:p>
    <w:p w:rsidR="00C17C9F" w:rsidP="00C17C9F">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27038A">
        <w:rPr>
          <w:rFonts w:ascii="Times New Roman" w:hAnsi="Times New Roman"/>
          <w:sz w:val="24"/>
          <w:szCs w:val="24"/>
        </w:rPr>
        <w:t>subjektov</w:t>
      </w:r>
      <w:r>
        <w:rPr>
          <w:rFonts w:ascii="Times New Roman" w:hAnsi="Times New Roman"/>
          <w:sz w:val="24"/>
          <w:szCs w:val="24"/>
        </w:rPr>
        <w:t>“</w:t>
      </w:r>
      <w:r w:rsidRPr="0027038A">
        <w:rPr>
          <w:rFonts w:ascii="Times New Roman" w:hAnsi="Times New Roman"/>
          <w:sz w:val="24"/>
          <w:szCs w:val="24"/>
        </w:rPr>
        <w:t>.</w:t>
      </w:r>
    </w:p>
    <w:p w:rsidR="00C17C9F" w:rsidP="00C17C9F">
      <w:pPr>
        <w:pStyle w:val="ListParagraph"/>
        <w:spacing w:after="0" w:line="240" w:lineRule="auto"/>
        <w:ind w:left="3402"/>
        <w:jc w:val="both"/>
        <w:rPr>
          <w:rFonts w:ascii="Times New Roman" w:hAnsi="Times New Roman"/>
          <w:sz w:val="24"/>
          <w:szCs w:val="24"/>
        </w:rPr>
      </w:pPr>
      <w:r w:rsidRPr="00E17951">
        <w:rPr>
          <w:rFonts w:ascii="Times New Roman" w:hAnsi="Times New Roman"/>
          <w:sz w:val="24"/>
          <w:szCs w:val="24"/>
        </w:rPr>
        <w:t>Ide o pojmové spresnenie  navrhovaného znenia § 1 ods. 3 písm. c).</w:t>
      </w:r>
    </w:p>
    <w:p w:rsidR="00C17C9F" w:rsidRPr="00194EF1" w:rsidP="00C17C9F">
      <w:pPr>
        <w:jc w:val="both"/>
      </w:pPr>
    </w:p>
    <w:p w:rsidR="00C17C9F" w:rsidP="006847E8">
      <w:pPr>
        <w:jc w:val="both"/>
        <w:rPr>
          <w:b/>
        </w:rPr>
      </w:pPr>
    </w:p>
    <w:p w:rsidR="00C17C9F" w:rsidRPr="00A459AE" w:rsidP="006847E8">
      <w:pPr>
        <w:jc w:val="both"/>
        <w:rPr>
          <w:b/>
        </w:rPr>
      </w:pPr>
    </w:p>
    <w:p w:rsidR="006847E8" w:rsidRPr="00A459AE" w:rsidP="006847E8">
      <w:pPr>
        <w:numPr>
          <w:ilvl w:val="0"/>
          <w:numId w:val="40"/>
        </w:numPr>
        <w:jc w:val="both"/>
        <w:rPr>
          <w:b/>
        </w:rPr>
      </w:pPr>
      <w:r w:rsidRPr="00A459AE">
        <w:rPr>
          <w:b/>
        </w:rPr>
        <w:t>K Čl. VII v uvádzacej vete</w:t>
      </w:r>
      <w:r w:rsidRPr="00A459AE">
        <w:t xml:space="preserve"> sa za slovo „mení“ vkladajú slová „a dopĺňa“ a v článku VII sa doterajší text označuje ako bod 1 a dopĺňa sa nový bod 2, ktorý znie:</w:t>
      </w:r>
    </w:p>
    <w:p w:rsidR="006847E8" w:rsidRPr="00A459AE" w:rsidP="006847E8">
      <w:pPr>
        <w:jc w:val="both"/>
      </w:pPr>
    </w:p>
    <w:p w:rsidR="006847E8" w:rsidRPr="00A459AE" w:rsidP="006847E8">
      <w:pPr>
        <w:jc w:val="both"/>
      </w:pPr>
      <w:r w:rsidRPr="00A459AE">
        <w:t>„2. V § 27 sa na konci bodka nahrádza čiarkou a pripájajú sa tieto slová: „ak osobitný zákon neustanovuje inak.</w:t>
      </w:r>
      <w:r w:rsidRPr="00A459AE">
        <w:rPr>
          <w:vertAlign w:val="superscript"/>
        </w:rPr>
        <w:t>30</w:t>
      </w:r>
      <w:r w:rsidRPr="00A459AE">
        <w:t>)“.</w:t>
      </w:r>
    </w:p>
    <w:p w:rsidR="006847E8" w:rsidRPr="00A459AE" w:rsidP="006847E8">
      <w:pPr>
        <w:jc w:val="both"/>
      </w:pPr>
    </w:p>
    <w:p w:rsidR="006847E8" w:rsidRPr="00A459AE" w:rsidP="006847E8">
      <w:pPr>
        <w:jc w:val="both"/>
      </w:pPr>
      <w:r w:rsidRPr="00A459AE">
        <w:t>Poznámka pod čiarou k odkazu 30 znie:</w:t>
      </w:r>
    </w:p>
    <w:p w:rsidR="006847E8" w:rsidRPr="00A459AE" w:rsidP="006847E8">
      <w:pPr>
        <w:jc w:val="both"/>
      </w:pPr>
      <w:r w:rsidRPr="00A459AE">
        <w:t>„</w:t>
      </w:r>
      <w:r w:rsidRPr="00A459AE">
        <w:rPr>
          <w:vertAlign w:val="superscript"/>
        </w:rPr>
        <w:t>30</w:t>
      </w:r>
      <w:r w:rsidRPr="00A459AE">
        <w:t>) § 12 až 34 a § 38 zákona č. 747/2004 Z. z. v znení neskorších predpisov.“.“.</w:t>
      </w:r>
    </w:p>
    <w:p w:rsidR="006847E8" w:rsidRPr="00A459AE" w:rsidP="006847E8">
      <w:pPr>
        <w:jc w:val="both"/>
      </w:pPr>
    </w:p>
    <w:p w:rsidR="006847E8" w:rsidRPr="00A459AE" w:rsidP="006847E8">
      <w:pPr>
        <w:jc w:val="both"/>
      </w:pPr>
    </w:p>
    <w:p w:rsidR="006847E8" w:rsidRPr="00A459AE" w:rsidP="006847E8">
      <w:pPr>
        <w:ind w:left="3969"/>
        <w:jc w:val="both"/>
      </w:pPr>
      <w:r w:rsidRPr="00A459AE">
        <w:t xml:space="preserve">Navrhuje sa doplnenie § 27 zákona č. 250/2007 Z. z. o ochrane spotrebiteľa v znení neskorších predpisov tak, aby všetky konania proti dohliadaným subjektom finančného trhu patriace do pôsobnosti Národnej banky Slovenska (vrátane konaní vo veciach ochrany spotrebiteľov pri finančných službách na diaľku podľa zákona č. 266/2005 Z. z.) sa procesne uskutočňovali podľa ustanovení § 12 až 34 a § 38 zákona č. 747/2004 Z. z. o dohľade nad finančným trhom v znení neskorších predpisov, čím sa prispieva k zdokonaleniu legislatívnych predpokladov na zabezpečenie procesne unifikovaného a tým efektívnejšieho a účinnejšieho výkonu dohľadu nad dohliadanými subjektmi finančného trhu a zároveň k efektívnejšiemu a účinnejšiemu plneniu úloh Národnej banky Slovenska ako účastníka Európskeho systému finančného dohľadu. V tejto súvislosti možno okrem iného poukázať taktiež na skutočnosť, že napríklad aj poriadkové opatrenia podľa § 38 zákona o dohľade nad finančným trhom sú efektívnejšie ako poriadkové opatrenia podľa § 24 ods. 3 zákona č. 250/2007 Z. z. v znení neskorších predpisov. </w:t>
      </w:r>
    </w:p>
    <w:p w:rsidR="006847E8" w:rsidRPr="00A459AE" w:rsidP="006847E8">
      <w:pPr>
        <w:pStyle w:val="BodyText"/>
        <w:spacing w:after="0"/>
        <w:jc w:val="both"/>
        <w:rPr>
          <w:b/>
          <w:bCs w:val="0"/>
        </w:rPr>
      </w:pPr>
    </w:p>
    <w:p w:rsidR="006847E8" w:rsidRPr="00A459AE" w:rsidP="006847E8">
      <w:pPr>
        <w:numPr>
          <w:ilvl w:val="0"/>
          <w:numId w:val="40"/>
        </w:numPr>
        <w:rPr>
          <w:b/>
        </w:rPr>
      </w:pPr>
      <w:r w:rsidRPr="00A459AE">
        <w:rPr>
          <w:b/>
        </w:rPr>
        <w:t>K Čl. VIII za doterajší bod 6 sa vkladá nový bod 7, ktorý znie:</w:t>
      </w:r>
    </w:p>
    <w:p w:rsidR="006847E8" w:rsidRPr="00A459AE" w:rsidP="006847E8">
      <w:pPr>
        <w:ind w:left="426"/>
        <w:jc w:val="both"/>
      </w:pPr>
      <w:r w:rsidRPr="00A459AE">
        <w:t>„7. V § 34 ods. 4 písm. c) sa za slová „holdingovej inštitúcii“ vkladá čiarka a slová „zmiešanej finančnej holdingovej spoločnosti podľa § 53 písm. e)“.</w:t>
      </w:r>
    </w:p>
    <w:p w:rsidR="006847E8" w:rsidRPr="00A459AE" w:rsidP="006847E8">
      <w:pPr>
        <w:jc w:val="both"/>
      </w:pPr>
    </w:p>
    <w:p w:rsidR="006847E8" w:rsidRPr="00A459AE" w:rsidP="006847E8">
      <w:pPr>
        <w:ind w:firstLine="426"/>
        <w:jc w:val="both"/>
      </w:pPr>
      <w:r w:rsidRPr="00A459AE">
        <w:t>Doterajšie body 7 až 34 je potrebné primerane prečíslovať.</w:t>
      </w:r>
    </w:p>
    <w:p w:rsidR="006847E8" w:rsidRPr="00A459AE" w:rsidP="006847E8">
      <w:pPr>
        <w:jc w:val="both"/>
      </w:pPr>
    </w:p>
    <w:p w:rsidR="006847E8" w:rsidRPr="00A459AE" w:rsidP="006847E8">
      <w:pPr>
        <w:ind w:left="3969"/>
        <w:jc w:val="both"/>
      </w:pPr>
      <w:r w:rsidRPr="00A459AE">
        <w:t xml:space="preserve">Úprava súvisí s transpozíciou smernice EP a Rady 2011/89/EÚ, ktorou sa menia a dopĺňajú smernice 98/78/ES, 2002/87/ES, 2006/48/ES a 2009/138/ES, pokiaľ ide o doplnkový dohľad nad finančnými inštitúciami vo finančnom konglomeráte, pričom sa rozširuje okruh osôb o zmiešanú finančnú holdingovú spoločnosť v súvislosti s výkonom dohľadu na konsolidovanom základe. </w:t>
      </w:r>
    </w:p>
    <w:p w:rsidR="006847E8" w:rsidRPr="00A459AE" w:rsidP="006847E8">
      <w:pPr>
        <w:ind w:left="3969"/>
        <w:jc w:val="both"/>
      </w:pPr>
    </w:p>
    <w:p w:rsidR="006847E8" w:rsidRPr="00A459AE" w:rsidP="006847E8">
      <w:pPr>
        <w:ind w:left="3969"/>
        <w:jc w:val="both"/>
      </w:pPr>
    </w:p>
    <w:p w:rsidR="006847E8" w:rsidRPr="00A459AE" w:rsidP="006847E8">
      <w:pPr>
        <w:numPr>
          <w:ilvl w:val="0"/>
          <w:numId w:val="40"/>
        </w:numPr>
        <w:tabs>
          <w:tab w:val="left" w:pos="426"/>
        </w:tabs>
        <w:jc w:val="both"/>
        <w:rPr>
          <w:b/>
        </w:rPr>
      </w:pPr>
      <w:r w:rsidRPr="00A459AE">
        <w:rPr>
          <w:b/>
        </w:rPr>
        <w:t>K čl. VIII za doterajší bod 33 sa vkladá nový bod 34, ktorý znie:</w:t>
      </w:r>
    </w:p>
    <w:p w:rsidR="006847E8" w:rsidRPr="00A459AE" w:rsidP="006847E8">
      <w:pPr>
        <w:ind w:left="426"/>
        <w:jc w:val="both"/>
      </w:pPr>
      <w:r w:rsidRPr="00A459AE">
        <w:t>„34. Za § 100 sa vkladá § 100a, ktorý vrátane nadpisu znie:</w:t>
      </w:r>
    </w:p>
    <w:p w:rsidR="006847E8" w:rsidRPr="00A459AE" w:rsidP="006847E8">
      <w:pPr>
        <w:ind w:left="426"/>
        <w:jc w:val="center"/>
      </w:pPr>
    </w:p>
    <w:p w:rsidR="006847E8" w:rsidRPr="00A459AE" w:rsidP="006847E8">
      <w:pPr>
        <w:ind w:left="426"/>
        <w:jc w:val="center"/>
      </w:pPr>
      <w:r w:rsidRPr="00A459AE">
        <w:t>„§ 100a</w:t>
      </w:r>
    </w:p>
    <w:p w:rsidR="006847E8" w:rsidRPr="00A459AE" w:rsidP="006847E8">
      <w:pPr>
        <w:ind w:left="426"/>
        <w:jc w:val="center"/>
      </w:pPr>
      <w:r w:rsidRPr="00A459AE">
        <w:t>Zrušovacie ustanovenie účinné od 10. júna 2013</w:t>
      </w:r>
    </w:p>
    <w:p w:rsidR="006847E8" w:rsidRPr="00A459AE" w:rsidP="006847E8">
      <w:pPr>
        <w:ind w:left="426"/>
        <w:jc w:val="both"/>
      </w:pPr>
    </w:p>
    <w:p w:rsidR="006847E8" w:rsidRPr="00A459AE" w:rsidP="006847E8">
      <w:pPr>
        <w:ind w:left="426"/>
        <w:jc w:val="both"/>
      </w:pPr>
      <w:r w:rsidRPr="00A459AE">
        <w:t>Zrušuje sa opatrenie Národnej banky Slovenska č. 20/2008 o predkladaní poistno-matematických údajov a štatistických údajov poisťovne a pobočky zahraničnej poisťovne (oznámenie č. 455/2008 Z. z.).“.“.</w:t>
      </w:r>
    </w:p>
    <w:p w:rsidR="006847E8" w:rsidRPr="00A459AE" w:rsidP="006847E8">
      <w:pPr>
        <w:ind w:left="426"/>
        <w:jc w:val="both"/>
      </w:pPr>
      <w:r w:rsidRPr="00A459AE">
        <w:tab/>
        <w:tab/>
      </w:r>
    </w:p>
    <w:p w:rsidR="006847E8" w:rsidRPr="00A459AE" w:rsidP="006847E8">
      <w:pPr>
        <w:ind w:left="426"/>
        <w:jc w:val="both"/>
      </w:pPr>
      <w:r w:rsidRPr="00A459AE">
        <w:t>Doterajší bod 34 sa označuje ako bod 35.</w:t>
        <w:tab/>
        <w:tab/>
        <w:tab/>
        <w:tab/>
        <w:tab/>
        <w:tab/>
      </w:r>
    </w:p>
    <w:p w:rsidR="006847E8" w:rsidRPr="00A459AE" w:rsidP="006847E8">
      <w:pPr>
        <w:jc w:val="both"/>
      </w:pPr>
    </w:p>
    <w:p w:rsidR="006847E8" w:rsidRPr="00A459AE" w:rsidP="006847E8">
      <w:pPr>
        <w:ind w:left="3969"/>
        <w:jc w:val="both"/>
      </w:pPr>
      <w:r w:rsidRPr="00A459AE">
        <w:t>Navrhovaná úprava vyplýva zo zákona č. 32/2013 Z. z, ktorým sa mení a dopĺňa zákon č. 365/2004 Z. z. o rovnakom zaobchádzaní v niektorých oblastiach a o ochrane pred diskrimináciou a o zmene a doplnení niektorých zákonov (antidiskriminačný zákon) v znení neskorších predpisov a ktorým sa mení a dopĺňa zákon č. 8/2008 Z. z. o poisťovníctve a o zmene a doplnení niektorých zákonov v znení neskorších predpisov. Uvedená právna úprava ruší povinnosť pre poisťovňu a pobočku zahraničnej poisťovne zhromažďovať a aktualizovať poistno-matematické údaje.</w:t>
      </w:r>
    </w:p>
    <w:p w:rsidR="006847E8" w:rsidP="006847E8">
      <w:pPr>
        <w:pStyle w:val="BodyText"/>
        <w:spacing w:after="0"/>
        <w:jc w:val="both"/>
        <w:rPr>
          <w:b/>
          <w:bCs w:val="0"/>
          <w:iCs/>
          <w:color w:val="000000"/>
        </w:rPr>
      </w:pPr>
    </w:p>
    <w:p w:rsidR="00C17C9F" w:rsidP="006847E8">
      <w:pPr>
        <w:pStyle w:val="BodyText"/>
        <w:spacing w:after="0"/>
        <w:jc w:val="both"/>
        <w:rPr>
          <w:b/>
          <w:bCs w:val="0"/>
          <w:iCs/>
          <w:color w:val="000000"/>
        </w:rPr>
      </w:pPr>
    </w:p>
    <w:p w:rsidR="00C17C9F" w:rsidRPr="00367BAD" w:rsidP="00367BAD">
      <w:pPr>
        <w:pStyle w:val="ListParagraph"/>
        <w:numPr>
          <w:ilvl w:val="0"/>
          <w:numId w:val="40"/>
        </w:numPr>
        <w:spacing w:after="0" w:line="240" w:lineRule="auto"/>
        <w:jc w:val="both"/>
        <w:rPr>
          <w:rFonts w:ascii="Times New Roman" w:hAnsi="Times New Roman"/>
          <w:b/>
          <w:sz w:val="24"/>
          <w:szCs w:val="24"/>
        </w:rPr>
      </w:pPr>
      <w:r w:rsidRPr="00367BAD">
        <w:rPr>
          <w:rFonts w:ascii="Times New Roman" w:hAnsi="Times New Roman"/>
          <w:b/>
          <w:sz w:val="24"/>
          <w:szCs w:val="24"/>
        </w:rPr>
        <w:t>K čl. VIII 34. bodu – Príloha č. 2</w:t>
      </w:r>
    </w:p>
    <w:p w:rsidR="00367BAD" w:rsidP="00367BAD">
      <w:pPr>
        <w:ind w:left="284"/>
        <w:jc w:val="both"/>
      </w:pPr>
      <w:r>
        <w:t xml:space="preserve">        </w:t>
      </w:r>
      <w:r w:rsidRPr="00E17951" w:rsidR="00C17C9F">
        <w:t>V čl. VIII v 34. bode v úvodnej vete  sa číslovka „18</w:t>
      </w:r>
      <w:r w:rsidR="00C17C9F">
        <w:t>“</w:t>
      </w:r>
      <w:r w:rsidRPr="00E17951" w:rsidR="00C17C9F">
        <w:t xml:space="preserve"> nahrádza číslovkou  „17</w:t>
      </w:r>
      <w:r w:rsidR="00C17C9F">
        <w:t>“</w:t>
      </w:r>
      <w:r w:rsidRPr="00E17951" w:rsidR="00C17C9F">
        <w:t xml:space="preserve"> </w:t>
      </w:r>
      <w:r>
        <w:t xml:space="preserve"> </w:t>
      </w:r>
    </w:p>
    <w:p w:rsidR="00C17C9F" w:rsidRPr="00E17951" w:rsidP="00367BAD">
      <w:pPr>
        <w:ind w:left="284"/>
        <w:jc w:val="both"/>
      </w:pPr>
      <w:r w:rsidR="00367BAD">
        <w:t xml:space="preserve">         </w:t>
      </w:r>
      <w:r w:rsidRPr="00E17951">
        <w:t>a označenie bodu 18 sa nahrádza bodom 17.</w:t>
      </w:r>
    </w:p>
    <w:p w:rsidR="00C17C9F" w:rsidP="00367BAD">
      <w:pPr>
        <w:ind w:left="3402"/>
        <w:jc w:val="both"/>
      </w:pPr>
    </w:p>
    <w:p w:rsidR="00C17C9F" w:rsidP="00367BAD">
      <w:pPr>
        <w:ind w:left="3969"/>
        <w:jc w:val="both"/>
      </w:pPr>
      <w:r w:rsidRPr="00E17951">
        <w:t>Návrh vychádza z platného znenia prílohy č. 2 zákona č. 8/2008 Z. z. o poisťovníctve a o zmene a doplnení niektorých zákonov</w:t>
      </w:r>
      <w:r>
        <w:t>, ktoré obsahuje len 16 bodov</w:t>
      </w:r>
      <w:r w:rsidRPr="00E17951">
        <w:t>.</w:t>
      </w:r>
    </w:p>
    <w:p w:rsidR="00C17C9F" w:rsidP="00367BAD">
      <w:pPr>
        <w:pStyle w:val="BodyText"/>
        <w:spacing w:after="0"/>
        <w:jc w:val="both"/>
        <w:rPr>
          <w:b/>
          <w:bCs w:val="0"/>
          <w:iCs/>
          <w:color w:val="000000"/>
        </w:rPr>
      </w:pPr>
    </w:p>
    <w:p w:rsidR="00C17C9F" w:rsidP="00367BAD">
      <w:pPr>
        <w:pStyle w:val="BodyText"/>
        <w:spacing w:after="0"/>
        <w:jc w:val="both"/>
        <w:rPr>
          <w:b/>
          <w:bCs w:val="0"/>
          <w:iCs/>
          <w:color w:val="000000"/>
        </w:rPr>
      </w:pPr>
    </w:p>
    <w:p w:rsidR="006847E8" w:rsidRPr="00A459AE" w:rsidP="006847E8">
      <w:pPr>
        <w:pStyle w:val="BodyText"/>
        <w:numPr>
          <w:ilvl w:val="0"/>
          <w:numId w:val="40"/>
        </w:numPr>
        <w:spacing w:after="0"/>
        <w:jc w:val="both"/>
        <w:rPr>
          <w:b/>
          <w:bCs w:val="0"/>
          <w:iCs/>
          <w:color w:val="000000"/>
        </w:rPr>
      </w:pPr>
      <w:r w:rsidRPr="00A459AE">
        <w:rPr>
          <w:b/>
          <w:bCs w:val="0"/>
          <w:iCs/>
          <w:color w:val="000000"/>
        </w:rPr>
        <w:t>K čl. IX za doterajší bod 5 sa vkladá nový bod 6, ktorý znie:</w:t>
      </w:r>
    </w:p>
    <w:p w:rsidR="006847E8" w:rsidRPr="00A459AE" w:rsidP="006847E8">
      <w:pPr>
        <w:pStyle w:val="BodyText"/>
        <w:spacing w:after="0"/>
        <w:ind w:left="426"/>
        <w:jc w:val="both"/>
        <w:rPr>
          <w:bCs w:val="0"/>
          <w:iCs/>
          <w:color w:val="000000"/>
        </w:rPr>
      </w:pPr>
      <w:r w:rsidRPr="00A459AE">
        <w:rPr>
          <w:bCs w:val="0"/>
          <w:iCs/>
          <w:color w:val="000000"/>
        </w:rPr>
        <w:t>„6. V § 17 ods. 6 sa slová „h), i) a k)“ nahrádzajú slovami „g), h), i) a k)“.</w:t>
      </w:r>
    </w:p>
    <w:p w:rsidR="006847E8" w:rsidRPr="00A459AE" w:rsidP="006847E8">
      <w:pPr>
        <w:pStyle w:val="BodyText"/>
        <w:spacing w:after="0"/>
        <w:ind w:left="284"/>
        <w:jc w:val="both"/>
        <w:rPr>
          <w:b/>
          <w:bCs w:val="0"/>
          <w:iCs/>
          <w:color w:val="000000"/>
        </w:rPr>
      </w:pPr>
    </w:p>
    <w:p w:rsidR="006847E8" w:rsidRPr="00A459AE" w:rsidP="006847E8">
      <w:pPr>
        <w:ind w:left="426"/>
        <w:jc w:val="both"/>
      </w:pPr>
      <w:r w:rsidRPr="00A459AE">
        <w:t>Doterajšie body 6 až 13 je potrebné primerane prečíslovať.</w:t>
      </w:r>
    </w:p>
    <w:p w:rsidR="006847E8" w:rsidRPr="00A459AE" w:rsidP="006847E8">
      <w:pPr>
        <w:ind w:left="3969"/>
        <w:jc w:val="both"/>
        <w:rPr>
          <w:bCs w:val="0"/>
          <w:iCs/>
          <w:color w:val="000000"/>
        </w:rPr>
      </w:pPr>
    </w:p>
    <w:p w:rsidR="006847E8" w:rsidRPr="00A459AE" w:rsidP="006847E8">
      <w:pPr>
        <w:ind w:left="3969"/>
        <w:jc w:val="both"/>
      </w:pPr>
      <w:r w:rsidRPr="00A459AE">
        <w:rPr>
          <w:bCs w:val="0"/>
          <w:iCs/>
          <w:color w:val="000000"/>
        </w:rPr>
        <w:t>Navrhovaná úprava rozširuje okruh zverejňovaných údajov na webovom sídle Národnej banky Slovenska o údaj registračné číslo navrhovateľa. V</w:t>
      </w:r>
      <w:r w:rsidRPr="00A459AE">
        <w:t> priebehu kalendárneho roka totiž môžu podriadení finanční agenti zmeniť svojho zmluvného partnera i viackrát. Spolu so zrušením zmluvy ponúkajú občanom, aby zmluvy, ktoré im sprostredkovali u predchádzajúceho samostatného finančného agenta vypovedali</w:t>
      </w:r>
      <w:bookmarkStart w:id="0" w:name="_GoBack"/>
      <w:bookmarkEnd w:id="0"/>
      <w:r w:rsidRPr="00A459AE">
        <w:t>, čo nemusí byť vždy v prospech klienta. Cieľom navrhovanej právnej úpravy, t.j. zverejnenia registračného čísla navrhovateľa je obmedzenie uvedených praktík finančných agentov.</w:t>
      </w:r>
    </w:p>
    <w:p w:rsidR="006847E8" w:rsidP="006847E8">
      <w:pPr>
        <w:pStyle w:val="BodyText"/>
        <w:spacing w:after="0"/>
        <w:jc w:val="both"/>
        <w:rPr>
          <w:b/>
          <w:bCs w:val="0"/>
          <w:iCs/>
          <w:color w:val="000000"/>
        </w:rPr>
      </w:pPr>
    </w:p>
    <w:p w:rsidR="006847E8" w:rsidRPr="00A459AE" w:rsidP="006847E8">
      <w:pPr>
        <w:pStyle w:val="BodyText"/>
        <w:spacing w:after="0"/>
        <w:jc w:val="both"/>
        <w:rPr>
          <w:b/>
          <w:bCs w:val="0"/>
          <w:iCs/>
          <w:color w:val="000000"/>
        </w:rPr>
      </w:pPr>
    </w:p>
    <w:p w:rsidR="006847E8" w:rsidRPr="00A459AE" w:rsidP="006847E8">
      <w:pPr>
        <w:pStyle w:val="BodyText"/>
        <w:numPr>
          <w:ilvl w:val="0"/>
          <w:numId w:val="40"/>
        </w:numPr>
        <w:spacing w:after="0"/>
        <w:jc w:val="both"/>
        <w:rPr>
          <w:b/>
          <w:bCs w:val="0"/>
        </w:rPr>
      </w:pPr>
      <w:r w:rsidRPr="00A459AE">
        <w:rPr>
          <w:b/>
          <w:bCs w:val="0"/>
          <w:iCs/>
          <w:color w:val="000000"/>
        </w:rPr>
        <w:t>K čl. IX doterajší bod 8 sa vypúšťa.</w:t>
      </w:r>
      <w:r w:rsidRPr="00A459AE">
        <w:rPr>
          <w:b/>
          <w:bCs w:val="0"/>
        </w:rPr>
        <w:t xml:space="preserve"> </w:t>
      </w:r>
    </w:p>
    <w:p w:rsidR="006847E8" w:rsidRPr="00A459AE" w:rsidP="006847E8">
      <w:pPr>
        <w:pStyle w:val="BodyText"/>
        <w:spacing w:after="0"/>
        <w:jc w:val="both"/>
        <w:rPr>
          <w:bCs w:val="0"/>
        </w:rPr>
      </w:pPr>
    </w:p>
    <w:p w:rsidR="006847E8" w:rsidRPr="00A459AE" w:rsidP="006847E8">
      <w:pPr>
        <w:ind w:left="426"/>
        <w:jc w:val="both"/>
      </w:pPr>
      <w:r w:rsidRPr="00A459AE">
        <w:t>Doterajšie body 9 až 13 je potrebné primerane prečíslovať.</w:t>
      </w:r>
    </w:p>
    <w:p w:rsidR="006847E8" w:rsidRPr="00A459AE" w:rsidP="006847E8">
      <w:pPr>
        <w:pStyle w:val="BodyText"/>
        <w:spacing w:after="0"/>
        <w:jc w:val="both"/>
        <w:rPr>
          <w:bCs w:val="0"/>
        </w:rPr>
      </w:pPr>
    </w:p>
    <w:p w:rsidR="006847E8" w:rsidRPr="00A459AE" w:rsidP="006847E8">
      <w:pPr>
        <w:pStyle w:val="BodyText"/>
        <w:spacing w:after="0"/>
        <w:ind w:left="3969"/>
        <w:jc w:val="both"/>
        <w:rPr>
          <w:bCs w:val="0"/>
        </w:rPr>
      </w:pPr>
      <w:r w:rsidRPr="00A459AE">
        <w:rPr>
          <w:bCs w:val="0"/>
        </w:rPr>
        <w:t xml:space="preserve">Ustanovenie § 23 ods. 1 písm. e) sa týka tých sektorov finančného trhu, v ktorých sa udeľovali povolenia na vykonávanie sprostredkovateľskej činnosti a to ku dňu 31. 12. 2009. Ustanovenie pojednáva o povoleniach, ktoré sa v prechodných ustanoveniach zákona plynulo transformovali na nové povolenia podľa zákona č. 186/2009 Z. z. o finančnom sprostredkovaní a finančnom poradenstve. V sektore starobného dôchodkového sporenia však boli povolenia na vykonávanie sprostredkovateľskej činnosti zákonom zrušené už v roku 2006, takže sa jedná o odlišnú skupinu povolení ako sa uvádza v ustanovení § 23 ods. 1 písm. e). </w:t>
      </w:r>
    </w:p>
    <w:p w:rsidR="006847E8" w:rsidRPr="00A459AE" w:rsidP="006847E8">
      <w:pPr>
        <w:jc w:val="both"/>
      </w:pPr>
    </w:p>
    <w:p w:rsidR="006847E8" w:rsidRPr="00A459AE" w:rsidP="006847E8">
      <w:pPr>
        <w:numPr>
          <w:ilvl w:val="0"/>
          <w:numId w:val="40"/>
        </w:numPr>
        <w:autoSpaceDE w:val="0"/>
        <w:autoSpaceDN w:val="0"/>
        <w:adjustRightInd w:val="0"/>
        <w:jc w:val="both"/>
        <w:rPr>
          <w:color w:val="000000"/>
        </w:rPr>
      </w:pPr>
      <w:r w:rsidRPr="00A459AE">
        <w:rPr>
          <w:b/>
          <w:color w:val="000000"/>
        </w:rPr>
        <w:t xml:space="preserve">K čl. IX v doterajšom bode 13 </w:t>
      </w:r>
      <w:r w:rsidRPr="00A459AE">
        <w:rPr>
          <w:color w:val="000000"/>
        </w:rPr>
        <w:t xml:space="preserve">v § 42a ods. 1 sa vypúšťajú slová „do 31. júla 2013“ a v § 42a  ods. 2 a 3 sa slová  „31.decembra 2013“ nahrádzajú slovami „30. júna 2014“.“. </w:t>
      </w:r>
    </w:p>
    <w:p w:rsidR="006847E8" w:rsidRPr="00A459AE" w:rsidP="006847E8">
      <w:pPr>
        <w:autoSpaceDE w:val="0"/>
        <w:autoSpaceDN w:val="0"/>
        <w:adjustRightInd w:val="0"/>
        <w:ind w:left="3540" w:right="-108" w:firstLine="708"/>
        <w:jc w:val="both"/>
        <w:rPr>
          <w:u w:val="single"/>
        </w:rPr>
      </w:pPr>
    </w:p>
    <w:p w:rsidR="006847E8" w:rsidRPr="00A459AE" w:rsidP="006847E8">
      <w:pPr>
        <w:autoSpaceDE w:val="0"/>
        <w:autoSpaceDN w:val="0"/>
        <w:adjustRightInd w:val="0"/>
        <w:ind w:left="3969" w:right="-108"/>
        <w:jc w:val="both"/>
        <w:rPr>
          <w:u w:val="single"/>
        </w:rPr>
      </w:pPr>
    </w:p>
    <w:p w:rsidR="006847E8" w:rsidRPr="00A459AE" w:rsidP="006847E8">
      <w:pPr>
        <w:pStyle w:val="NormalWeb"/>
        <w:ind w:left="3969"/>
        <w:jc w:val="both"/>
        <w:rPr>
          <w:color w:val="000000"/>
        </w:rPr>
      </w:pPr>
      <w:r w:rsidRPr="00A459AE">
        <w:rPr>
          <w:color w:val="000000"/>
        </w:rPr>
        <w:t xml:space="preserve">Vypustením lehoty v odseku 1 sa umožní doplnkovým správcovským spoločnostiam navrhnúť na zápis finančného sprostredkovateľa do registra vedeného Národnou bankou Slovenska kedykoľvek, t.j. aj po 31. júli 2013. </w:t>
      </w:r>
    </w:p>
    <w:p w:rsidR="006847E8" w:rsidRPr="00A459AE" w:rsidP="006847E8">
      <w:pPr>
        <w:pStyle w:val="NormalWeb"/>
        <w:ind w:left="3969"/>
        <w:jc w:val="both"/>
        <w:rPr>
          <w:color w:val="000000"/>
        </w:rPr>
      </w:pPr>
      <w:r w:rsidRPr="00A459AE">
        <w:rPr>
          <w:color w:val="000000"/>
        </w:rPr>
        <w:t xml:space="preserve">Predĺženie lehoty v odsekoch 2 a 3 vychádza zo skúseností pri zmene systému sprostredkovania pri poistných produktoch resp. sprostredkovaní zmlúv III. piliera. Necelý polrok  na kompletnú zmenu systému sprostredkovania zmlúv je neprimerane krátky na rozsah krokov nevyhnutných na zosúladenie činnosti doplnkových správcovských spoločností so zákonom č. 186/2009 Z. z. o finančnom sprostredkovaní a finančnom poradenstve. </w:t>
      </w:r>
    </w:p>
    <w:p w:rsidR="006847E8" w:rsidRPr="00A459AE" w:rsidP="006847E8">
      <w:pPr>
        <w:jc w:val="both"/>
      </w:pPr>
    </w:p>
    <w:p w:rsidR="006847E8" w:rsidRPr="00A459AE" w:rsidP="006847E8">
      <w:pPr>
        <w:numPr>
          <w:ilvl w:val="0"/>
          <w:numId w:val="40"/>
        </w:numPr>
        <w:jc w:val="both"/>
        <w:rPr>
          <w:b/>
        </w:rPr>
      </w:pPr>
      <w:r w:rsidRPr="00A459AE">
        <w:rPr>
          <w:b/>
          <w:bCs w:val="0"/>
        </w:rPr>
        <w:t>K čl. X v</w:t>
      </w:r>
      <w:r w:rsidRPr="00A459AE">
        <w:rPr>
          <w:b/>
        </w:rPr>
        <w:t>kladajú sa nové body 1 až 4, ktoré znejú:</w:t>
      </w:r>
    </w:p>
    <w:p w:rsidR="006847E8" w:rsidRPr="00A459AE" w:rsidP="006847E8">
      <w:pPr>
        <w:pStyle w:val="ListParagraph"/>
        <w:spacing w:after="0" w:line="240" w:lineRule="auto"/>
        <w:ind w:left="426"/>
        <w:jc w:val="both"/>
        <w:rPr>
          <w:rFonts w:ascii="Times New Roman" w:hAnsi="Times New Roman"/>
          <w:sz w:val="24"/>
          <w:szCs w:val="24"/>
        </w:rPr>
      </w:pPr>
      <w:r w:rsidRPr="00A459AE">
        <w:rPr>
          <w:rFonts w:ascii="Times New Roman" w:hAnsi="Times New Roman"/>
          <w:sz w:val="24"/>
          <w:szCs w:val="24"/>
        </w:rPr>
        <w:t>„1. V § 4 ods. 1 písm. p) sa vypúšťajú slová „postupe pri takom splatení spotrebiteľského úveru,“.</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pStyle w:val="ListParagraph"/>
        <w:spacing w:after="0" w:line="240" w:lineRule="auto"/>
        <w:ind w:left="426"/>
        <w:jc w:val="both"/>
        <w:rPr>
          <w:rFonts w:ascii="Times New Roman" w:hAnsi="Times New Roman"/>
          <w:sz w:val="24"/>
          <w:szCs w:val="24"/>
        </w:rPr>
      </w:pPr>
      <w:r w:rsidRPr="00A459AE">
        <w:rPr>
          <w:rFonts w:ascii="Times New Roman" w:hAnsi="Times New Roman"/>
          <w:sz w:val="24"/>
          <w:szCs w:val="24"/>
        </w:rPr>
        <w:t>2. V § 4 ods. 1 sa vypúšťa písmeno t).</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pStyle w:val="ListParagraph"/>
        <w:spacing w:after="0" w:line="240" w:lineRule="auto"/>
        <w:ind w:left="426"/>
        <w:jc w:val="both"/>
        <w:rPr>
          <w:rFonts w:ascii="Times New Roman" w:hAnsi="Times New Roman"/>
          <w:sz w:val="24"/>
          <w:szCs w:val="24"/>
        </w:rPr>
      </w:pPr>
      <w:r w:rsidRPr="00A459AE">
        <w:rPr>
          <w:rFonts w:ascii="Times New Roman" w:hAnsi="Times New Roman"/>
          <w:sz w:val="24"/>
          <w:szCs w:val="24"/>
        </w:rPr>
        <w:t>3. V § 4 odsek 2 znie:</w:t>
      </w:r>
    </w:p>
    <w:p w:rsidR="006847E8" w:rsidRPr="00A459AE" w:rsidP="006847E8">
      <w:pPr>
        <w:pStyle w:val="ListParagraph"/>
        <w:spacing w:after="0" w:line="240" w:lineRule="auto"/>
        <w:ind w:left="426"/>
        <w:jc w:val="both"/>
        <w:rPr>
          <w:rFonts w:ascii="Times New Roman" w:hAnsi="Times New Roman"/>
          <w:sz w:val="24"/>
          <w:szCs w:val="24"/>
        </w:rPr>
      </w:pPr>
      <w:r w:rsidRPr="00A459AE">
        <w:rPr>
          <w:rFonts w:ascii="Times New Roman" w:hAnsi="Times New Roman"/>
          <w:sz w:val="24"/>
          <w:szCs w:val="24"/>
        </w:rPr>
        <w:t>„(2) Informácie podľa odseku 1 je veriteľ alebo finančný agent povinný poskytnúť prostredníctvom formulára pre štandardné informácie o spotrebiteľskom úvere, ktorý je uvedený v prílohách č. 3 a 4, a to v listinnej podobe alebo v podobe zápisu na inom trvanlivom médiu, ktoré je dostupné spotrebiteľovi. Veriteľ alebo finančný agent je povinný spotrebiteľovi poskytnúť zrozumiteľnú, stručnú a zreteľnú informáciu o ročnej percentuálnej miere nákladov podľa odseku 1 písm. g) a priemernej hodnote ročnej percentuálnej miery nákladov na príslušný spotrebiteľský úver zverejnenej podľa § 21 ods. 2 za príslušný kalendárny štvrťrok v samostatnom dokumente v listinnej podobe alebo v podobe zápisu na inom trvanlivom médiu, ktoré je dostupné spotrebiteľovi, spolu s formulárom pre štandardné informácie o spotrebiteľskom úvere podľa prvej vety. Všetky dodatočné informácie iné ako sú uvedené v prvej a druhej vete poskytne veriteľ alebo finančný agent spotrebiteľovi v ďalšom samostatnom dokumente.“.</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pStyle w:val="ListParagraph"/>
        <w:spacing w:after="0" w:line="240" w:lineRule="auto"/>
        <w:ind w:left="426"/>
        <w:jc w:val="both"/>
        <w:rPr>
          <w:rFonts w:ascii="Times New Roman" w:hAnsi="Times New Roman"/>
          <w:sz w:val="24"/>
          <w:szCs w:val="24"/>
        </w:rPr>
      </w:pPr>
      <w:r w:rsidRPr="00A459AE">
        <w:rPr>
          <w:rFonts w:ascii="Times New Roman" w:hAnsi="Times New Roman"/>
          <w:sz w:val="24"/>
          <w:szCs w:val="24"/>
        </w:rPr>
        <w:t>4. V § 7 ods. 1 sa vypúšťa druhá veta.“.</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ind w:left="426"/>
        <w:jc w:val="both"/>
      </w:pPr>
      <w:r w:rsidRPr="00A459AE">
        <w:t>Doterajšie body 1 až 9 sa označujú ako body 5 až 13.</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ind w:left="3969"/>
        <w:jc w:val="both"/>
      </w:pPr>
      <w:r w:rsidRPr="00A459AE">
        <w:t>K bodu 1 – Úprava z dôvodu zabezpečenia úplnej transpozície čl. 5 ods. 1 písm. p) smernice 2008/48/ES, podľa ktorého spotrebiteľ má byť prostredníctvom štandardných európskych informácií o spotrebiteľskom úvere informovaný „o práve na predčasné splatenie úveru a prípadne o informáciách o práve veriteľa na kompenzáciu a o spôsobe, akým sa táto kompenzácia určí v súlade s článkom 16“. Podľa § 4 ods. 1 písm. p) platného zákona č. 129/2010 Z. z. má byť spotrebiteľ informovaný „o práve na splatenie spotrebiteľského úveru pred lehotou splatnosti, postupe pri takomto splatení spotrebiteľského úveru, práve veriteľa na náhradu nákladov spojených so splatením spotrebiteľského úveru pred lehotou splatnosti a spôsobe určenia ich výšky“, pričom informácia o „postupe  pri takomto predčasnom splatení“ ide nad rámec čl. 5 ods. 1 písm. p) smernice 2008/48/ES.</w:t>
      </w:r>
    </w:p>
    <w:p w:rsidR="006847E8" w:rsidRPr="00A459AE" w:rsidP="006847E8">
      <w:pPr>
        <w:ind w:left="3969"/>
        <w:jc w:val="both"/>
      </w:pPr>
    </w:p>
    <w:p w:rsidR="006847E8" w:rsidRPr="00A459AE" w:rsidP="006847E8">
      <w:pPr>
        <w:ind w:left="3969"/>
        <w:jc w:val="both"/>
      </w:pPr>
      <w:r w:rsidRPr="00A459AE">
        <w:t>K bodu 2 a 3 – Úprava z dôvodu zabezpečenia úplnej transpozície čl. 5 smernice 2008/48/ES, ktorý obsahuje plne harmonizované ustanovenia o informáciách, ktoré majú byť spotrebiteľovi poskytnuté v predzmluvnej fáze, pričom členské štáty podľa čl. 22 nesmú zachovať ani zaviesť vo svojom vnútroštátnom práve ustanovenia, ktoré sa odchyľujú od ustanovení tejto smernice. Vzhľadom na to, že údaj o priemernej ročnej percentuálnej miere nákladov považujeme za dôležitý z hľadiska ochrany spotrebiteľa, navrhuje sa uvádzanie a predkladanie tohto údaju spolu s údajom o ročnej percentuálnej miere nákladov na ponúkaný spotrebiteľský úver v predzmluvnej fáze v samostatnom dokumente, ktorý bude prikladaný k predzmluvnému formuláru.</w:t>
      </w:r>
    </w:p>
    <w:p w:rsidR="006847E8" w:rsidRPr="00A459AE" w:rsidP="006847E8">
      <w:pPr>
        <w:ind w:left="3969"/>
        <w:jc w:val="both"/>
      </w:pPr>
    </w:p>
    <w:p w:rsidR="006847E8" w:rsidRPr="00A459AE" w:rsidP="006847E8">
      <w:pPr>
        <w:ind w:left="3969"/>
        <w:jc w:val="both"/>
      </w:pPr>
      <w:r w:rsidRPr="00A459AE">
        <w:t>K bodu 4 – Úprava z dôvodu zabezpečenia úplnej transpozície čl. 8 ods. 1 smernice 2008/48/ES, podľa ktorého veriteľ je vždy povinný skúmať spotrebiteľovu bonitu. Z tohto dôvodu je nutné vypustiť druhú vetu v § 7 ods. 1 zákona č. 129/2010 Z. z.</w:t>
      </w:r>
    </w:p>
    <w:p w:rsidR="006847E8" w:rsidRPr="00A459AE" w:rsidP="006847E8">
      <w:pPr>
        <w:pStyle w:val="ListParagraph"/>
        <w:spacing w:after="0" w:line="240" w:lineRule="auto"/>
        <w:ind w:left="0"/>
        <w:jc w:val="both"/>
        <w:rPr>
          <w:rFonts w:ascii="Times New Roman" w:hAnsi="Times New Roman"/>
          <w:sz w:val="24"/>
          <w:szCs w:val="24"/>
        </w:rPr>
      </w:pPr>
    </w:p>
    <w:p w:rsidR="006847E8" w:rsidRPr="00A459AE" w:rsidP="006847E8">
      <w:pPr>
        <w:pStyle w:val="ListParagraph"/>
        <w:numPr>
          <w:ilvl w:val="0"/>
          <w:numId w:val="40"/>
        </w:numPr>
        <w:spacing w:after="0" w:line="240" w:lineRule="auto"/>
        <w:contextualSpacing w:val="0"/>
        <w:jc w:val="both"/>
        <w:rPr>
          <w:rFonts w:ascii="Times New Roman" w:hAnsi="Times New Roman"/>
          <w:b/>
          <w:sz w:val="24"/>
          <w:szCs w:val="24"/>
        </w:rPr>
      </w:pPr>
      <w:r w:rsidRPr="00A459AE">
        <w:rPr>
          <w:rFonts w:ascii="Times New Roman" w:hAnsi="Times New Roman"/>
          <w:b/>
          <w:bCs/>
          <w:sz w:val="24"/>
          <w:szCs w:val="24"/>
        </w:rPr>
        <w:t>K Čl. X  v</w:t>
      </w:r>
      <w:r w:rsidRPr="00A459AE">
        <w:rPr>
          <w:rFonts w:ascii="Times New Roman" w:hAnsi="Times New Roman"/>
          <w:sz w:val="24"/>
          <w:szCs w:val="24"/>
        </w:rPr>
        <w:t> </w:t>
      </w:r>
      <w:r w:rsidRPr="00A459AE">
        <w:rPr>
          <w:rFonts w:ascii="Times New Roman" w:hAnsi="Times New Roman"/>
          <w:b/>
          <w:sz w:val="24"/>
          <w:szCs w:val="24"/>
        </w:rPr>
        <w:t>novooznačenom bode 6 poznámka pod čiarou k odkazu 18a znie:</w:t>
      </w:r>
    </w:p>
    <w:p w:rsidR="006847E8" w:rsidRPr="00A459AE" w:rsidP="006847E8">
      <w:pPr>
        <w:ind w:left="360"/>
        <w:jc w:val="both"/>
      </w:pPr>
      <w:r w:rsidRPr="00A459AE">
        <w:t>„</w:t>
      </w:r>
      <w:r w:rsidRPr="00A459AE">
        <w:rPr>
          <w:vertAlign w:val="superscript"/>
        </w:rPr>
        <w:t>18a</w:t>
      </w:r>
      <w:r w:rsidRPr="00A459AE">
        <w:t>) § 2 ods. 1 písm. d) a ods. 9 zákona č. 492/2009 Z. z. o platobných službách a o zmene a doplnení niektorých zákonov.“.</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ind w:left="3969"/>
        <w:jc w:val="both"/>
      </w:pPr>
      <w:r w:rsidRPr="00A459AE">
        <w:t>Ide o doplnenie poznámky pod čiarou s cieľom presnejšieho vymedzenia, že ustanovenie sa netýka kontokorentných úverov a spotrebiteľských úverov poskytnutých prostredníctvom kreditnej karty.</w:t>
      </w:r>
    </w:p>
    <w:p w:rsidR="006847E8" w:rsidRPr="00A459AE" w:rsidP="006847E8">
      <w:pPr>
        <w:pStyle w:val="ListParagraph"/>
        <w:spacing w:after="0" w:line="240" w:lineRule="auto"/>
        <w:ind w:left="0"/>
        <w:jc w:val="both"/>
        <w:rPr>
          <w:rFonts w:ascii="Times New Roman" w:hAnsi="Times New Roman"/>
          <w:sz w:val="24"/>
          <w:szCs w:val="24"/>
        </w:rPr>
      </w:pPr>
    </w:p>
    <w:p w:rsidR="006847E8" w:rsidRPr="00A459AE" w:rsidP="006847E8">
      <w:pPr>
        <w:pStyle w:val="ListParagraph"/>
        <w:numPr>
          <w:ilvl w:val="0"/>
          <w:numId w:val="40"/>
        </w:numPr>
        <w:spacing w:after="0" w:line="240" w:lineRule="auto"/>
        <w:contextualSpacing w:val="0"/>
        <w:jc w:val="both"/>
        <w:rPr>
          <w:rFonts w:ascii="Times New Roman" w:hAnsi="Times New Roman"/>
          <w:b/>
          <w:sz w:val="24"/>
          <w:szCs w:val="24"/>
        </w:rPr>
      </w:pPr>
      <w:r w:rsidRPr="00A459AE">
        <w:rPr>
          <w:rFonts w:ascii="Times New Roman" w:hAnsi="Times New Roman"/>
          <w:b/>
          <w:bCs/>
          <w:sz w:val="24"/>
          <w:szCs w:val="24"/>
        </w:rPr>
        <w:t>K Čl. X  d</w:t>
      </w:r>
      <w:r w:rsidRPr="00A459AE">
        <w:rPr>
          <w:rFonts w:ascii="Times New Roman" w:hAnsi="Times New Roman"/>
          <w:b/>
          <w:sz w:val="24"/>
          <w:szCs w:val="24"/>
        </w:rPr>
        <w:t>opĺňa sa nový bod 14, ktorý znie:</w:t>
      </w:r>
    </w:p>
    <w:p w:rsidR="006847E8" w:rsidRPr="00A459AE" w:rsidP="006847E8">
      <w:pPr>
        <w:pStyle w:val="ListParagraph"/>
        <w:spacing w:after="0" w:line="240" w:lineRule="auto"/>
        <w:ind w:left="426"/>
        <w:jc w:val="both"/>
        <w:rPr>
          <w:rFonts w:ascii="Times New Roman" w:hAnsi="Times New Roman"/>
          <w:sz w:val="24"/>
          <w:szCs w:val="24"/>
        </w:rPr>
      </w:pPr>
      <w:r w:rsidRPr="00A459AE">
        <w:rPr>
          <w:rFonts w:ascii="Times New Roman" w:hAnsi="Times New Roman"/>
          <w:sz w:val="24"/>
          <w:szCs w:val="24"/>
        </w:rPr>
        <w:t>„14. V prílohe č. 3 treťom bode sa vypúšťa riadok „Priemerná hodnota ročnej percentuálnej miery nákladov“.“.</w:t>
      </w:r>
    </w:p>
    <w:p w:rsidR="006847E8" w:rsidRPr="00A459AE" w:rsidP="006847E8">
      <w:pPr>
        <w:pStyle w:val="ListParagraph"/>
        <w:spacing w:after="0" w:line="240" w:lineRule="auto"/>
        <w:ind w:left="426"/>
        <w:jc w:val="both"/>
        <w:rPr>
          <w:rFonts w:ascii="Times New Roman" w:hAnsi="Times New Roman"/>
          <w:sz w:val="24"/>
          <w:szCs w:val="24"/>
        </w:rPr>
      </w:pPr>
    </w:p>
    <w:p w:rsidR="006847E8" w:rsidRPr="00A459AE" w:rsidP="006847E8">
      <w:pPr>
        <w:ind w:left="3969"/>
        <w:jc w:val="both"/>
      </w:pPr>
      <w:r w:rsidRPr="00A459AE">
        <w:t xml:space="preserve">Ide o úpravu z dôvodu zabezpečenia úplnej zhody ustanovení časti 3 prílohy č. 3 zákona č. 129/2010 Z. z. s ustanoveniami časti 3 prílohy II smernice 2008/48/ES. Z tohto dôvodu je nutné pri predzmluvných formulároch vypustiť celý riadok s údajmi o priemernej hodnote ročnej percentuálnej miery nákladov platnej pre rovnaký typ spotrebiteľského úveru a rovnakú zmluvnú splatnosť. </w:t>
      </w: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88D">
      <w:rPr>
        <w:rStyle w:val="PageNumber"/>
        <w:noProof/>
      </w:rPr>
      <w:t>15</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6">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381C91"/>
    <w:multiLevelType w:val="hybridMultilevel"/>
    <w:tmpl w:val="333845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4D7545"/>
    <w:multiLevelType w:val="hybridMultilevel"/>
    <w:tmpl w:val="3864B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4">
    <w:nsid w:val="26DC122F"/>
    <w:multiLevelType w:val="hybridMultilevel"/>
    <w:tmpl w:val="017657D8"/>
    <w:lvl w:ilvl="0">
      <w:start w:val="2"/>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7">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9410655"/>
    <w:multiLevelType w:val="hybridMultilevel"/>
    <w:tmpl w:val="6688E8F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90D08C4"/>
    <w:multiLevelType w:val="hybridMultilevel"/>
    <w:tmpl w:val="CCCC26D4"/>
    <w:lvl w:ilvl="0">
      <w:start w:val="1"/>
      <w:numFmt w:val="decimal"/>
      <w:lvlText w:val="%1."/>
      <w:lvlJc w:val="left"/>
      <w:pPr>
        <w:ind w:left="746"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3">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2C31D7C"/>
    <w:multiLevelType w:val="hybridMultilevel"/>
    <w:tmpl w:val="A3DCA9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3824076"/>
    <w:multiLevelType w:val="hybridMultilevel"/>
    <w:tmpl w:val="99EC8A28"/>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66CC6419"/>
    <w:multiLevelType w:val="hybridMultilevel"/>
    <w:tmpl w:val="636A34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9">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4"/>
  </w:num>
  <w:num w:numId="5">
    <w:abstractNumId w:val="31"/>
  </w:num>
  <w:num w:numId="6">
    <w:abstractNumId w:val="6"/>
  </w:num>
  <w:num w:numId="7">
    <w:abstractNumId w:val="18"/>
  </w:num>
  <w:num w:numId="8">
    <w:abstractNumId w:val="34"/>
  </w:num>
  <w:num w:numId="9">
    <w:abstractNumId w:val="35"/>
  </w:num>
  <w:num w:numId="10">
    <w:abstractNumId w:val="1"/>
  </w:num>
  <w:num w:numId="11">
    <w:abstractNumId w:val="21"/>
  </w:num>
  <w:num w:numId="12">
    <w:abstractNumId w:val="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7"/>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2"/>
  </w:num>
  <w:num w:numId="20">
    <w:abstractNumId w:val="29"/>
  </w:num>
  <w:num w:numId="21">
    <w:abstractNumId w:val="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38"/>
  </w:num>
  <w:num w:numId="26">
    <w:abstractNumId w:val="23"/>
  </w:num>
  <w:num w:numId="27">
    <w:abstractNumId w:val="20"/>
  </w:num>
  <w:num w:numId="28">
    <w:abstractNumId w:val="11"/>
  </w:num>
  <w:num w:numId="29">
    <w:abstractNumId w:val="2"/>
  </w:num>
  <w:num w:numId="30">
    <w:abstractNumId w:val="33"/>
  </w:num>
  <w:num w:numId="31">
    <w:abstractNumId w:val="28"/>
  </w:num>
  <w:num w:numId="32">
    <w:abstractNumId w:val="30"/>
  </w:num>
  <w:num w:numId="33">
    <w:abstractNumId w:val="14"/>
  </w:num>
  <w:num w:numId="34">
    <w:abstractNumId w:val="19"/>
  </w:num>
  <w:num w:numId="35">
    <w:abstractNumId w:val="10"/>
  </w:num>
  <w:num w:numId="36">
    <w:abstractNumId w:val="27"/>
  </w:num>
  <w:num w:numId="37">
    <w:abstractNumId w:val="8"/>
  </w:num>
  <w:num w:numId="38">
    <w:abstractNumId w:val="17"/>
  </w:num>
  <w:num w:numId="39">
    <w:abstractNumId w:val="5"/>
  </w:num>
  <w:num w:numId="40">
    <w:abstractNumId w:val="16"/>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C5845"/>
    <w:rsid w:val="000D0046"/>
    <w:rsid w:val="000D14F9"/>
    <w:rsid w:val="000D4078"/>
    <w:rsid w:val="000E176D"/>
    <w:rsid w:val="000E2CAC"/>
    <w:rsid w:val="000E5323"/>
    <w:rsid w:val="000E5C35"/>
    <w:rsid w:val="000F1967"/>
    <w:rsid w:val="000F2076"/>
    <w:rsid w:val="0010647C"/>
    <w:rsid w:val="00111508"/>
    <w:rsid w:val="001117D7"/>
    <w:rsid w:val="001139A4"/>
    <w:rsid w:val="0011524C"/>
    <w:rsid w:val="00117627"/>
    <w:rsid w:val="001212D5"/>
    <w:rsid w:val="0012432D"/>
    <w:rsid w:val="001348BD"/>
    <w:rsid w:val="00143F10"/>
    <w:rsid w:val="00152B22"/>
    <w:rsid w:val="00153E1E"/>
    <w:rsid w:val="001545C9"/>
    <w:rsid w:val="001559B7"/>
    <w:rsid w:val="00160A16"/>
    <w:rsid w:val="001626EB"/>
    <w:rsid w:val="0016446B"/>
    <w:rsid w:val="0016756E"/>
    <w:rsid w:val="001734EE"/>
    <w:rsid w:val="00183676"/>
    <w:rsid w:val="00184104"/>
    <w:rsid w:val="001852E1"/>
    <w:rsid w:val="00192864"/>
    <w:rsid w:val="00194EF1"/>
    <w:rsid w:val="001957AD"/>
    <w:rsid w:val="001A602E"/>
    <w:rsid w:val="001B1E93"/>
    <w:rsid w:val="001B41F7"/>
    <w:rsid w:val="001C51E2"/>
    <w:rsid w:val="001C5BF3"/>
    <w:rsid w:val="001C6390"/>
    <w:rsid w:val="001D1076"/>
    <w:rsid w:val="001D5926"/>
    <w:rsid w:val="001D6BE4"/>
    <w:rsid w:val="001E6E4A"/>
    <w:rsid w:val="001E6F56"/>
    <w:rsid w:val="001F1FB7"/>
    <w:rsid w:val="00201108"/>
    <w:rsid w:val="00205C7B"/>
    <w:rsid w:val="0020683C"/>
    <w:rsid w:val="00210542"/>
    <w:rsid w:val="00213659"/>
    <w:rsid w:val="00214BD9"/>
    <w:rsid w:val="00216351"/>
    <w:rsid w:val="00224C5E"/>
    <w:rsid w:val="00232F32"/>
    <w:rsid w:val="002461A5"/>
    <w:rsid w:val="00254F23"/>
    <w:rsid w:val="00255E78"/>
    <w:rsid w:val="002629D4"/>
    <w:rsid w:val="0027038A"/>
    <w:rsid w:val="0027125D"/>
    <w:rsid w:val="00272FA8"/>
    <w:rsid w:val="002743DB"/>
    <w:rsid w:val="00282205"/>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3852"/>
    <w:rsid w:val="00325E49"/>
    <w:rsid w:val="0032711D"/>
    <w:rsid w:val="00334FEC"/>
    <w:rsid w:val="003371B9"/>
    <w:rsid w:val="00342FD3"/>
    <w:rsid w:val="00347242"/>
    <w:rsid w:val="00352292"/>
    <w:rsid w:val="00356336"/>
    <w:rsid w:val="003565D8"/>
    <w:rsid w:val="0036395F"/>
    <w:rsid w:val="003676F8"/>
    <w:rsid w:val="00367BAD"/>
    <w:rsid w:val="00370DA7"/>
    <w:rsid w:val="00371F1B"/>
    <w:rsid w:val="003727C3"/>
    <w:rsid w:val="00373CBB"/>
    <w:rsid w:val="00377F90"/>
    <w:rsid w:val="0038060C"/>
    <w:rsid w:val="00397CB2"/>
    <w:rsid w:val="003A4FC0"/>
    <w:rsid w:val="003B13EF"/>
    <w:rsid w:val="003B1B33"/>
    <w:rsid w:val="003B756E"/>
    <w:rsid w:val="003C2355"/>
    <w:rsid w:val="003D3BA5"/>
    <w:rsid w:val="003E4817"/>
    <w:rsid w:val="003E5C21"/>
    <w:rsid w:val="003E60B4"/>
    <w:rsid w:val="00401691"/>
    <w:rsid w:val="00415698"/>
    <w:rsid w:val="004231C1"/>
    <w:rsid w:val="004265B4"/>
    <w:rsid w:val="0043269C"/>
    <w:rsid w:val="00447F14"/>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17E1B"/>
    <w:rsid w:val="00522678"/>
    <w:rsid w:val="0053488D"/>
    <w:rsid w:val="005375F3"/>
    <w:rsid w:val="00546007"/>
    <w:rsid w:val="00552BE1"/>
    <w:rsid w:val="00564EC4"/>
    <w:rsid w:val="0057223B"/>
    <w:rsid w:val="00573D64"/>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617C"/>
    <w:rsid w:val="0063749C"/>
    <w:rsid w:val="00642D4E"/>
    <w:rsid w:val="00642DEE"/>
    <w:rsid w:val="006437A1"/>
    <w:rsid w:val="006443CB"/>
    <w:rsid w:val="006526B6"/>
    <w:rsid w:val="0065582E"/>
    <w:rsid w:val="00665A38"/>
    <w:rsid w:val="0066682E"/>
    <w:rsid w:val="00670BE9"/>
    <w:rsid w:val="006732DF"/>
    <w:rsid w:val="006847E8"/>
    <w:rsid w:val="00697397"/>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0E28"/>
    <w:rsid w:val="007C3A2E"/>
    <w:rsid w:val="007C4274"/>
    <w:rsid w:val="007C6EC6"/>
    <w:rsid w:val="007E168E"/>
    <w:rsid w:val="00802C95"/>
    <w:rsid w:val="0080397B"/>
    <w:rsid w:val="0081158D"/>
    <w:rsid w:val="00830899"/>
    <w:rsid w:val="008458BA"/>
    <w:rsid w:val="0085189B"/>
    <w:rsid w:val="0087118F"/>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2719B"/>
    <w:rsid w:val="009434CE"/>
    <w:rsid w:val="00945E30"/>
    <w:rsid w:val="009534E4"/>
    <w:rsid w:val="009673E9"/>
    <w:rsid w:val="00972CAE"/>
    <w:rsid w:val="00985280"/>
    <w:rsid w:val="00990B21"/>
    <w:rsid w:val="009940AF"/>
    <w:rsid w:val="00996EF0"/>
    <w:rsid w:val="009A046C"/>
    <w:rsid w:val="009A5069"/>
    <w:rsid w:val="009B1A9B"/>
    <w:rsid w:val="009B629D"/>
    <w:rsid w:val="009C5634"/>
    <w:rsid w:val="009D0655"/>
    <w:rsid w:val="009D25C5"/>
    <w:rsid w:val="009D3928"/>
    <w:rsid w:val="009E4434"/>
    <w:rsid w:val="009E58D6"/>
    <w:rsid w:val="009E6FD9"/>
    <w:rsid w:val="009F0117"/>
    <w:rsid w:val="009F1B7E"/>
    <w:rsid w:val="009F434A"/>
    <w:rsid w:val="00A13BFD"/>
    <w:rsid w:val="00A20F25"/>
    <w:rsid w:val="00A22570"/>
    <w:rsid w:val="00A26DE4"/>
    <w:rsid w:val="00A35DBB"/>
    <w:rsid w:val="00A42717"/>
    <w:rsid w:val="00A44797"/>
    <w:rsid w:val="00A459AE"/>
    <w:rsid w:val="00A45E0F"/>
    <w:rsid w:val="00A46F21"/>
    <w:rsid w:val="00A64B15"/>
    <w:rsid w:val="00A73ECD"/>
    <w:rsid w:val="00A76F2A"/>
    <w:rsid w:val="00A80718"/>
    <w:rsid w:val="00A8165F"/>
    <w:rsid w:val="00A8705A"/>
    <w:rsid w:val="00A90A24"/>
    <w:rsid w:val="00A944BF"/>
    <w:rsid w:val="00AC22E2"/>
    <w:rsid w:val="00AC65F9"/>
    <w:rsid w:val="00AC7EC3"/>
    <w:rsid w:val="00AE1F88"/>
    <w:rsid w:val="00AE3087"/>
    <w:rsid w:val="00AE69DF"/>
    <w:rsid w:val="00AF0917"/>
    <w:rsid w:val="00AF7145"/>
    <w:rsid w:val="00B07F36"/>
    <w:rsid w:val="00B16CED"/>
    <w:rsid w:val="00B1756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1484E"/>
    <w:rsid w:val="00C17C9F"/>
    <w:rsid w:val="00C2409D"/>
    <w:rsid w:val="00C37D3C"/>
    <w:rsid w:val="00C40208"/>
    <w:rsid w:val="00C511AD"/>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3F"/>
    <w:rsid w:val="00CD5189"/>
    <w:rsid w:val="00CD689C"/>
    <w:rsid w:val="00CE23DD"/>
    <w:rsid w:val="00CE5FA3"/>
    <w:rsid w:val="00CF0260"/>
    <w:rsid w:val="00CF7721"/>
    <w:rsid w:val="00D066CB"/>
    <w:rsid w:val="00D14BB3"/>
    <w:rsid w:val="00D24006"/>
    <w:rsid w:val="00D3491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77EC"/>
    <w:rsid w:val="00E13467"/>
    <w:rsid w:val="00E165F4"/>
    <w:rsid w:val="00E17951"/>
    <w:rsid w:val="00E20A99"/>
    <w:rsid w:val="00E24E2F"/>
    <w:rsid w:val="00E27648"/>
    <w:rsid w:val="00E3668B"/>
    <w:rsid w:val="00E37B5D"/>
    <w:rsid w:val="00E4207A"/>
    <w:rsid w:val="00E54D4F"/>
    <w:rsid w:val="00E564B4"/>
    <w:rsid w:val="00E56CEF"/>
    <w:rsid w:val="00E70960"/>
    <w:rsid w:val="00E85590"/>
    <w:rsid w:val="00E8666A"/>
    <w:rsid w:val="00E92427"/>
    <w:rsid w:val="00E95866"/>
    <w:rsid w:val="00E97E3F"/>
    <w:rsid w:val="00EA2888"/>
    <w:rsid w:val="00EA6751"/>
    <w:rsid w:val="00EA7E4D"/>
    <w:rsid w:val="00EC5F3F"/>
    <w:rsid w:val="00ED3C5E"/>
    <w:rsid w:val="00EE616F"/>
    <w:rsid w:val="00EF01B1"/>
    <w:rsid w:val="00F00247"/>
    <w:rsid w:val="00F03B10"/>
    <w:rsid w:val="00F15963"/>
    <w:rsid w:val="00F328DE"/>
    <w:rsid w:val="00F33022"/>
    <w:rsid w:val="00F35CED"/>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apple-converted-space">
    <w:name w:val="apple-converted-space"/>
    <w:rsid w:val="006847E8"/>
    <w:rPr>
      <w:rFonts w:cs="Times New Roman"/>
    </w:rPr>
  </w:style>
  <w:style w:type="paragraph" w:styleId="NormalWeb">
    <w:name w:val="Normal (Web)"/>
    <w:basedOn w:val="Normal"/>
    <w:uiPriority w:val="99"/>
    <w:unhideWhenUsed/>
    <w:rsid w:val="006847E8"/>
    <w:rPr>
      <w:rFonts w:eastAsia="Times New Roman"/>
      <w:b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896</TotalTime>
  <Pages>15</Pages>
  <Words>5000</Words>
  <Characters>28500</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311</cp:revision>
  <cp:lastPrinted>2011-06-10T09:52:00Z</cp:lastPrinted>
  <dcterms:created xsi:type="dcterms:W3CDTF">2003-06-05T10:59:00Z</dcterms:created>
  <dcterms:modified xsi:type="dcterms:W3CDTF">2013-05-09T12:47:00Z</dcterms:modified>
</cp:coreProperties>
</file>