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203F" w:rsidP="0042203F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42203F" w:rsidP="0042203F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42203F" w:rsidP="0042203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="00EB735E">
        <w:rPr>
          <w:rFonts w:ascii="Times New Roman" w:hAnsi="Times New Roman"/>
        </w:rPr>
        <w:t>1</w:t>
      </w:r>
      <w:r>
        <w:rPr>
          <w:rFonts w:ascii="Times New Roman" w:hAnsi="Times New Roman"/>
        </w:rPr>
        <w:t>. schôdza</w:t>
      </w:r>
    </w:p>
    <w:p w:rsidR="0042203F" w:rsidP="0042203F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CDR-87/2013</w:t>
      </w:r>
    </w:p>
    <w:p w:rsidR="0042203F" w:rsidP="0042203F">
      <w:pPr>
        <w:bidi w:val="0"/>
        <w:ind w:left="5592" w:hanging="12"/>
        <w:rPr>
          <w:rFonts w:ascii="Times New Roman" w:hAnsi="Times New Roman"/>
        </w:rPr>
      </w:pPr>
    </w:p>
    <w:p w:rsidR="0042203F" w:rsidP="0042203F">
      <w:pPr>
        <w:bidi w:val="0"/>
        <w:ind w:left="5592" w:hanging="12"/>
        <w:rPr>
          <w:rFonts w:ascii="Times New Roman" w:hAnsi="Times New Roman"/>
        </w:rPr>
      </w:pPr>
    </w:p>
    <w:p w:rsidR="0042203F" w:rsidP="0042203F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EB735E">
        <w:rPr>
          <w:rFonts w:ascii="AT*Toronto" w:hAnsi="AT*Toronto"/>
          <w:sz w:val="36"/>
          <w:szCs w:val="20"/>
        </w:rPr>
        <w:t>17</w:t>
      </w:r>
      <w:r w:rsidR="00635294">
        <w:rPr>
          <w:rFonts w:ascii="AT*Toronto" w:hAnsi="AT*Toronto"/>
          <w:sz w:val="36"/>
          <w:szCs w:val="20"/>
        </w:rPr>
        <w:t>0</w:t>
      </w:r>
    </w:p>
    <w:p w:rsidR="0042203F" w:rsidP="0042203F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42203F" w:rsidP="0042203F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42203F" w:rsidP="0042203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EB735E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. februára 2013</w:t>
      </w:r>
    </w:p>
    <w:p w:rsidR="0042203F" w:rsidP="0042203F">
      <w:pPr>
        <w:pStyle w:val="BodyText"/>
        <w:bidi w:val="0"/>
        <w:rPr>
          <w:rFonts w:ascii="Times New Roman" w:hAnsi="Times New Roman"/>
        </w:rPr>
      </w:pPr>
    </w:p>
    <w:p w:rsidR="0042203F" w:rsidRPr="00DD785C" w:rsidP="0042203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DD785C">
        <w:rPr>
          <w:rFonts w:ascii="Times New Roman" w:hAnsi="Times New Roman"/>
        </w:rPr>
        <w:t xml:space="preserve">k vládnemu </w:t>
      </w:r>
      <w:r w:rsidRPr="00072D3B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u</w:t>
      </w:r>
      <w:r w:rsidRPr="00072D3B">
        <w:rPr>
          <w:rFonts w:ascii="Times New Roman" w:hAnsi="Times New Roman"/>
        </w:rPr>
        <w:t xml:space="preserve"> </w:t>
      </w:r>
      <w:r w:rsidRPr="0042203F">
        <w:rPr>
          <w:rFonts w:ascii="Times New Roman" w:hAnsi="Times New Roman"/>
        </w:rPr>
        <w:t>zákona o ochrane osobných údajov</w:t>
      </w:r>
      <w:r w:rsidRPr="00072D3B">
        <w:rPr>
          <w:rFonts w:ascii="Times New Roman" w:hAnsi="Times New Roman"/>
          <w:b/>
        </w:rPr>
        <w:t xml:space="preserve"> </w:t>
      </w:r>
      <w:r w:rsidRPr="00072D3B">
        <w:rPr>
          <w:rFonts w:ascii="Times New Roman" w:hAnsi="Times New Roman"/>
        </w:rPr>
        <w:t>a o zmene a doplnení niektorých zákonov (tlač 358)</w:t>
      </w:r>
    </w:p>
    <w:p w:rsidR="0042203F" w:rsidRPr="00DD785C" w:rsidP="0042203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42203F" w:rsidP="0042203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42203F" w:rsidP="0042203F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42203F" w:rsidP="0042203F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42203F" w:rsidP="0042203F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ú h l a s í</w:t>
      </w:r>
    </w:p>
    <w:p w:rsidR="0042203F" w:rsidP="0042203F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42203F" w:rsidRPr="00DD785C" w:rsidP="0042203F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  vládnym </w:t>
      </w:r>
      <w:r w:rsidRPr="00072D3B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072D3B">
        <w:rPr>
          <w:rFonts w:ascii="Times New Roman" w:hAnsi="Times New Roman"/>
        </w:rPr>
        <w:t xml:space="preserve"> </w:t>
      </w:r>
      <w:r w:rsidRPr="0042203F">
        <w:rPr>
          <w:rFonts w:ascii="Times New Roman" w:hAnsi="Times New Roman"/>
        </w:rPr>
        <w:t>zákona o ochrane osobných údajov</w:t>
      </w:r>
      <w:r w:rsidRPr="00072D3B">
        <w:rPr>
          <w:rFonts w:ascii="Times New Roman" w:hAnsi="Times New Roman"/>
          <w:b/>
        </w:rPr>
        <w:t xml:space="preserve"> </w:t>
      </w:r>
      <w:r w:rsidRPr="00072D3B">
        <w:rPr>
          <w:rFonts w:ascii="Times New Roman" w:hAnsi="Times New Roman"/>
        </w:rPr>
        <w:t>a o zmene a doplnení niektorých zákonov (tlač 358)</w:t>
      </w:r>
      <w:r>
        <w:rPr>
          <w:rFonts w:ascii="Times New Roman" w:hAnsi="Times New Roman"/>
        </w:rPr>
        <w:t>;</w:t>
      </w:r>
    </w:p>
    <w:p w:rsidR="0042203F" w:rsidP="0042203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42203F" w:rsidP="0042203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42203F" w:rsidP="0042203F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42203F" w:rsidP="0042203F">
      <w:pPr>
        <w:bidi w:val="0"/>
        <w:rPr>
          <w:rFonts w:ascii="Times New Roman" w:hAnsi="Times New Roman"/>
        </w:rPr>
      </w:pPr>
    </w:p>
    <w:p w:rsidR="0042203F" w:rsidP="0042203F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42203F" w:rsidP="0042203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42203F" w:rsidP="0042203F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vládny </w:t>
      </w:r>
      <w:r w:rsidRPr="00072D3B">
        <w:rPr>
          <w:rFonts w:ascii="Times New Roman" w:hAnsi="Times New Roman"/>
        </w:rPr>
        <w:t xml:space="preserve">návrh </w:t>
      </w:r>
      <w:r w:rsidRPr="0042203F">
        <w:rPr>
          <w:rFonts w:ascii="Times New Roman" w:hAnsi="Times New Roman"/>
        </w:rPr>
        <w:t>zákona o ochrane osobných údajov</w:t>
      </w:r>
      <w:r w:rsidRPr="00072D3B">
        <w:rPr>
          <w:rFonts w:ascii="Times New Roman" w:hAnsi="Times New Roman"/>
          <w:b/>
        </w:rPr>
        <w:t xml:space="preserve"> </w:t>
      </w:r>
      <w:r w:rsidRPr="00072D3B">
        <w:rPr>
          <w:rFonts w:ascii="Times New Roman" w:hAnsi="Times New Roman"/>
        </w:rPr>
        <w:t xml:space="preserve">a o zmene a doplnení niektorých zákonov (tlač 358)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42203F" w:rsidP="0042203F">
      <w:pPr>
        <w:bidi w:val="0"/>
        <w:jc w:val="both"/>
        <w:rPr>
          <w:rFonts w:ascii="Times New Roman" w:hAnsi="Times New Roman"/>
        </w:rPr>
      </w:pPr>
    </w:p>
    <w:p w:rsidR="0042203F" w:rsidP="0042203F">
      <w:pPr>
        <w:bidi w:val="0"/>
        <w:jc w:val="both"/>
        <w:rPr>
          <w:rFonts w:ascii="Times New Roman" w:hAnsi="Times New Roman"/>
        </w:rPr>
      </w:pPr>
    </w:p>
    <w:p w:rsidR="0042203F" w:rsidP="0042203F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42203F" w:rsidP="0042203F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2203F" w:rsidP="0042203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42203F" w:rsidP="0042203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2203F" w:rsidP="0042203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ľudské práva a národnostné menšiny. </w:t>
      </w:r>
    </w:p>
    <w:p w:rsidR="0042203F" w:rsidP="0042203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2203F" w:rsidP="0042203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2203F" w:rsidP="0042203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2203F" w:rsidP="0042203F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42203F" w:rsidP="0042203F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42203F" w:rsidP="0042203F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42203F" w:rsidP="0042203F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42203F" w:rsidP="0042203F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42203F" w:rsidP="0042203F">
      <w:pPr>
        <w:bidi w:val="0"/>
        <w:jc w:val="both"/>
        <w:rPr>
          <w:rFonts w:ascii="Times New Roman" w:hAnsi="Times New Roman"/>
          <w:b/>
          <w:szCs w:val="20"/>
        </w:rPr>
      </w:pPr>
    </w:p>
    <w:p w:rsidR="0042203F" w:rsidP="0042203F">
      <w:pPr>
        <w:bidi w:val="0"/>
        <w:jc w:val="both"/>
        <w:rPr>
          <w:rFonts w:ascii="Times New Roman" w:hAnsi="Times New Roman"/>
          <w:b/>
          <w:szCs w:val="20"/>
        </w:rPr>
      </w:pPr>
    </w:p>
    <w:p w:rsidR="0042203F" w:rsidP="0042203F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42203F" w:rsidP="0042203F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42203F" w:rsidP="0042203F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B56485">
        <w:rPr>
          <w:rFonts w:ascii="Times New Roman" w:hAnsi="Times New Roman"/>
          <w:b/>
        </w:rPr>
        <w:t>17</w:t>
      </w:r>
      <w:r w:rsidR="00635294">
        <w:rPr>
          <w:rFonts w:ascii="Times New Roman" w:hAnsi="Times New Roman"/>
          <w:b/>
        </w:rPr>
        <w:t>0</w:t>
      </w:r>
    </w:p>
    <w:p w:rsidR="0042203F" w:rsidP="0042203F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EB735E">
        <w:rPr>
          <w:rFonts w:ascii="Times New Roman" w:hAnsi="Times New Roman"/>
          <w:b/>
        </w:rPr>
        <w:t> 26.</w:t>
      </w:r>
      <w:r>
        <w:rPr>
          <w:rFonts w:ascii="Times New Roman" w:hAnsi="Times New Roman"/>
          <w:b/>
        </w:rPr>
        <w:t xml:space="preserve"> februára 2013</w:t>
      </w:r>
    </w:p>
    <w:p w:rsidR="0042203F" w:rsidP="0042203F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42203F" w:rsidP="004220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2203F" w:rsidP="004220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2203F" w:rsidP="0042203F">
      <w:pPr>
        <w:bidi w:val="0"/>
        <w:ind w:left="670"/>
        <w:rPr>
          <w:rFonts w:ascii="Times New Roman" w:hAnsi="Times New Roman"/>
          <w:lang w:eastAsia="en-US"/>
        </w:rPr>
      </w:pPr>
    </w:p>
    <w:p w:rsidR="0042203F" w:rsidP="0042203F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42203F" w:rsidP="0042203F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42203F" w:rsidRPr="0042203F" w:rsidP="0042203F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DD785C">
        <w:rPr>
          <w:rFonts w:ascii="Times New Roman" w:hAnsi="Times New Roman"/>
          <w:b/>
        </w:rPr>
        <w:t xml:space="preserve">k vládnemu </w:t>
      </w:r>
      <w:r w:rsidRPr="0042203F">
        <w:rPr>
          <w:rFonts w:ascii="Times New Roman" w:hAnsi="Times New Roman"/>
          <w:b/>
        </w:rPr>
        <w:t>návrh</w:t>
      </w:r>
      <w:r>
        <w:rPr>
          <w:rFonts w:ascii="Times New Roman" w:hAnsi="Times New Roman"/>
          <w:b/>
        </w:rPr>
        <w:t>u</w:t>
      </w:r>
      <w:r w:rsidRPr="0042203F">
        <w:rPr>
          <w:rFonts w:ascii="Times New Roman" w:hAnsi="Times New Roman"/>
          <w:b/>
        </w:rPr>
        <w:t xml:space="preserve"> zákona o ochrane osobných údajov a o zmene a doplnení niektorých zákonov (tlač 358)</w:t>
      </w:r>
    </w:p>
    <w:p w:rsidR="0042203F" w:rsidP="0042203F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42203F" w:rsidP="0042203F">
      <w:pPr>
        <w:bidi w:val="0"/>
        <w:jc w:val="both"/>
        <w:rPr>
          <w:rFonts w:ascii="Times New Roman" w:hAnsi="Times New Roman"/>
          <w:b/>
        </w:rPr>
      </w:pPr>
    </w:p>
    <w:p w:rsidR="003258BE">
      <w:pPr>
        <w:bidi w:val="0"/>
        <w:rPr>
          <w:rFonts w:ascii="Times New Roman" w:hAnsi="Times New Roman"/>
        </w:rPr>
      </w:pPr>
    </w:p>
    <w:p w:rsidR="00F76E00" w:rsidP="00F76E00">
      <w:pPr>
        <w:bidi w:val="0"/>
        <w:jc w:val="both"/>
        <w:rPr>
          <w:rFonts w:ascii="Times New Roman" w:hAnsi="Times New Roman"/>
          <w:u w:val="single"/>
        </w:rPr>
      </w:pPr>
    </w:p>
    <w:p w:rsidR="00F76E00" w:rsidP="00115FD4">
      <w:pPr>
        <w:pStyle w:val="ListParagraph"/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4 ods. 3 písm. a)</w:t>
      </w:r>
    </w:p>
    <w:p w:rsidR="00F76E00" w:rsidP="00115FD4">
      <w:pPr>
        <w:bidi w:val="0"/>
        <w:spacing w:line="36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 ods. 3 písm. a) sa za slovo „uchovávanie,“ vkladá  slovo „blokovanie,“.</w:t>
      </w:r>
    </w:p>
    <w:p w:rsidR="00F76E00" w:rsidP="00F76E0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76E00" w:rsidP="00F76E00">
      <w:pPr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 Do všeobecnej definície spracovania osobných údajov sa dopĺňa chýbajúca operácia, ktorá je podrobne definovaná v § 4 ods. 3 písm. a) bod 6.</w:t>
      </w:r>
    </w:p>
    <w:p w:rsidR="00F76E00" w:rsidP="00F76E00">
      <w:pPr>
        <w:bidi w:val="0"/>
        <w:jc w:val="both"/>
        <w:rPr>
          <w:rFonts w:ascii="Times New Roman" w:hAnsi="Times New Roman"/>
          <w:u w:val="single"/>
        </w:rPr>
      </w:pPr>
    </w:p>
    <w:p w:rsidR="00A04C91" w:rsidRPr="00841559" w:rsidP="00A04C91">
      <w:pPr>
        <w:pStyle w:val="ListParagraph"/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u w:val="single"/>
        </w:rPr>
      </w:pPr>
      <w:r w:rsidRPr="00841559">
        <w:rPr>
          <w:rFonts w:ascii="Times New Roman" w:hAnsi="Times New Roman"/>
          <w:u w:val="single"/>
        </w:rPr>
        <w:t>K čl. I § 6 ods. 2 písm. e)</w:t>
      </w:r>
    </w:p>
    <w:p w:rsidR="00A04C91" w:rsidRPr="00841559" w:rsidP="00A04C91">
      <w:pPr>
        <w:pStyle w:val="ListParagraph"/>
        <w:widowControl w:val="0"/>
        <w:autoSpaceDE w:val="0"/>
        <w:autoSpaceDN w:val="0"/>
        <w:bidi w:val="0"/>
        <w:adjustRightInd w:val="0"/>
        <w:ind w:left="1065"/>
        <w:jc w:val="both"/>
        <w:rPr>
          <w:rFonts w:ascii="Times New Roman" w:hAnsi="Times New Roman"/>
          <w:b/>
          <w:u w:val="single"/>
        </w:rPr>
      </w:pPr>
    </w:p>
    <w:p w:rsidR="00A04C91" w:rsidRPr="00841559" w:rsidP="00A04C91">
      <w:pPr>
        <w:bidi w:val="0"/>
        <w:ind w:firstLine="426"/>
        <w:jc w:val="both"/>
        <w:rPr>
          <w:rFonts w:ascii="Times New Roman" w:hAnsi="Times New Roman"/>
        </w:rPr>
      </w:pPr>
      <w:r w:rsidRPr="00841559">
        <w:rPr>
          <w:rFonts w:ascii="Times New Roman" w:hAnsi="Times New Roman"/>
        </w:rPr>
        <w:t xml:space="preserve"> V čl. I § 6 ods. 2 písm. e) znie:</w:t>
      </w:r>
    </w:p>
    <w:p w:rsidR="00A04C91" w:rsidRPr="00841559" w:rsidP="00A04C91">
      <w:pPr>
        <w:bidi w:val="0"/>
        <w:ind w:left="426"/>
        <w:jc w:val="both"/>
        <w:rPr>
          <w:rFonts w:ascii="Times New Roman" w:hAnsi="Times New Roman"/>
          <w:b/>
        </w:rPr>
      </w:pPr>
      <w:r w:rsidRPr="00841559">
        <w:rPr>
          <w:rFonts w:ascii="Times New Roman" w:hAnsi="Times New Roman"/>
        </w:rPr>
        <w:t xml:space="preserve"> „e) zabezpečiť, aby sa osobné údaje spracúvali a využívali výlučne spôsobom, ktorý zodpovedá účelu, na ktorý boli zhromaždené; je neprípustné združovať osobné údaje, ktoré boli získané osobitne na rozdielne účely,“.</w:t>
      </w:r>
      <w:r w:rsidRPr="00841559">
        <w:rPr>
          <w:rFonts w:ascii="Times New Roman" w:hAnsi="Times New Roman"/>
          <w:b/>
        </w:rPr>
        <w:t xml:space="preserve">  </w:t>
      </w:r>
    </w:p>
    <w:p w:rsidR="00A04C91" w:rsidRPr="00841559" w:rsidP="00A04C91">
      <w:pPr>
        <w:bidi w:val="0"/>
        <w:ind w:left="426"/>
        <w:jc w:val="both"/>
        <w:rPr>
          <w:rFonts w:ascii="Times New Roman" w:hAnsi="Times New Roman"/>
          <w:b/>
        </w:rPr>
      </w:pPr>
    </w:p>
    <w:p w:rsidR="00A04C91" w:rsidRPr="00841559" w:rsidP="00A04C91">
      <w:pPr>
        <w:bidi w:val="0"/>
        <w:ind w:left="4253"/>
        <w:jc w:val="both"/>
        <w:rPr>
          <w:rFonts w:ascii="Times New Roman" w:hAnsi="Times New Roman"/>
        </w:rPr>
      </w:pPr>
      <w:r w:rsidRPr="00841559">
        <w:rPr>
          <w:rFonts w:ascii="Times New Roman" w:hAnsi="Times New Roman"/>
        </w:rPr>
        <w:t>Navrhuje sa vypustenie prvej časti vety pôvodného znenia, vzhľadom k tomu, že účel právnej úpravy je dostatočne vymedzený v písm. c) toho istého odseku a v druhej časti tohto ustanovenia za bodkočiarkou a tiež vzhľadom na skutočnosť, že ide len o procesný spôsob (techniku) získavania osobných údajov.</w:t>
      </w:r>
    </w:p>
    <w:p w:rsidR="00A04C91" w:rsidP="00A04C91">
      <w:pPr>
        <w:bidi w:val="0"/>
        <w:ind w:left="2160"/>
        <w:jc w:val="both"/>
        <w:rPr>
          <w:rFonts w:ascii="Times New Roman" w:hAnsi="Times New Roman"/>
        </w:rPr>
      </w:pPr>
    </w:p>
    <w:p w:rsidR="00841559" w:rsidP="00A04C91">
      <w:pPr>
        <w:bidi w:val="0"/>
        <w:ind w:left="2160"/>
        <w:jc w:val="both"/>
        <w:rPr>
          <w:rFonts w:ascii="Times New Roman" w:hAnsi="Times New Roman"/>
        </w:rPr>
      </w:pPr>
    </w:p>
    <w:p w:rsidR="00F76E00" w:rsidP="00115FD4">
      <w:pPr>
        <w:pStyle w:val="ListParagraph"/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9 ods. 2</w:t>
      </w:r>
    </w:p>
    <w:p w:rsidR="00F76E00" w:rsidP="00115FD4">
      <w:pPr>
        <w:bidi w:val="0"/>
        <w:spacing w:line="36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 ods. 2 sa slová „s prevádzkovateľom v zmluve podľa § 8 ods. 4“ nahrádzajú slovami „v zmluve uzatvorenej s prevádzkovateľom podľa § 8 ods. 1“.</w:t>
      </w:r>
    </w:p>
    <w:p w:rsidR="00F76E00" w:rsidP="00F76E00">
      <w:pPr>
        <w:bidi w:val="0"/>
        <w:jc w:val="both"/>
        <w:rPr>
          <w:rFonts w:ascii="Times New Roman" w:hAnsi="Times New Roman"/>
        </w:rPr>
      </w:pPr>
    </w:p>
    <w:p w:rsidR="00F76E00" w:rsidP="00F76E00">
      <w:pPr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úprava, ktorou sa zjednocuje formulácia odkazu na zmluvu medzi prevádzkovateľom a sprostredkovateľom  (napr. § 8 ods. 11 a 12).</w:t>
      </w:r>
    </w:p>
    <w:p w:rsidR="00F76E00" w:rsidP="00F76E00">
      <w:pPr>
        <w:bidi w:val="0"/>
        <w:jc w:val="both"/>
        <w:rPr>
          <w:rFonts w:ascii="Times New Roman" w:hAnsi="Times New Roman"/>
          <w:u w:val="single"/>
        </w:rPr>
      </w:pPr>
    </w:p>
    <w:p w:rsidR="00F76E00" w:rsidP="00F76E00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</w:p>
    <w:p w:rsidR="00F76E00" w:rsidP="00115FD4">
      <w:pPr>
        <w:pStyle w:val="ListParagraph"/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23 ods. 10 písm. e)</w:t>
      </w:r>
    </w:p>
    <w:p w:rsidR="00F76E00" w:rsidP="00115FD4">
      <w:pPr>
        <w:bidi w:val="0"/>
        <w:spacing w:line="36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23 ods. 10 písm. e) sa slová „dátum jeho vyhotovenia“ nahrádzajú slovami „dátum vydania potvrdenia“.</w:t>
      </w:r>
    </w:p>
    <w:p w:rsidR="00F76E00" w:rsidP="00F76E0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76E00" w:rsidP="00F76E00">
      <w:pPr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úprava, ktorou sa zjednocuje formulácia s ustanovením § 24 ods. 5 písm. d).</w:t>
      </w:r>
    </w:p>
    <w:p w:rsidR="00F76E00" w:rsidP="00F76E00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</w:p>
    <w:p w:rsidR="00F76E00" w:rsidP="00115FD4">
      <w:pPr>
        <w:pStyle w:val="ListParagraph"/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24 ods. 3 písm. b)</w:t>
      </w:r>
    </w:p>
    <w:p w:rsidR="00F76E00" w:rsidP="00115FD4">
      <w:pPr>
        <w:pStyle w:val="ListParagraph"/>
        <w:bidi w:val="0"/>
        <w:spacing w:line="36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24 ods. 3 písm. b) znie:</w:t>
      </w:r>
    </w:p>
    <w:p w:rsidR="00F76E00" w:rsidP="00115FD4">
      <w:pPr>
        <w:pStyle w:val="ListParagraph"/>
        <w:bidi w:val="0"/>
        <w:spacing w:line="36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„b) identifikačné údaje prevádzkovateľa alebo sprostredkovateľa, ak zasielajú žiadosť o absolvovanie skúšky za žiadateľa,“.</w:t>
      </w:r>
    </w:p>
    <w:p w:rsidR="00F76E00" w:rsidP="00F76E00">
      <w:pPr>
        <w:pStyle w:val="ListParagraph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Ustanovujú sa ďalšie náležitosti žiadosti v súlade s priloženým návrhom vykonávacieho predpisu [§ 2 písm. b)], nakoľko nie je možné ustanovovať náležitosti žiadosti odkazom na splnomocňovacie ustanovenie zákona, podľa ktorého navyše nie je ani možné upraviť podrobnosti o žiadosti ale len o samotnej skúške.</w:t>
      </w:r>
    </w:p>
    <w:p w:rsidR="00F76E00" w:rsidP="00F76E00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F76E00" w:rsidP="00115FD4">
      <w:pPr>
        <w:pStyle w:val="ListParagraph"/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25 ods. 2 písm. e)</w:t>
      </w:r>
    </w:p>
    <w:p w:rsidR="00F76E00" w:rsidP="00115FD4">
      <w:pPr>
        <w:bidi w:val="0"/>
        <w:spacing w:line="36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25 ods. 2 písm. e) sa slová „dátum jeho vyhotovenia“ nahrádzajú slovami „dátum vydania potvrdenia “.</w:t>
      </w:r>
    </w:p>
    <w:p w:rsidR="00F76E00" w:rsidP="00F76E00">
      <w:pPr>
        <w:bidi w:val="0"/>
        <w:jc w:val="both"/>
        <w:rPr>
          <w:rFonts w:ascii="Times New Roman" w:hAnsi="Times New Roman"/>
        </w:rPr>
      </w:pPr>
    </w:p>
    <w:p w:rsidR="00F76E00" w:rsidP="00F76E00">
      <w:pPr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úprava, ktorou sa zjednocuje formulácia s ustanovením § 24 ods. 5 písm. d).</w:t>
      </w:r>
    </w:p>
    <w:p w:rsidR="00F76E00" w:rsidP="00F76E00">
      <w:pPr>
        <w:pStyle w:val="ListParagraph"/>
        <w:bidi w:val="0"/>
        <w:spacing w:line="360" w:lineRule="auto"/>
        <w:jc w:val="both"/>
        <w:rPr>
          <w:rFonts w:ascii="Times New Roman" w:hAnsi="Times New Roman"/>
          <w:u w:val="single"/>
        </w:rPr>
      </w:pPr>
    </w:p>
    <w:p w:rsidR="00F76E00" w:rsidP="00F76E00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26 ods. 2 písm. c)</w:t>
      </w:r>
    </w:p>
    <w:p w:rsidR="00F76E00" w:rsidP="00115FD4">
      <w:pPr>
        <w:bidi w:val="0"/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26 ods. 2 písm. c) sa slová „spĺňať podmienky podľa § 23 ods. 5 a ods. 6“ nahrádzajú slovami „spĺňať podmienky podľa § 23 ods. 5 až 7“.</w:t>
      </w:r>
    </w:p>
    <w:p w:rsidR="00F76E00" w:rsidP="00F76E0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76E00" w:rsidP="00F76E00">
      <w:pPr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Poverenie zániku zodpovednej osoby sa dopĺňa aj o dôvod opakovaného uloženia pokuty za porušenie povinnosti zodpovednej osoby, ktoré je v súlade s ustanovením § 23 ods. 7, podľa ktorého zodpovednou osobou nemôže byť osoba, ktorej bola opakovane uložená pokuta podľa § 68 ods. 7 písm. f).</w:t>
      </w:r>
    </w:p>
    <w:p w:rsidR="00F76E00" w:rsidP="00F76E00">
      <w:pPr>
        <w:pStyle w:val="ListParagraph"/>
        <w:bidi w:val="0"/>
        <w:spacing w:line="360" w:lineRule="auto"/>
        <w:jc w:val="both"/>
        <w:rPr>
          <w:rFonts w:ascii="Times New Roman" w:hAnsi="Times New Roman"/>
          <w:u w:val="single"/>
        </w:rPr>
      </w:pPr>
    </w:p>
    <w:p w:rsidR="00F76E00" w:rsidP="00F76E00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26 ods. 4</w:t>
      </w:r>
    </w:p>
    <w:p w:rsidR="00F76E00" w:rsidP="00115FD4">
      <w:pPr>
        <w:bidi w:val="0"/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26 ods. 4 sa slová „nepostupuje podľa odseku 3“ nahrádzajú slovami „písomne nepoverí novú zodpovednú osobu podľa odseku 3“.</w:t>
      </w:r>
    </w:p>
    <w:p w:rsidR="00F76E00" w:rsidP="00F76E0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76E00" w:rsidP="00F76E00">
      <w:pPr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Špecifikuje sa konanie uvedené v odseku 3, v prípade ktorého sa postupuje podľa ďalších ustanovení odseku 4.</w:t>
      </w:r>
    </w:p>
    <w:p w:rsidR="00F76E00" w:rsidP="00F76E00">
      <w:pPr>
        <w:bidi w:val="0"/>
        <w:jc w:val="both"/>
        <w:rPr>
          <w:rFonts w:ascii="Times New Roman" w:hAnsi="Times New Roman"/>
          <w:u w:val="single"/>
        </w:rPr>
      </w:pPr>
    </w:p>
    <w:p w:rsidR="00F76E00" w:rsidP="00F76E00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27 ods. 3</w:t>
      </w:r>
    </w:p>
    <w:p w:rsidR="00F76E00" w:rsidP="00115FD4">
      <w:pPr>
        <w:bidi w:val="0"/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27 ods. 3  sa slová „spĺňať podmienky podľa § 23 ods. 5 alebo ods. 6“ nahrádzajú slovami „spĺňať podmienky podľa § 23 ods. 5, 6 alebo 7“.</w:t>
      </w:r>
    </w:p>
    <w:p w:rsidR="00F76E00" w:rsidP="00F76E0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76E00" w:rsidP="00F76E00">
      <w:pPr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Rozširuje sa povinnosť zodpovednej osoby nahlásiť prevádzkovateľovi aj neplnenie podmienky uvedenej v § 23 ods. 7, ktorá je predpokladom na výkon funkcie zodpovednej osoby.</w:t>
      </w:r>
    </w:p>
    <w:p w:rsidR="00F76E00" w:rsidP="00F76E00">
      <w:pPr>
        <w:bidi w:val="0"/>
        <w:jc w:val="both"/>
        <w:rPr>
          <w:rFonts w:ascii="Times New Roman" w:hAnsi="Times New Roman"/>
          <w:u w:val="single"/>
        </w:rPr>
      </w:pPr>
    </w:p>
    <w:p w:rsidR="00F76E00" w:rsidP="00F76E00">
      <w:pPr>
        <w:bidi w:val="0"/>
        <w:jc w:val="both"/>
        <w:rPr>
          <w:rFonts w:ascii="Times New Roman" w:hAnsi="Times New Roman"/>
          <w:u w:val="single"/>
        </w:rPr>
      </w:pPr>
    </w:p>
    <w:p w:rsidR="00F76E00" w:rsidP="00F76E00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28 ods. 1 písm. f)</w:t>
      </w:r>
    </w:p>
    <w:p w:rsidR="00F76E00" w:rsidP="00115FD4">
      <w:pPr>
        <w:bidi w:val="0"/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28 ods. 1 písm. f) sa slová „ak bol splnený účel ich spracovania“ nahrádzajú slovami „ktorých účel spracúvania sa skončil“.</w:t>
      </w:r>
    </w:p>
    <w:p w:rsidR="00F76E00" w:rsidP="00F76E00">
      <w:pPr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Legislatívno-technická úprava, ktorou sa zjednocuje formulácia s ustanovením § 6 ods. 2 písm. h).</w:t>
      </w:r>
    </w:p>
    <w:p w:rsidR="00F76E00" w:rsidP="00F76E00">
      <w:pPr>
        <w:bidi w:val="0"/>
        <w:jc w:val="both"/>
        <w:rPr>
          <w:rFonts w:ascii="Times New Roman" w:hAnsi="Times New Roman"/>
          <w:u w:val="single"/>
        </w:rPr>
      </w:pPr>
    </w:p>
    <w:p w:rsidR="00F76E00" w:rsidP="00F76E00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28 ods. 2</w:t>
      </w:r>
    </w:p>
    <w:p w:rsidR="00F76E00" w:rsidP="00115FD4">
      <w:pPr>
        <w:bidi w:val="0"/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28 ods. 2 sa slová „možno obmedziť len podľa odseku 1 písm. e) a f),“ nahrádzajú slovami „podľa odseku 1 písm. e) a f), možno obmedziť len“.</w:t>
      </w:r>
    </w:p>
    <w:p w:rsidR="00F76E00" w:rsidP="00F76E0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76E00" w:rsidP="00F76E00">
      <w:pPr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vetnej skladby z dôvodu nezrozumiteľnosti pôvodného návrhu.</w:t>
      </w:r>
    </w:p>
    <w:p w:rsidR="00F76E00" w:rsidP="00F76E00">
      <w:pPr>
        <w:bidi w:val="0"/>
        <w:ind w:left="4248"/>
        <w:jc w:val="both"/>
        <w:rPr>
          <w:rFonts w:ascii="Times New Roman" w:hAnsi="Times New Roman"/>
        </w:rPr>
      </w:pPr>
    </w:p>
    <w:p w:rsidR="00F76E00" w:rsidP="00F76E00">
      <w:pPr>
        <w:bidi w:val="0"/>
        <w:jc w:val="both"/>
        <w:rPr>
          <w:rFonts w:ascii="Times New Roman" w:hAnsi="Times New Roman"/>
          <w:u w:val="single"/>
        </w:rPr>
      </w:pPr>
    </w:p>
    <w:p w:rsidR="00F76E00" w:rsidP="00F76E00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31 ods. 1</w:t>
      </w:r>
    </w:p>
    <w:p w:rsidR="00F76E00" w:rsidP="00115FD4">
      <w:pPr>
        <w:pStyle w:val="BodyTextIndent"/>
        <w:widowControl/>
        <w:autoSpaceDE/>
        <w:bidi w:val="0"/>
        <w:adjustRightInd/>
        <w:spacing w:after="0"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31 ods. 1 sa v poznámke pod čiarou k odkazu 32 v zátvorke za slová „Mimoriadne vydanie Ú. v. EÚ kap. 16/zv 1“ vkladajú slová „ ; Ú. v. ES L 215, 25.8.2000“.</w:t>
      </w:r>
    </w:p>
    <w:p w:rsidR="00F76E00" w:rsidP="00F76E00">
      <w:pPr>
        <w:pStyle w:val="ListParagraph"/>
        <w:bidi w:val="0"/>
        <w:spacing w:line="360" w:lineRule="auto"/>
        <w:ind w:left="4956"/>
        <w:jc w:val="both"/>
        <w:rPr>
          <w:rStyle w:val="Emphasis"/>
          <w:rFonts w:eastAsia="Arial Unicode MS" w:asciiTheme="minorHAnsi" w:hAnsiTheme="minorHAnsi"/>
        </w:rPr>
      </w:pPr>
    </w:p>
    <w:p w:rsidR="00F76E00" w:rsidRPr="00F76E00" w:rsidP="00F76E00">
      <w:pPr>
        <w:pStyle w:val="ListParagraph"/>
        <w:bidi w:val="0"/>
        <w:ind w:left="4253"/>
        <w:jc w:val="both"/>
        <w:rPr>
          <w:rStyle w:val="Emphasis"/>
          <w:rFonts w:eastAsia="Arial Unicode MS" w:hint="default"/>
          <w:i w:val="0"/>
        </w:rPr>
      </w:pPr>
      <w:r w:rsidRPr="00F76E00">
        <w:rPr>
          <w:rStyle w:val="Emphasis"/>
          <w:rFonts w:eastAsia="Arial Unicode MS"/>
          <w:i w:val="0"/>
        </w:rPr>
        <w:t>Ide o </w:t>
      </w:r>
      <w:r w:rsidRPr="00F76E00">
        <w:rPr>
          <w:rStyle w:val="Emphasis"/>
          <w:rFonts w:eastAsia="Arial Unicode MS" w:hint="default"/>
          <w:i w:val="0"/>
        </w:rPr>
        <w:t>legislatí</w:t>
      </w:r>
      <w:r w:rsidRPr="00F76E00">
        <w:rPr>
          <w:rStyle w:val="Emphasis"/>
          <w:rFonts w:eastAsia="Arial Unicode MS" w:hint="default"/>
          <w:i w:val="0"/>
        </w:rPr>
        <w:t>vno-technickú</w:t>
      </w:r>
      <w:r w:rsidRPr="00F76E00">
        <w:rPr>
          <w:rStyle w:val="Emphasis"/>
          <w:rFonts w:eastAsia="Arial Unicode MS" w:hint="default"/>
          <w:i w:val="0"/>
        </w:rPr>
        <w:t xml:space="preserve"> ú</w:t>
      </w:r>
      <w:r w:rsidRPr="00F76E00">
        <w:rPr>
          <w:rStyle w:val="Emphasis"/>
          <w:rFonts w:eastAsia="Arial Unicode MS" w:hint="default"/>
          <w:i w:val="0"/>
        </w:rPr>
        <w:t>pravu sú</w:t>
      </w:r>
      <w:r w:rsidRPr="00F76E00">
        <w:rPr>
          <w:rStyle w:val="Emphasis"/>
          <w:rFonts w:eastAsia="Arial Unicode MS" w:hint="default"/>
          <w:i w:val="0"/>
        </w:rPr>
        <w:t>visiacu so zauží</w:t>
      </w:r>
      <w:r w:rsidRPr="00F76E00">
        <w:rPr>
          <w:rStyle w:val="Emphasis"/>
          <w:rFonts w:eastAsia="Arial Unicode MS" w:hint="default"/>
          <w:i w:val="0"/>
        </w:rPr>
        <w:t>vaný</w:t>
      </w:r>
      <w:r w:rsidRPr="00F76E00">
        <w:rPr>
          <w:rStyle w:val="Emphasis"/>
          <w:rFonts w:eastAsia="Arial Unicode MS" w:hint="default"/>
          <w:i w:val="0"/>
        </w:rPr>
        <w:t>m spô</w:t>
      </w:r>
      <w:r w:rsidRPr="00F76E00">
        <w:rPr>
          <w:rStyle w:val="Emphasis"/>
          <w:rFonts w:eastAsia="Arial Unicode MS" w:hint="default"/>
          <w:i w:val="0"/>
        </w:rPr>
        <w:t>sobom citá</w:t>
      </w:r>
      <w:r w:rsidRPr="00F76E00">
        <w:rPr>
          <w:rStyle w:val="Emphasis"/>
          <w:rFonts w:eastAsia="Arial Unicode MS" w:hint="default"/>
          <w:i w:val="0"/>
        </w:rPr>
        <w:t>cie prá</w:t>
      </w:r>
      <w:r w:rsidRPr="00F76E00">
        <w:rPr>
          <w:rStyle w:val="Emphasis"/>
          <w:rFonts w:eastAsia="Arial Unicode MS" w:hint="default"/>
          <w:i w:val="0"/>
        </w:rPr>
        <w:t>vne zá</w:t>
      </w:r>
      <w:r w:rsidRPr="00F76E00">
        <w:rPr>
          <w:rStyle w:val="Emphasis"/>
          <w:rFonts w:eastAsia="Arial Unicode MS" w:hint="default"/>
          <w:i w:val="0"/>
        </w:rPr>
        <w:t>vä</w:t>
      </w:r>
      <w:r w:rsidRPr="00F76E00">
        <w:rPr>
          <w:rStyle w:val="Emphasis"/>
          <w:rFonts w:eastAsia="Arial Unicode MS" w:hint="default"/>
          <w:i w:val="0"/>
        </w:rPr>
        <w:t>zný</w:t>
      </w:r>
      <w:r w:rsidRPr="00F76E00">
        <w:rPr>
          <w:rStyle w:val="Emphasis"/>
          <w:rFonts w:eastAsia="Arial Unicode MS" w:hint="default"/>
          <w:i w:val="0"/>
        </w:rPr>
        <w:t>ch aktov Euró</w:t>
      </w:r>
      <w:r w:rsidRPr="00F76E00">
        <w:rPr>
          <w:rStyle w:val="Emphasis"/>
          <w:rFonts w:eastAsia="Arial Unicode MS" w:hint="default"/>
          <w:i w:val="0"/>
        </w:rPr>
        <w:t>pskej ú</w:t>
      </w:r>
      <w:r w:rsidRPr="00F76E00">
        <w:rPr>
          <w:rStyle w:val="Emphasis"/>
          <w:rFonts w:eastAsia="Arial Unicode MS" w:hint="default"/>
          <w:i w:val="0"/>
        </w:rPr>
        <w:t xml:space="preserve">nie. </w:t>
      </w:r>
    </w:p>
    <w:p w:rsidR="00F76E00" w:rsidRPr="00F76E00" w:rsidP="00F76E00">
      <w:pPr>
        <w:pStyle w:val="ListParagraph"/>
        <w:bidi w:val="0"/>
        <w:ind w:left="4253"/>
        <w:jc w:val="both"/>
        <w:rPr>
          <w:rStyle w:val="Emphasis"/>
          <w:rFonts w:eastAsia="Arial Unicode MS" w:hint="default"/>
          <w:i w:val="0"/>
        </w:rPr>
      </w:pPr>
    </w:p>
    <w:p w:rsidR="00F76E00" w:rsidRPr="00F76E00" w:rsidP="00F76E00">
      <w:pPr>
        <w:pStyle w:val="ListParagraph"/>
        <w:bidi w:val="0"/>
        <w:ind w:left="4253"/>
        <w:jc w:val="both"/>
        <w:rPr>
          <w:rFonts w:ascii="Times New Roman" w:eastAsia="Arial Unicode MS" w:hAnsi="Times New Roman"/>
        </w:rPr>
      </w:pPr>
    </w:p>
    <w:p w:rsidR="00F76E00" w:rsidRPr="00F76E00" w:rsidP="00F76E00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Pr="00F76E00">
        <w:rPr>
          <w:rFonts w:ascii="Times New Roman" w:hAnsi="Times New Roman"/>
          <w:u w:val="single"/>
        </w:rPr>
        <w:t>K čl. I § 31 ods. 2</w:t>
      </w:r>
    </w:p>
    <w:p w:rsidR="00F76E00" w:rsidRPr="00F76E00" w:rsidP="00115FD4">
      <w:pPr>
        <w:pStyle w:val="BodyTextIndent"/>
        <w:widowControl/>
        <w:autoSpaceDE/>
        <w:bidi w:val="0"/>
        <w:adjustRightInd/>
        <w:spacing w:after="0" w:line="360" w:lineRule="auto"/>
        <w:ind w:left="0" w:firstLine="360"/>
        <w:jc w:val="both"/>
        <w:rPr>
          <w:rFonts w:ascii="Times New Roman" w:hAnsi="Times New Roman"/>
        </w:rPr>
      </w:pPr>
      <w:r w:rsidRPr="00F76E00">
        <w:rPr>
          <w:rFonts w:ascii="Times New Roman" w:hAnsi="Times New Roman"/>
        </w:rPr>
        <w:t>V čl. I, § 31 ods. 2 sa v poznámke pod čiarou k odkazu 33 v zátvorke za slová „Mimoriadne vydanie Ú. v. EÚ, kap. 13/zv. 26“ vkladajú slová „ ;Ú. v. ES L 181, 4.7.2001“.</w:t>
      </w:r>
    </w:p>
    <w:p w:rsidR="00F76E00" w:rsidRPr="00F76E00" w:rsidP="00F76E00">
      <w:pPr>
        <w:pStyle w:val="BodyTextIndent"/>
        <w:bidi w:val="0"/>
        <w:spacing w:line="360" w:lineRule="auto"/>
        <w:rPr>
          <w:rFonts w:ascii="Times New Roman" w:hAnsi="Times New Roman"/>
        </w:rPr>
      </w:pPr>
    </w:p>
    <w:p w:rsidR="00F76E00" w:rsidRPr="00F76E00" w:rsidP="00F76E00">
      <w:pPr>
        <w:pStyle w:val="ListParagraph"/>
        <w:bidi w:val="0"/>
        <w:ind w:left="4253"/>
        <w:jc w:val="both"/>
        <w:rPr>
          <w:rStyle w:val="Emphasis"/>
          <w:rFonts w:eastAsia="Arial Unicode MS" w:hint="default"/>
          <w:i w:val="0"/>
        </w:rPr>
      </w:pPr>
      <w:r w:rsidRPr="00F76E00">
        <w:rPr>
          <w:rStyle w:val="Emphasis"/>
          <w:rFonts w:eastAsia="Arial Unicode MS"/>
          <w:i w:val="0"/>
        </w:rPr>
        <w:t>Ide o </w:t>
      </w:r>
      <w:r w:rsidRPr="00F76E00">
        <w:rPr>
          <w:rStyle w:val="Emphasis"/>
          <w:rFonts w:eastAsia="Arial Unicode MS" w:hint="default"/>
          <w:i w:val="0"/>
        </w:rPr>
        <w:t>legislatí</w:t>
      </w:r>
      <w:r w:rsidRPr="00F76E00">
        <w:rPr>
          <w:rStyle w:val="Emphasis"/>
          <w:rFonts w:eastAsia="Arial Unicode MS" w:hint="default"/>
          <w:i w:val="0"/>
        </w:rPr>
        <w:t>vno-technickú</w:t>
      </w:r>
      <w:r w:rsidRPr="00F76E00">
        <w:rPr>
          <w:rStyle w:val="Emphasis"/>
          <w:rFonts w:eastAsia="Arial Unicode MS" w:hint="default"/>
          <w:i w:val="0"/>
        </w:rPr>
        <w:t xml:space="preserve"> ú</w:t>
      </w:r>
      <w:r w:rsidRPr="00F76E00">
        <w:rPr>
          <w:rStyle w:val="Emphasis"/>
          <w:rFonts w:eastAsia="Arial Unicode MS" w:hint="default"/>
          <w:i w:val="0"/>
        </w:rPr>
        <w:t>pravu sú</w:t>
      </w:r>
      <w:r w:rsidRPr="00F76E00">
        <w:rPr>
          <w:rStyle w:val="Emphasis"/>
          <w:rFonts w:eastAsia="Arial Unicode MS" w:hint="default"/>
          <w:i w:val="0"/>
        </w:rPr>
        <w:t>visiacu so zauží</w:t>
      </w:r>
      <w:r w:rsidRPr="00F76E00">
        <w:rPr>
          <w:rStyle w:val="Emphasis"/>
          <w:rFonts w:eastAsia="Arial Unicode MS" w:hint="default"/>
          <w:i w:val="0"/>
        </w:rPr>
        <w:t>vaný</w:t>
      </w:r>
      <w:r w:rsidRPr="00F76E00">
        <w:rPr>
          <w:rStyle w:val="Emphasis"/>
          <w:rFonts w:eastAsia="Arial Unicode MS" w:hint="default"/>
          <w:i w:val="0"/>
        </w:rPr>
        <w:t>m spô</w:t>
      </w:r>
      <w:r w:rsidRPr="00F76E00">
        <w:rPr>
          <w:rStyle w:val="Emphasis"/>
          <w:rFonts w:eastAsia="Arial Unicode MS" w:hint="default"/>
          <w:i w:val="0"/>
        </w:rPr>
        <w:t>sobom citá</w:t>
      </w:r>
      <w:r w:rsidRPr="00F76E00">
        <w:rPr>
          <w:rStyle w:val="Emphasis"/>
          <w:rFonts w:eastAsia="Arial Unicode MS" w:hint="default"/>
          <w:i w:val="0"/>
        </w:rPr>
        <w:t>cie prá</w:t>
      </w:r>
      <w:r w:rsidRPr="00F76E00">
        <w:rPr>
          <w:rStyle w:val="Emphasis"/>
          <w:rFonts w:eastAsia="Arial Unicode MS" w:hint="default"/>
          <w:i w:val="0"/>
        </w:rPr>
        <w:t>vne zá</w:t>
      </w:r>
      <w:r w:rsidRPr="00F76E00">
        <w:rPr>
          <w:rStyle w:val="Emphasis"/>
          <w:rFonts w:eastAsia="Arial Unicode MS" w:hint="default"/>
          <w:i w:val="0"/>
        </w:rPr>
        <w:t>vä</w:t>
      </w:r>
      <w:r w:rsidRPr="00F76E00">
        <w:rPr>
          <w:rStyle w:val="Emphasis"/>
          <w:rFonts w:eastAsia="Arial Unicode MS" w:hint="default"/>
          <w:i w:val="0"/>
        </w:rPr>
        <w:t>zný</w:t>
      </w:r>
      <w:r w:rsidRPr="00F76E00">
        <w:rPr>
          <w:rStyle w:val="Emphasis"/>
          <w:rFonts w:eastAsia="Arial Unicode MS" w:hint="default"/>
          <w:i w:val="0"/>
        </w:rPr>
        <w:t>ch aktov Euró</w:t>
      </w:r>
      <w:r w:rsidRPr="00F76E00">
        <w:rPr>
          <w:rStyle w:val="Emphasis"/>
          <w:rFonts w:eastAsia="Arial Unicode MS" w:hint="default"/>
          <w:i w:val="0"/>
        </w:rPr>
        <w:t>pskej ú</w:t>
      </w:r>
      <w:r w:rsidRPr="00F76E00">
        <w:rPr>
          <w:rStyle w:val="Emphasis"/>
          <w:rFonts w:eastAsia="Arial Unicode MS" w:hint="default"/>
          <w:i w:val="0"/>
        </w:rPr>
        <w:t xml:space="preserve">nie. </w:t>
      </w:r>
    </w:p>
    <w:p w:rsidR="00F76E00" w:rsidRPr="00F76E00" w:rsidP="00F76E00">
      <w:pPr>
        <w:pStyle w:val="ListParagraph"/>
        <w:bidi w:val="0"/>
        <w:spacing w:line="360" w:lineRule="auto"/>
        <w:ind w:left="4253"/>
        <w:jc w:val="both"/>
        <w:rPr>
          <w:rFonts w:ascii="Times New Roman" w:eastAsia="Arial Unicode MS" w:hAnsi="Times New Roman"/>
        </w:rPr>
      </w:pPr>
    </w:p>
    <w:p w:rsidR="00F76E00" w:rsidP="00F76E00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31 ods. 5</w:t>
      </w:r>
    </w:p>
    <w:p w:rsidR="00F76E00" w:rsidP="00115FD4">
      <w:pPr>
        <w:pStyle w:val="BodyTextIndent"/>
        <w:widowControl/>
        <w:autoSpaceDE/>
        <w:bidi w:val="0"/>
        <w:adjustRightInd/>
        <w:spacing w:after="0"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31 ods. 5 sa v poznámke pod čiarou k odkazu 34 v zátvorke za slová „Mimoriadne vydanie Ú. v. EÚ, kap. 16/zv 1“ vkladajú slová „ ; Ú. v. ES L 215, 25.8.2000“.</w:t>
      </w:r>
    </w:p>
    <w:p w:rsidR="00F76E00" w:rsidRPr="00F76E00" w:rsidP="00F76E00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</w:p>
    <w:p w:rsidR="00F76E00" w:rsidRPr="00F76E00" w:rsidP="00F76E00">
      <w:pPr>
        <w:pStyle w:val="ListParagraph"/>
        <w:bidi w:val="0"/>
        <w:ind w:left="4253"/>
        <w:jc w:val="both"/>
        <w:rPr>
          <w:rStyle w:val="Emphasis"/>
          <w:rFonts w:eastAsia="Arial Unicode MS" w:hint="default"/>
          <w:i w:val="0"/>
        </w:rPr>
      </w:pPr>
      <w:r w:rsidRPr="00F76E00">
        <w:rPr>
          <w:rStyle w:val="Emphasis"/>
          <w:rFonts w:eastAsia="Arial Unicode MS"/>
          <w:i w:val="0"/>
        </w:rPr>
        <w:t>Ide o </w:t>
      </w:r>
      <w:r w:rsidRPr="00F76E00">
        <w:rPr>
          <w:rStyle w:val="Emphasis"/>
          <w:rFonts w:eastAsia="Arial Unicode MS" w:hint="default"/>
          <w:i w:val="0"/>
        </w:rPr>
        <w:t>legislatí</w:t>
      </w:r>
      <w:r w:rsidRPr="00F76E00">
        <w:rPr>
          <w:rStyle w:val="Emphasis"/>
          <w:rFonts w:eastAsia="Arial Unicode MS" w:hint="default"/>
          <w:i w:val="0"/>
        </w:rPr>
        <w:t>vno-technickú</w:t>
      </w:r>
      <w:r w:rsidRPr="00F76E00">
        <w:rPr>
          <w:rStyle w:val="Emphasis"/>
          <w:rFonts w:eastAsia="Arial Unicode MS" w:hint="default"/>
          <w:i w:val="0"/>
        </w:rPr>
        <w:t xml:space="preserve"> ú</w:t>
      </w:r>
      <w:r w:rsidRPr="00F76E00">
        <w:rPr>
          <w:rStyle w:val="Emphasis"/>
          <w:rFonts w:eastAsia="Arial Unicode MS" w:hint="default"/>
          <w:i w:val="0"/>
        </w:rPr>
        <w:t>pravu sú</w:t>
      </w:r>
      <w:r w:rsidRPr="00F76E00">
        <w:rPr>
          <w:rStyle w:val="Emphasis"/>
          <w:rFonts w:eastAsia="Arial Unicode MS" w:hint="default"/>
          <w:i w:val="0"/>
        </w:rPr>
        <w:t>visiacu so zauží</w:t>
      </w:r>
      <w:r w:rsidRPr="00F76E00">
        <w:rPr>
          <w:rStyle w:val="Emphasis"/>
          <w:rFonts w:eastAsia="Arial Unicode MS" w:hint="default"/>
          <w:i w:val="0"/>
        </w:rPr>
        <w:t>vaný</w:t>
      </w:r>
      <w:r w:rsidRPr="00F76E00">
        <w:rPr>
          <w:rStyle w:val="Emphasis"/>
          <w:rFonts w:eastAsia="Arial Unicode MS" w:hint="default"/>
          <w:i w:val="0"/>
        </w:rPr>
        <w:t>m spô</w:t>
      </w:r>
      <w:r w:rsidRPr="00F76E00">
        <w:rPr>
          <w:rStyle w:val="Emphasis"/>
          <w:rFonts w:eastAsia="Arial Unicode MS" w:hint="default"/>
          <w:i w:val="0"/>
        </w:rPr>
        <w:t>sobom c</w:t>
      </w:r>
      <w:r w:rsidRPr="00F76E00">
        <w:rPr>
          <w:rStyle w:val="Emphasis"/>
          <w:rFonts w:eastAsia="Arial Unicode MS" w:hint="default"/>
          <w:i w:val="0"/>
        </w:rPr>
        <w:t>itá</w:t>
      </w:r>
      <w:r w:rsidRPr="00F76E00">
        <w:rPr>
          <w:rStyle w:val="Emphasis"/>
          <w:rFonts w:eastAsia="Arial Unicode MS" w:hint="default"/>
          <w:i w:val="0"/>
        </w:rPr>
        <w:t>cie prá</w:t>
      </w:r>
      <w:r w:rsidRPr="00F76E00">
        <w:rPr>
          <w:rStyle w:val="Emphasis"/>
          <w:rFonts w:eastAsia="Arial Unicode MS" w:hint="default"/>
          <w:i w:val="0"/>
        </w:rPr>
        <w:t>vne zá</w:t>
      </w:r>
      <w:r w:rsidRPr="00F76E00">
        <w:rPr>
          <w:rStyle w:val="Emphasis"/>
          <w:rFonts w:eastAsia="Arial Unicode MS" w:hint="default"/>
          <w:i w:val="0"/>
        </w:rPr>
        <w:t>vä</w:t>
      </w:r>
      <w:r w:rsidRPr="00F76E00">
        <w:rPr>
          <w:rStyle w:val="Emphasis"/>
          <w:rFonts w:eastAsia="Arial Unicode MS" w:hint="default"/>
          <w:i w:val="0"/>
        </w:rPr>
        <w:t>zný</w:t>
      </w:r>
      <w:r w:rsidRPr="00F76E00">
        <w:rPr>
          <w:rStyle w:val="Emphasis"/>
          <w:rFonts w:eastAsia="Arial Unicode MS" w:hint="default"/>
          <w:i w:val="0"/>
        </w:rPr>
        <w:t>ch aktov Euró</w:t>
      </w:r>
      <w:r w:rsidRPr="00F76E00">
        <w:rPr>
          <w:rStyle w:val="Emphasis"/>
          <w:rFonts w:eastAsia="Arial Unicode MS" w:hint="default"/>
          <w:i w:val="0"/>
        </w:rPr>
        <w:t>pskej ú</w:t>
      </w:r>
      <w:r w:rsidRPr="00F76E00">
        <w:rPr>
          <w:rStyle w:val="Emphasis"/>
          <w:rFonts w:eastAsia="Arial Unicode MS" w:hint="default"/>
          <w:i w:val="0"/>
        </w:rPr>
        <w:t xml:space="preserve">nie. </w:t>
      </w:r>
    </w:p>
    <w:p w:rsidR="00F76E00" w:rsidP="00F76E00">
      <w:pPr>
        <w:pStyle w:val="ListParagraph"/>
        <w:bidi w:val="0"/>
        <w:ind w:left="4253"/>
        <w:jc w:val="both"/>
        <w:rPr>
          <w:rStyle w:val="Emphasis"/>
          <w:rFonts w:eastAsia="Arial Unicode MS"/>
          <w:i w:val="0"/>
        </w:rPr>
      </w:pPr>
    </w:p>
    <w:p w:rsidR="00F76E00" w:rsidP="00F76E00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eastAsia="Arial Unicode MS" w:hAnsi="Times New Roman"/>
          <w:u w:val="single"/>
        </w:rPr>
      </w:pPr>
      <w:r>
        <w:rPr>
          <w:rFonts w:ascii="Times New Roman" w:hAnsi="Times New Roman"/>
          <w:u w:val="single"/>
        </w:rPr>
        <w:t>K čl. I § 50 ods. 2</w:t>
      </w:r>
    </w:p>
    <w:p w:rsidR="00F76E00" w:rsidP="00115FD4">
      <w:pPr>
        <w:bidi w:val="0"/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V § 50 ods. 2 sa vypúšťajú slová „spĺňa podmienky prijatia do štátnej služby podľa osobitného predpisu,</w:t>
      </w:r>
      <w:r>
        <w:rPr>
          <w:rFonts w:ascii="Times New Roman" w:hAnsi="Times New Roman"/>
          <w:vertAlign w:val="superscript"/>
          <w:lang w:eastAsia="en-US"/>
        </w:rPr>
        <w:t>38</w:t>
      </w:r>
      <w:r>
        <w:rPr>
          <w:rFonts w:ascii="Times New Roman" w:hAnsi="Times New Roman"/>
          <w:lang w:eastAsia="en-US"/>
        </w:rPr>
        <w:t xml:space="preserve">)“. </w:t>
      </w:r>
    </w:p>
    <w:p w:rsidR="00F76E00" w:rsidP="00F76E00">
      <w:pPr>
        <w:pStyle w:val="ListParagraph"/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Keďže inšpektor môže byť vymenovaný podľa § 50 ods. 1 len zo zamestnancov úradu, ktorí vykonávajú štátnu službu, je opakované uvedenie tej istej podmienky nadbytočné. </w:t>
      </w:r>
    </w:p>
    <w:p w:rsidR="00841559" w:rsidP="00F76E00">
      <w:pPr>
        <w:pStyle w:val="ListParagraph"/>
        <w:bidi w:val="0"/>
        <w:spacing w:line="360" w:lineRule="auto"/>
        <w:jc w:val="both"/>
        <w:rPr>
          <w:rFonts w:ascii="Times New Roman" w:hAnsi="Times New Roman"/>
          <w:u w:val="single"/>
        </w:rPr>
      </w:pPr>
    </w:p>
    <w:p w:rsidR="00F76E00" w:rsidP="00F76E00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 § 59 ods. 5</w:t>
      </w:r>
    </w:p>
    <w:p w:rsidR="00F76E00" w:rsidP="00115FD4">
      <w:pPr>
        <w:bidi w:val="0"/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59 ods. 5 druhá veta, sa slová „len úkony, ktoré nedovoľujú odklad“ nahrádzajú slovami „len také úkony, ktoré neznesú odklad“.</w:t>
      </w:r>
    </w:p>
    <w:p w:rsidR="00F76E00" w:rsidP="00F76E00">
      <w:pPr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>Legislatívno-technická úprava, ktorou sa zjednocuje formulácia s ustanovením § 54 ods. 2.</w:t>
      </w:r>
    </w:p>
    <w:p w:rsidR="00F76E00" w:rsidP="00F76E00">
      <w:pPr>
        <w:bidi w:val="0"/>
        <w:jc w:val="both"/>
        <w:rPr>
          <w:rFonts w:ascii="Times New Roman" w:hAnsi="Times New Roman"/>
          <w:u w:val="single"/>
        </w:rPr>
      </w:pPr>
    </w:p>
    <w:p w:rsidR="003F34DA" w:rsidP="00F76E00">
      <w:pPr>
        <w:bidi w:val="0"/>
        <w:jc w:val="both"/>
        <w:rPr>
          <w:rFonts w:ascii="Times New Roman" w:hAnsi="Times New Roman"/>
          <w:u w:val="single"/>
        </w:rPr>
      </w:pPr>
    </w:p>
    <w:p w:rsidR="003F34DA" w:rsidP="00F76E00">
      <w:pPr>
        <w:bidi w:val="0"/>
        <w:jc w:val="both"/>
        <w:rPr>
          <w:rFonts w:ascii="Times New Roman" w:hAnsi="Times New Roman"/>
          <w:u w:val="single"/>
        </w:rPr>
      </w:pPr>
    </w:p>
    <w:p w:rsidR="003F34DA" w:rsidP="00F76E00">
      <w:pPr>
        <w:bidi w:val="0"/>
        <w:jc w:val="both"/>
        <w:rPr>
          <w:rFonts w:ascii="Times New Roman" w:hAnsi="Times New Roman"/>
          <w:u w:val="single"/>
        </w:rPr>
      </w:pPr>
    </w:p>
    <w:p w:rsidR="003F34DA" w:rsidP="00F76E00">
      <w:pPr>
        <w:bidi w:val="0"/>
        <w:jc w:val="both"/>
        <w:rPr>
          <w:rFonts w:ascii="Times New Roman" w:hAnsi="Times New Roman"/>
          <w:u w:val="single"/>
        </w:rPr>
      </w:pPr>
    </w:p>
    <w:p w:rsidR="003F34DA" w:rsidP="00F76E00">
      <w:pPr>
        <w:bidi w:val="0"/>
        <w:jc w:val="both"/>
        <w:rPr>
          <w:rFonts w:ascii="Times New Roman" w:hAnsi="Times New Roman"/>
          <w:u w:val="single"/>
        </w:rPr>
      </w:pPr>
    </w:p>
    <w:p w:rsidR="003F34DA" w:rsidP="00F76E00">
      <w:pPr>
        <w:bidi w:val="0"/>
        <w:jc w:val="both"/>
        <w:rPr>
          <w:rFonts w:ascii="Times New Roman" w:hAnsi="Times New Roman"/>
          <w:u w:val="single"/>
        </w:rPr>
      </w:pPr>
    </w:p>
    <w:p w:rsidR="00F76E00" w:rsidP="00F76E00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60 ods. 4</w:t>
      </w:r>
    </w:p>
    <w:p w:rsidR="00F76E00" w:rsidP="00115FD4">
      <w:pPr>
        <w:bidi w:val="0"/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60 ods. 4 posledná veta sa slovo „úrad“ nahrádza slovami „kontrolný orgán“.</w:t>
      </w:r>
    </w:p>
    <w:p w:rsidR="00F76E00" w:rsidP="00F76E0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76E00" w:rsidP="00F76E00">
      <w:pPr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Kontrolnú činnosť vykonáva podľa návrhu zákona kontrolný orgán a nie samotný úrad. Z uvedeného dôvodu je potrebné v návrhu zákona uviesť správny subjekt, ktorý neprihliada na oneskorene podané námietky.  </w:t>
      </w:r>
    </w:p>
    <w:p w:rsidR="00F76E00" w:rsidP="00F76E00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</w:p>
    <w:p w:rsidR="00F76E00" w:rsidP="00F76E00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61 ods. 1</w:t>
      </w:r>
    </w:p>
    <w:p w:rsidR="00F76E00" w:rsidP="00115FD4">
      <w:pPr>
        <w:bidi w:val="0"/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41</w:t>
      </w:r>
      <w:r w:rsidR="00115FD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znie:</w:t>
      </w:r>
    </w:p>
    <w:p w:rsidR="00F76E00" w:rsidP="00115FD4">
      <w:pPr>
        <w:bidi w:val="0"/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41</w:t>
      </w:r>
      <w:r>
        <w:rPr>
          <w:rFonts w:ascii="Times New Roman" w:hAnsi="Times New Roman"/>
        </w:rPr>
        <w:t>) § 11 ods. 1 písm. h) zákona č. 211/2000 Z. z. o slobodnom prístupe k informáciám a o zmene a doplnení niektorých zákonov (zákon o slobode informácií) v znení neskorších predpisov.“.</w:t>
      </w:r>
    </w:p>
    <w:p w:rsidR="00F76E00" w:rsidP="00F76E00">
      <w:pPr>
        <w:bidi w:val="0"/>
        <w:ind w:left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Spresňuje sa odkaz na ustanovenie osobitného predpisu, na základe ktorého sa nesprístupňuje protokol o kontrole a v ňom obsiahnuté informácie.</w:t>
      </w:r>
    </w:p>
    <w:p w:rsidR="00F76E00" w:rsidP="00F76E00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</w:p>
    <w:p w:rsidR="00F76E00" w:rsidP="00F76E00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65 ods. 1</w:t>
      </w:r>
    </w:p>
    <w:p w:rsidR="00F76E00" w:rsidP="00115FD4">
      <w:pPr>
        <w:bidi w:val="0"/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65 ods. 1 sa slová „alebo inej fyzickej osoby, ak úrad začal konanie bez návrhu,“ sa nahrádzajú slovami „ ,fyzickej osoby v konaní bez návrhu“.</w:t>
      </w:r>
    </w:p>
    <w:p w:rsidR="00F76E00" w:rsidP="00F76E00">
      <w:pPr>
        <w:bidi w:val="0"/>
        <w:ind w:left="4245"/>
        <w:jc w:val="both"/>
        <w:rPr>
          <w:rFonts w:ascii="Times New Roman" w:hAnsi="Times New Roman"/>
        </w:rPr>
      </w:pPr>
    </w:p>
    <w:p w:rsidR="00F76E00" w:rsidP="00F76E00">
      <w:pPr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ustanovenia z dôvodu lepšej zrozumiteľnosti.</w:t>
      </w:r>
    </w:p>
    <w:p w:rsidR="00F76E00" w:rsidP="00F76E00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</w:p>
    <w:p w:rsidR="00F76E00" w:rsidP="00F76E00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 § 71 ods. 3</w:t>
      </w:r>
    </w:p>
    <w:p w:rsidR="00F76E00" w:rsidP="00115FD4">
      <w:pPr>
        <w:bidi w:val="0"/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71 ods. 3 sa slová „podľa odseku 1“ nahrádzajú slovami „podľa odseku 2“.</w:t>
      </w:r>
    </w:p>
    <w:p w:rsidR="00F76E00" w:rsidP="00F76E00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</w:p>
    <w:p w:rsidR="00F76E00" w:rsidP="00F76E00">
      <w:pPr>
        <w:bidi w:val="0"/>
        <w:ind w:left="4245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Legislatívno-technická úprava, ktorou sa opravuje nesprávny vnútorný odkaz.</w:t>
      </w:r>
    </w:p>
    <w:p w:rsidR="00F76E00" w:rsidP="00F76E00">
      <w:pPr>
        <w:bidi w:val="0"/>
        <w:jc w:val="both"/>
        <w:rPr>
          <w:rFonts w:ascii="Times New Roman" w:hAnsi="Times New Roman"/>
          <w:u w:val="single"/>
        </w:rPr>
      </w:pPr>
    </w:p>
    <w:p w:rsidR="00841559" w:rsidP="00F76E00">
      <w:pPr>
        <w:bidi w:val="0"/>
        <w:jc w:val="both"/>
        <w:rPr>
          <w:rFonts w:ascii="Times New Roman" w:hAnsi="Times New Roman"/>
          <w:u w:val="single"/>
        </w:rPr>
      </w:pPr>
    </w:p>
    <w:p w:rsidR="00F76E00" w:rsidP="00F76E00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prílohe zákona</w:t>
      </w:r>
    </w:p>
    <w:p w:rsidR="00F76E00" w:rsidP="00C86C98">
      <w:pPr>
        <w:bidi w:val="0"/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Citácia v prílohe zákona znie:</w:t>
      </w:r>
    </w:p>
    <w:p w:rsidR="00F76E00" w:rsidP="00C86C98">
      <w:pPr>
        <w:bidi w:val="0"/>
        <w:spacing w:line="36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„Smernica Európskeho parlamentu a Rady 95/46/EHS z 24. októbra 1995 o ochrane fyzických osôb pri spracovaní osobných údajov a voľnom pohybe týchto údajov (Mimoriadne vydanie Ú. v. EÚ, kap.13/zv.15; Ú. v. ES L 281, 23.11.1995) v znení nariadenia Európskeho parlamentu a Rady (ES) č. 1882/2003 z 29. septembra 2003 (Mimoriadne vydanie Ú. v. EÚ, </w:t>
      </w:r>
    </w:p>
    <w:p w:rsidR="00F76E00" w:rsidP="00F76E00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kap. 1/zv. 4 ; Ú. v. EÚ L 284, 31.10.2003).“.</w:t>
      </w:r>
    </w:p>
    <w:p w:rsidR="00F76E00" w:rsidRPr="00F76E00" w:rsidP="00F76E00">
      <w:pPr>
        <w:pStyle w:val="BodyTextIndent"/>
        <w:bidi w:val="0"/>
        <w:spacing w:line="360" w:lineRule="auto"/>
        <w:ind w:left="0"/>
        <w:rPr>
          <w:rFonts w:ascii="Times New Roman" w:hAnsi="Times New Roman"/>
        </w:rPr>
      </w:pPr>
    </w:p>
    <w:p w:rsidR="00F76E00" w:rsidRPr="00F76E00" w:rsidP="00F76E00">
      <w:pPr>
        <w:pStyle w:val="ListParagraph"/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  <w:r w:rsidRPr="00F76E00">
        <w:rPr>
          <w:rStyle w:val="Emphasis"/>
          <w:rFonts w:eastAsia="Arial Unicode MS"/>
          <w:i w:val="0"/>
        </w:rPr>
        <w:t>Ide o </w:t>
      </w:r>
      <w:r w:rsidRPr="00F76E00">
        <w:rPr>
          <w:rStyle w:val="Emphasis"/>
          <w:rFonts w:eastAsia="Arial Unicode MS" w:hint="default"/>
          <w:i w:val="0"/>
        </w:rPr>
        <w:t>legislatí</w:t>
      </w:r>
      <w:r w:rsidRPr="00F76E00">
        <w:rPr>
          <w:rStyle w:val="Emphasis"/>
          <w:rFonts w:eastAsia="Arial Unicode MS" w:hint="default"/>
          <w:i w:val="0"/>
        </w:rPr>
        <w:t>vno-technickú</w:t>
      </w:r>
      <w:r w:rsidRPr="00F76E00">
        <w:rPr>
          <w:rStyle w:val="Emphasis"/>
          <w:rFonts w:eastAsia="Arial Unicode MS" w:hint="default"/>
          <w:i w:val="0"/>
        </w:rPr>
        <w:t xml:space="preserve"> ú</w:t>
      </w:r>
      <w:r w:rsidRPr="00F76E00">
        <w:rPr>
          <w:rStyle w:val="Emphasis"/>
          <w:rFonts w:eastAsia="Arial Unicode MS" w:hint="default"/>
          <w:i w:val="0"/>
        </w:rPr>
        <w:t>pravu sú</w:t>
      </w:r>
      <w:r w:rsidRPr="00F76E00">
        <w:rPr>
          <w:rStyle w:val="Emphasis"/>
          <w:rFonts w:eastAsia="Arial Unicode MS" w:hint="default"/>
          <w:i w:val="0"/>
        </w:rPr>
        <w:t>visiacu so zauží</w:t>
      </w:r>
      <w:r w:rsidRPr="00F76E00">
        <w:rPr>
          <w:rStyle w:val="Emphasis"/>
          <w:rFonts w:eastAsia="Arial Unicode MS" w:hint="default"/>
          <w:i w:val="0"/>
        </w:rPr>
        <w:t>vaný</w:t>
      </w:r>
      <w:r w:rsidRPr="00F76E00">
        <w:rPr>
          <w:rStyle w:val="Emphasis"/>
          <w:rFonts w:eastAsia="Arial Unicode MS" w:hint="default"/>
          <w:i w:val="0"/>
        </w:rPr>
        <w:t>m spô</w:t>
      </w:r>
      <w:r w:rsidRPr="00F76E00">
        <w:rPr>
          <w:rStyle w:val="Emphasis"/>
          <w:rFonts w:eastAsia="Arial Unicode MS" w:hint="default"/>
          <w:i w:val="0"/>
        </w:rPr>
        <w:t>sobom citá</w:t>
      </w:r>
      <w:r w:rsidRPr="00F76E00">
        <w:rPr>
          <w:rStyle w:val="Emphasis"/>
          <w:rFonts w:eastAsia="Arial Unicode MS" w:hint="default"/>
          <w:i w:val="0"/>
        </w:rPr>
        <w:t>cie prá</w:t>
      </w:r>
      <w:r w:rsidRPr="00F76E00">
        <w:rPr>
          <w:rStyle w:val="Emphasis"/>
          <w:rFonts w:eastAsia="Arial Unicode MS" w:hint="default"/>
          <w:i w:val="0"/>
        </w:rPr>
        <w:t>vne zá</w:t>
      </w:r>
      <w:r w:rsidRPr="00F76E00">
        <w:rPr>
          <w:rStyle w:val="Emphasis"/>
          <w:rFonts w:eastAsia="Arial Unicode MS" w:hint="default"/>
          <w:i w:val="0"/>
        </w:rPr>
        <w:t>vä</w:t>
      </w:r>
      <w:r w:rsidRPr="00F76E00">
        <w:rPr>
          <w:rStyle w:val="Emphasis"/>
          <w:rFonts w:eastAsia="Arial Unicode MS" w:hint="default"/>
          <w:i w:val="0"/>
        </w:rPr>
        <w:t>zný</w:t>
      </w:r>
      <w:r w:rsidRPr="00F76E00">
        <w:rPr>
          <w:rStyle w:val="Emphasis"/>
          <w:rFonts w:eastAsia="Arial Unicode MS" w:hint="default"/>
          <w:i w:val="0"/>
        </w:rPr>
        <w:t>ch aktov Euró</w:t>
      </w:r>
      <w:r w:rsidRPr="00F76E00">
        <w:rPr>
          <w:rStyle w:val="Emphasis"/>
          <w:rFonts w:eastAsia="Arial Unicode MS" w:hint="default"/>
          <w:i w:val="0"/>
        </w:rPr>
        <w:t>pskej ú</w:t>
      </w:r>
      <w:r w:rsidRPr="00F76E00">
        <w:rPr>
          <w:rStyle w:val="Emphasis"/>
          <w:rFonts w:eastAsia="Arial Unicode MS" w:hint="default"/>
          <w:i w:val="0"/>
        </w:rPr>
        <w:t>nie.</w:t>
      </w:r>
      <w:r w:rsidRPr="00F76E00">
        <w:rPr>
          <w:rStyle w:val="Emphasis"/>
          <w:rFonts w:eastAsia="Arial Unicode MS" w:hint="default"/>
          <w:i w:val="0"/>
        </w:rPr>
        <w:t xml:space="preserve"> </w:t>
      </w:r>
    </w:p>
    <w:p w:rsidR="00F76E00" w:rsidRPr="00F76E00" w:rsidP="00F76E00">
      <w:pPr>
        <w:bidi w:val="0"/>
        <w:spacing w:line="360" w:lineRule="auto"/>
        <w:ind w:firstLine="360"/>
        <w:jc w:val="center"/>
        <w:rPr>
          <w:rFonts w:ascii="Times New Roman" w:eastAsia="Arial Unicode MS" w:hAnsi="Times New Roman"/>
          <w:b/>
        </w:rPr>
      </w:pPr>
    </w:p>
    <w:p w:rsidR="00F76E00" w:rsidRPr="00F76E00" w:rsidP="00F76E00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F76E0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55A64"/>
    <w:multiLevelType w:val="hybridMultilevel"/>
    <w:tmpl w:val="5FA60168"/>
    <w:lvl w:ilvl="0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7FF4A67"/>
    <w:multiLevelType w:val="hybridMultilevel"/>
    <w:tmpl w:val="57B889DC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3">
    <w:nsid w:val="62DC582D"/>
    <w:multiLevelType w:val="hybridMultilevel"/>
    <w:tmpl w:val="357076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2203F"/>
    <w:rsid w:val="00072D3B"/>
    <w:rsid w:val="00115FD4"/>
    <w:rsid w:val="003258BE"/>
    <w:rsid w:val="003F34DA"/>
    <w:rsid w:val="0042203F"/>
    <w:rsid w:val="00635294"/>
    <w:rsid w:val="00841559"/>
    <w:rsid w:val="008539D1"/>
    <w:rsid w:val="00A04C91"/>
    <w:rsid w:val="00B56485"/>
    <w:rsid w:val="00C86C98"/>
    <w:rsid w:val="00CC149F"/>
    <w:rsid w:val="00DD785C"/>
    <w:rsid w:val="00EB735E"/>
    <w:rsid w:val="00F76E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03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2203F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2203F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2203F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2203F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2203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2203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2203F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539D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539D1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F76E00"/>
    <w:rPr>
      <w:rFonts w:ascii="Times New Roman" w:hAnsi="Times New Roman" w:cs="Times New Roman"/>
      <w:i/>
      <w:iCs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F76E00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76E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76E00"/>
    <w:rPr>
      <w:rFonts w:ascii="Times New Roman" w:hAnsi="Times New Roman"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7</Pages>
  <Words>1230</Words>
  <Characters>7011</Characters>
  <Application>Microsoft Office Word</Application>
  <DocSecurity>0</DocSecurity>
  <Lines>0</Lines>
  <Paragraphs>0</Paragraphs>
  <ScaleCrop>false</ScaleCrop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12</cp:revision>
  <cp:lastPrinted>2013-02-26T10:19:00Z</cp:lastPrinted>
  <dcterms:created xsi:type="dcterms:W3CDTF">2013-01-29T14:14:00Z</dcterms:created>
  <dcterms:modified xsi:type="dcterms:W3CDTF">2013-02-26T10:20:00Z</dcterms:modified>
</cp:coreProperties>
</file>