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F43BE" w:rsidP="00EF43BE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</w:t>
      </w:r>
    </w:p>
    <w:p w:rsidR="00EF43BE" w:rsidP="00EF43BE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     pre európske záležitosti</w:t>
      </w:r>
    </w:p>
    <w:p w:rsidR="00EF43BE" w:rsidP="00EF43BE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            </w:t>
      </w:r>
    </w:p>
    <w:p w:rsidR="00EF43BE" w:rsidP="00EF43BE">
      <w:pPr>
        <w:tabs>
          <w:tab w:val="left" w:pos="567"/>
        </w:tabs>
        <w:bidi w:val="0"/>
        <w:rPr>
          <w:rFonts w:ascii="Times New Roman" w:hAnsi="Times New Roman"/>
        </w:rPr>
      </w:pPr>
    </w:p>
    <w:p w:rsidR="00EF43BE" w:rsidP="00EF43BE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>
        <w:rPr>
          <w:rFonts w:ascii="Times New Roman" w:hAnsi="Times New Roman"/>
        </w:rPr>
        <w:tab/>
        <w:t>1</w:t>
      </w:r>
      <w:r w:rsidR="00C92BA8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schôdza výboru </w:t>
      </w:r>
    </w:p>
    <w:p w:rsidR="00EF43BE" w:rsidP="00EF43BE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  <w:r w:rsidR="000D2506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</w:r>
      <w:r w:rsidRPr="00A23F27" w:rsidR="000D2506">
        <w:rPr>
          <w:rFonts w:ascii="Times New Roman" w:hAnsi="Times New Roman"/>
        </w:rPr>
        <w:t>CRD-</w:t>
      </w:r>
      <w:r w:rsidRPr="00550B94" w:rsidR="000D2506">
        <w:rPr>
          <w:rFonts w:ascii="Times New Roman" w:hAnsi="Times New Roman"/>
        </w:rPr>
        <w:t>2</w:t>
      </w:r>
      <w:r w:rsidR="004641C7">
        <w:rPr>
          <w:rFonts w:ascii="Times New Roman" w:hAnsi="Times New Roman"/>
        </w:rPr>
        <w:t>4</w:t>
      </w:r>
      <w:r w:rsidR="00C92BA8">
        <w:rPr>
          <w:rFonts w:ascii="Times New Roman" w:hAnsi="Times New Roman"/>
        </w:rPr>
        <w:t>6</w:t>
      </w:r>
      <w:r w:rsidRPr="00A23F27" w:rsidR="000D2506">
        <w:rPr>
          <w:rFonts w:ascii="Times New Roman" w:hAnsi="Times New Roman"/>
        </w:rPr>
        <w:t>/201</w:t>
      </w:r>
      <w:r w:rsidR="004641C7">
        <w:rPr>
          <w:rFonts w:ascii="Times New Roman" w:hAnsi="Times New Roman"/>
        </w:rPr>
        <w:t>3</w:t>
      </w:r>
      <w:r w:rsidRPr="00A23F27" w:rsidR="000D2506">
        <w:rPr>
          <w:rFonts w:ascii="Times New Roman" w:hAnsi="Times New Roman"/>
        </w:rPr>
        <w:t>-VEZ</w:t>
      </w:r>
    </w:p>
    <w:p w:rsidR="00EF43BE" w:rsidP="00EF43BE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7C1E6A">
        <w:rPr>
          <w:rFonts w:ascii="Times New Roman" w:hAnsi="Times New Roman"/>
          <w:b/>
          <w:sz w:val="28"/>
          <w:szCs w:val="28"/>
        </w:rPr>
        <w:t>60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EF43BE" w:rsidP="00EF43BE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EF43BE" w:rsidP="00EF43BE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EF43BE" w:rsidP="00EF43BE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EF43BE" w:rsidP="00EF43BE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EF43BE" w:rsidP="00EF43BE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</w:t>
      </w:r>
      <w:r w:rsidR="00C92BA8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. </w:t>
      </w:r>
      <w:r w:rsidR="004641C7">
        <w:rPr>
          <w:rFonts w:ascii="Times New Roman" w:hAnsi="Times New Roman"/>
        </w:rPr>
        <w:t>febr</w:t>
      </w:r>
      <w:r w:rsidR="000D2506">
        <w:rPr>
          <w:rFonts w:ascii="Times New Roman" w:hAnsi="Times New Roman"/>
        </w:rPr>
        <w:t>uára 2013</w:t>
      </w:r>
    </w:p>
    <w:p w:rsidR="00EF43BE" w:rsidP="00EF43BE">
      <w:pPr>
        <w:pStyle w:val="Heading2"/>
        <w:tabs>
          <w:tab w:val="left" w:pos="567"/>
        </w:tabs>
        <w:bidi w:val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Výbor Národnej rady Slovenskej republiky pre európske záležitosti</w:t>
      </w:r>
    </w:p>
    <w:p w:rsidR="00EF43BE" w:rsidP="00EF43BE">
      <w:pPr>
        <w:tabs>
          <w:tab w:val="left" w:pos="1021"/>
        </w:tabs>
        <w:bidi w:val="0"/>
        <w:jc w:val="both"/>
        <w:rPr>
          <w:rFonts w:ascii="Times New Roman" w:hAnsi="Times New Roman"/>
          <w:b/>
        </w:rPr>
      </w:pPr>
    </w:p>
    <w:p w:rsidR="00EF43BE" w:rsidP="00EF43BE">
      <w:pPr>
        <w:bidi w:val="0"/>
        <w:jc w:val="both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</w:rPr>
        <w:t>A.</w:t>
        <w:tab/>
        <w:t>berie na vedomie</w:t>
      </w:r>
    </w:p>
    <w:p w:rsidR="00FD5C07" w:rsidRPr="00FD5C07" w:rsidP="00354164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E7851">
        <w:rPr>
          <w:rFonts w:ascii="Times New Roman" w:hAnsi="Times New Roman"/>
          <w:sz w:val="20"/>
          <w:szCs w:val="20"/>
        </w:rPr>
        <w:t>Návrh nariadenia Rady</w:t>
      </w:r>
      <w:r w:rsidR="00161A75">
        <w:rPr>
          <w:rFonts w:ascii="Times New Roman" w:hAnsi="Times New Roman"/>
          <w:sz w:val="20"/>
          <w:szCs w:val="20"/>
        </w:rPr>
        <w:t>,</w:t>
      </w:r>
      <w:r w:rsidRPr="000E7851">
        <w:rPr>
          <w:rFonts w:ascii="Times New Roman" w:hAnsi="Times New Roman"/>
          <w:sz w:val="20"/>
          <w:szCs w:val="20"/>
        </w:rPr>
        <w:t xml:space="preserve"> ktorým sa stanovujú kritériá, na základe ktorých sa určuje, kedy medený šrot prestáva byť odpadom podľa smernice Európskeho parlamentu a Rady 2008/98/ES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(2012) 787;</w:t>
      </w:r>
    </w:p>
    <w:p w:rsidR="00FD5C07" w:rsidP="00FD5C07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E7851">
        <w:rPr>
          <w:rFonts w:ascii="Times New Roman" w:hAnsi="Times New Roman"/>
          <w:sz w:val="20"/>
          <w:szCs w:val="20"/>
        </w:rPr>
        <w:t>Návrh nariadenia Rady o upustení od povinnosti predkladať colné vyhlásenia o vstupe a výstupe pre tovar Únie, ktorý sa prepravuje cez neumský koridor</w:t>
      </w:r>
      <w:r>
        <w:rPr>
          <w:rFonts w:ascii="Times New Roman" w:hAnsi="Times New Roman"/>
          <w:sz w:val="20"/>
          <w:szCs w:val="20"/>
        </w:rPr>
        <w:t xml:space="preserve"> </w:t>
      </w:r>
      <w:r w:rsidRPr="00354164">
        <w:rPr>
          <w:rFonts w:ascii="Times New Roman" w:hAnsi="Times New Roman"/>
          <w:b/>
          <w:sz w:val="20"/>
          <w:szCs w:val="20"/>
        </w:rPr>
        <w:t>KOM (2013) 1;</w:t>
      </w:r>
    </w:p>
    <w:p w:rsidR="00FD5C07" w:rsidP="00FD5C07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E7851">
        <w:rPr>
          <w:rFonts w:ascii="Times New Roman" w:hAnsi="Times New Roman"/>
          <w:sz w:val="20"/>
          <w:szCs w:val="20"/>
        </w:rPr>
        <w:t>Návrh rozhodnutia Rady o podpísaní dohody medzi Európskou úniou a Ruskou federáciou o drogových prekurzoroch v mene Európskej únie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(2013) 3</w:t>
      </w:r>
      <w:r w:rsidRPr="00354164">
        <w:rPr>
          <w:rFonts w:ascii="Times New Roman" w:hAnsi="Times New Roman"/>
          <w:b/>
          <w:sz w:val="20"/>
          <w:szCs w:val="20"/>
        </w:rPr>
        <w:t>;</w:t>
      </w:r>
    </w:p>
    <w:p w:rsidR="00FD5C07" w:rsidP="00FD5C07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E7851">
        <w:rPr>
          <w:rFonts w:ascii="Times New Roman" w:hAnsi="Times New Roman"/>
          <w:sz w:val="20"/>
          <w:szCs w:val="20"/>
        </w:rPr>
        <w:t>Návrh rozhodnutia Rady o uzavretí dohody medzi Európskou úniou a Ruskou federáciou o drogových prekurzoroch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(2013) 4</w:t>
      </w:r>
      <w:r w:rsidRPr="00354164">
        <w:rPr>
          <w:rFonts w:ascii="Times New Roman" w:hAnsi="Times New Roman"/>
          <w:b/>
          <w:sz w:val="20"/>
          <w:szCs w:val="20"/>
        </w:rPr>
        <w:t>;</w:t>
      </w:r>
    </w:p>
    <w:p w:rsidR="00FD5C07" w:rsidP="00FD5C07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E7851">
        <w:rPr>
          <w:rFonts w:ascii="Times New Roman" w:hAnsi="Times New Roman"/>
          <w:sz w:val="20"/>
          <w:szCs w:val="20"/>
        </w:rPr>
        <w:t>Návrh rozhodnutia Rady, ktorým sa Francúzsku povoľuje uplatňovať zníženú daňovú sadzbu na bezolovnatý benzín používaný ako pohonná hmota a uvoľnený na spotrebu v departementoch Korziky podľa článku 19 smernice 2003/96/ES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(2013) 8</w:t>
      </w:r>
      <w:r w:rsidRPr="00354164">
        <w:rPr>
          <w:rFonts w:ascii="Times New Roman" w:hAnsi="Times New Roman"/>
          <w:b/>
          <w:sz w:val="20"/>
          <w:szCs w:val="20"/>
        </w:rPr>
        <w:t>;</w:t>
      </w:r>
    </w:p>
    <w:p w:rsidR="00FD5C07" w:rsidP="00FD5C07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E7851">
        <w:rPr>
          <w:rFonts w:ascii="Times New Roman" w:hAnsi="Times New Roman"/>
          <w:sz w:val="20"/>
          <w:szCs w:val="20"/>
        </w:rPr>
        <w:t>Návrh nariadenia Európskeho parlamentu a Rady, ktorým sa mení a dopĺňa nariadenie Rady (ES) č. 1224/2009, ktorým sa zriaďuje systém kontroly Spoločenstva na zabezpečenie dodržiavania pravidiel spoločnej politiky v oblasti rybného hospodárstva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(2013) 9</w:t>
      </w:r>
      <w:r w:rsidRPr="00354164">
        <w:rPr>
          <w:rFonts w:ascii="Times New Roman" w:hAnsi="Times New Roman"/>
          <w:b/>
          <w:sz w:val="20"/>
          <w:szCs w:val="20"/>
        </w:rPr>
        <w:t>;</w:t>
      </w:r>
    </w:p>
    <w:p w:rsidR="00FD5C07" w:rsidRPr="00FD5C07" w:rsidP="00FD5C07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E7851">
        <w:rPr>
          <w:rFonts w:ascii="Times New Roman" w:hAnsi="Times New Roman"/>
          <w:sz w:val="20"/>
          <w:szCs w:val="20"/>
        </w:rPr>
        <w:t>Návrh na vykonávacie nariadenie Rady, ktorým sa ukladá konečné antidumpingové clo na dovoz bioetanolu s pôvodom v Spojených štátoch amerických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(2013) 14</w:t>
      </w:r>
      <w:r w:rsidRPr="00354164">
        <w:rPr>
          <w:rFonts w:ascii="Times New Roman" w:hAnsi="Times New Roman"/>
          <w:b/>
          <w:sz w:val="20"/>
          <w:szCs w:val="20"/>
        </w:rPr>
        <w:t>;</w:t>
      </w:r>
    </w:p>
    <w:p w:rsidR="00FD5C07" w:rsidRPr="00FD5C07" w:rsidP="00FD5C07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E7851">
        <w:rPr>
          <w:rFonts w:ascii="Times New Roman" w:hAnsi="Times New Roman"/>
          <w:sz w:val="20"/>
          <w:szCs w:val="20"/>
        </w:rPr>
        <w:t>Návrh nariadenia Európskeho parlamentu a Rady, ktorým sa mení a dopĺňa nariadenie Rady (ES) č. 2173/2005 vytvorení licenčného systému FLEGT na dovoz dreva do Európskeho spoločenstva</w:t>
      </w:r>
      <w:r>
        <w:rPr>
          <w:rFonts w:ascii="Times New Roman" w:hAnsi="Times New Roman"/>
          <w:sz w:val="20"/>
          <w:szCs w:val="20"/>
        </w:rPr>
        <w:t xml:space="preserve"> </w:t>
      </w:r>
      <w:r w:rsidRPr="00354164">
        <w:rPr>
          <w:rFonts w:ascii="Times New Roman" w:hAnsi="Times New Roman"/>
          <w:b/>
          <w:sz w:val="20"/>
          <w:szCs w:val="20"/>
        </w:rPr>
        <w:t>KOM (</w:t>
      </w:r>
      <w:r>
        <w:rPr>
          <w:rFonts w:ascii="Times New Roman" w:hAnsi="Times New Roman"/>
          <w:b/>
          <w:sz w:val="20"/>
          <w:szCs w:val="20"/>
        </w:rPr>
        <w:t>2013) 15</w:t>
      </w:r>
      <w:r w:rsidRPr="00354164">
        <w:rPr>
          <w:rFonts w:ascii="Times New Roman" w:hAnsi="Times New Roman"/>
          <w:b/>
          <w:sz w:val="20"/>
          <w:szCs w:val="20"/>
        </w:rPr>
        <w:t>;</w:t>
      </w:r>
    </w:p>
    <w:p w:rsidR="00FD5C07" w:rsidRPr="00354164" w:rsidP="00FD5C07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354164">
        <w:rPr>
          <w:rFonts w:ascii="Times New Roman" w:hAnsi="Times New Roman"/>
          <w:sz w:val="20"/>
          <w:szCs w:val="20"/>
        </w:rPr>
        <w:t>Návrh smernice Európskeho parlamentu a Rady o zavádzaní infraštruktúry pre alternatívne palivá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(2013) 18</w:t>
      </w:r>
      <w:r w:rsidRPr="00354164">
        <w:rPr>
          <w:rFonts w:ascii="Times New Roman" w:hAnsi="Times New Roman"/>
          <w:b/>
          <w:sz w:val="20"/>
          <w:szCs w:val="20"/>
        </w:rPr>
        <w:t>;</w:t>
      </w:r>
    </w:p>
    <w:p w:rsidR="00FD5C07" w:rsidP="00FD5C07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E7851">
        <w:rPr>
          <w:rFonts w:ascii="Times New Roman" w:hAnsi="Times New Roman"/>
          <w:sz w:val="20"/>
          <w:szCs w:val="20"/>
        </w:rPr>
        <w:t>Návrh rozhodnutia Rady o predložení žiadostí v mene Európskej únie týkajúcich sa nových položiek v prílohe VIII alebo IX k Bazilejskému dohovoru o riadení pohybov nebezpečných odpadov cez hranice štátov a ich zneškodňovaní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(2013) 20</w:t>
      </w:r>
      <w:r w:rsidRPr="00354164">
        <w:rPr>
          <w:rFonts w:ascii="Times New Roman" w:hAnsi="Times New Roman"/>
          <w:b/>
          <w:sz w:val="20"/>
          <w:szCs w:val="20"/>
        </w:rPr>
        <w:t>;</w:t>
      </w:r>
    </w:p>
    <w:p w:rsidR="00FD5C07" w:rsidP="00FD5C07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E7851">
        <w:rPr>
          <w:rFonts w:ascii="Times New Roman" w:hAnsi="Times New Roman"/>
          <w:sz w:val="20"/>
          <w:szCs w:val="20"/>
        </w:rPr>
        <w:t>Návrh na vykonávacie nariadenie Rady, ktorým sa ukladá konečné antidumpingové clo na dovoz určitých upravených alebo konzervovaných citrusových plodov (najmä mandarínok atď.) s pôvodom v Čínskej ľudovej republike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(2013) 21</w:t>
      </w:r>
      <w:r w:rsidRPr="00354164">
        <w:rPr>
          <w:rFonts w:ascii="Times New Roman" w:hAnsi="Times New Roman"/>
          <w:b/>
          <w:sz w:val="20"/>
          <w:szCs w:val="20"/>
        </w:rPr>
        <w:t>;</w:t>
      </w:r>
    </w:p>
    <w:p w:rsidR="00FD5C07" w:rsidP="00FD5C07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E7851">
        <w:rPr>
          <w:rFonts w:ascii="Times New Roman" w:hAnsi="Times New Roman"/>
          <w:sz w:val="20"/>
          <w:szCs w:val="20"/>
        </w:rPr>
        <w:t>Návrh rozhodnutia Rady, ktorým sa Francúzsku povoľuje uplatňovať znížené úrovne zdanenia benzínu a plynového oleja používaných ako pohonné hmoty v súlade s článkom 19 smernice 2003/96/ES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(2013) 22</w:t>
      </w:r>
      <w:r w:rsidRPr="00354164">
        <w:rPr>
          <w:rFonts w:ascii="Times New Roman" w:hAnsi="Times New Roman"/>
          <w:b/>
          <w:sz w:val="20"/>
          <w:szCs w:val="20"/>
        </w:rPr>
        <w:t>;</w:t>
      </w:r>
    </w:p>
    <w:p w:rsidR="00FD5C07" w:rsidP="00FD5C07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E7851">
        <w:rPr>
          <w:rFonts w:ascii="Times New Roman" w:hAnsi="Times New Roman"/>
          <w:sz w:val="20"/>
          <w:szCs w:val="20"/>
        </w:rPr>
        <w:t>Návrh nariadenia Európskeho parlamentu a Rady o zrušení nariadenia Rady (EHS) č. 1192/69 o spoločných pravidlách normalizácie účtovnej závierky železničných podnikov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(2013) 26</w:t>
      </w:r>
      <w:r w:rsidRPr="00354164">
        <w:rPr>
          <w:rFonts w:ascii="Times New Roman" w:hAnsi="Times New Roman"/>
          <w:b/>
          <w:sz w:val="20"/>
          <w:szCs w:val="20"/>
        </w:rPr>
        <w:t>;</w:t>
      </w:r>
    </w:p>
    <w:p w:rsidR="00FD5C07" w:rsidRPr="00354164" w:rsidP="00FD5C07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E7851">
        <w:rPr>
          <w:rFonts w:ascii="Times New Roman" w:hAnsi="Times New Roman"/>
          <w:sz w:val="20"/>
          <w:szCs w:val="20"/>
        </w:rPr>
        <w:t>Návrh nariadenia Európskeho parlamentu a Rady o Železničnej agentúre Európskej únie,</w:t>
      </w:r>
      <w:r w:rsidRPr="000E7851">
        <w:rPr>
          <w:rFonts w:ascii="Times New Roman" w:hAnsi="Times New Roman"/>
          <w:bCs/>
          <w:sz w:val="20"/>
          <w:szCs w:val="20"/>
          <w:lang w:eastAsia="en-US"/>
        </w:rPr>
        <w:t xml:space="preserve"> ktorým sa zrušuje nariadenie (ES) č. 881/2004</w:t>
      </w:r>
      <w:r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(2013) 27</w:t>
      </w:r>
      <w:r w:rsidRPr="00354164">
        <w:rPr>
          <w:rFonts w:ascii="Times New Roman" w:hAnsi="Times New Roman"/>
          <w:b/>
          <w:sz w:val="20"/>
          <w:szCs w:val="20"/>
        </w:rPr>
        <w:t>;</w:t>
      </w:r>
    </w:p>
    <w:p w:rsidR="00FD5C07" w:rsidP="00FD5C07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E7851">
        <w:rPr>
          <w:rFonts w:ascii="Times New Roman" w:hAnsi="Times New Roman"/>
          <w:sz w:val="20"/>
          <w:szCs w:val="20"/>
        </w:rPr>
        <w:t>Návrh nariadenia Európskeho parlamentu a Rady, ktorým sa mení a dopĺňa nariadenie (ES) č. 1370/2007, pokiaľ ide o otvorenie trhu so službami vnútroštátnej osobnej železničnej dopravy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(2013) 28</w:t>
      </w:r>
      <w:r w:rsidRPr="00354164">
        <w:rPr>
          <w:rFonts w:ascii="Times New Roman" w:hAnsi="Times New Roman"/>
          <w:b/>
          <w:sz w:val="20"/>
          <w:szCs w:val="20"/>
        </w:rPr>
        <w:t>;</w:t>
      </w:r>
    </w:p>
    <w:p w:rsidR="00FD5C07" w:rsidP="00FD5C07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E7851">
        <w:rPr>
          <w:rFonts w:ascii="Times New Roman" w:hAnsi="Times New Roman"/>
          <w:sz w:val="20"/>
          <w:szCs w:val="20"/>
        </w:rPr>
        <w:t>Návrh smernice Európskeho parlamentu a Rady, ktorou sa mení a dopĺňa smernica Európskeho parlamentu a Rady 2012/34/EÚ z 21. novembra 2012, ktorou sa zriaďuje jednotný európsky železničný priestor, pokiaľ ide o otvorenie trhu so službami vnútroštátnej osobnej železničnej dopravy a o správu železničnej infraštruktúry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(2013) 29</w:t>
      </w:r>
      <w:r w:rsidRPr="00354164">
        <w:rPr>
          <w:rFonts w:ascii="Times New Roman" w:hAnsi="Times New Roman"/>
          <w:b/>
          <w:sz w:val="20"/>
          <w:szCs w:val="20"/>
        </w:rPr>
        <w:t>;</w:t>
      </w:r>
    </w:p>
    <w:p w:rsidR="00FD5C07" w:rsidP="00FD5C07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E7851">
        <w:rPr>
          <w:rFonts w:ascii="Times New Roman" w:hAnsi="Times New Roman"/>
          <w:sz w:val="20"/>
          <w:szCs w:val="20"/>
        </w:rPr>
        <w:t>Návrh smernice Európskeho parlamentu a Rady o interoperabilite systému železníc v Európskej únii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(2013) 30</w:t>
      </w:r>
      <w:r w:rsidRPr="00354164">
        <w:rPr>
          <w:rFonts w:ascii="Times New Roman" w:hAnsi="Times New Roman"/>
          <w:b/>
          <w:sz w:val="20"/>
          <w:szCs w:val="20"/>
        </w:rPr>
        <w:t>;</w:t>
      </w:r>
    </w:p>
    <w:p w:rsidR="00FD5C07" w:rsidP="00FD5C07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E7851">
        <w:rPr>
          <w:rFonts w:ascii="Times New Roman" w:hAnsi="Times New Roman"/>
          <w:sz w:val="20"/>
          <w:szCs w:val="20"/>
        </w:rPr>
        <w:t>Návrh smernice Európskeho parlamentu a Rady o bezpečnosti železníc (prepracované znenie)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(2013) 31</w:t>
      </w:r>
      <w:r w:rsidRPr="00354164">
        <w:rPr>
          <w:rFonts w:ascii="Times New Roman" w:hAnsi="Times New Roman"/>
          <w:b/>
          <w:sz w:val="20"/>
          <w:szCs w:val="20"/>
        </w:rPr>
        <w:t>;</w:t>
      </w:r>
    </w:p>
    <w:p w:rsidR="00FD5C07" w:rsidRPr="00FD5C07" w:rsidP="00FD5C07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354164">
        <w:rPr>
          <w:rFonts w:ascii="Times New Roman" w:hAnsi="Times New Roman"/>
          <w:bCs/>
          <w:sz w:val="20"/>
          <w:szCs w:val="20"/>
          <w:lang w:eastAsia="en-US"/>
        </w:rPr>
        <w:t>Návrh Rozhodnutia Rady, ktorým sa mení a dopĺňa príloha II a III k rozhodnutiu Rady z 9. júna 2011 o schválení Haagskeho dohovoru z 23. novembra 2007 o medzinárodnom vymáhaní výživného na deti a iných členov rodiny v mene Európskej únie</w:t>
      </w:r>
      <w:r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KOM (2013) 35</w:t>
      </w:r>
      <w:r w:rsidRPr="00354164">
        <w:rPr>
          <w:rFonts w:ascii="Times New Roman" w:hAnsi="Times New Roman"/>
          <w:b/>
          <w:sz w:val="20"/>
          <w:szCs w:val="20"/>
        </w:rPr>
        <w:t>;</w:t>
      </w:r>
    </w:p>
    <w:p w:rsidR="00691B2E" w:rsidP="00354164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354164" w:rsidR="00354164">
        <w:rPr>
          <w:rFonts w:ascii="Times New Roman" w:hAnsi="Times New Roman"/>
          <w:sz w:val="20"/>
          <w:szCs w:val="20"/>
        </w:rPr>
        <w:t>Návrh rozhodnutia Rady, ktorým sa členským štátom povoľuje podpísať a ratifikovať Dohodu z Kapského mesta z roku 2012 o vykonávaní ustanovení protokolu z Torremolinos z roku 1993 týkajúceho sa Medzinárodného dohovoru o bezpečnosti rybárskych plavidiel z roku 1977 alebo k nej pristúpiť</w:t>
      </w:r>
      <w:r w:rsidR="00354164">
        <w:rPr>
          <w:rFonts w:ascii="Times New Roman" w:hAnsi="Times New Roman"/>
          <w:sz w:val="20"/>
          <w:szCs w:val="20"/>
        </w:rPr>
        <w:t xml:space="preserve"> </w:t>
      </w:r>
      <w:r w:rsidR="00FD5C07">
        <w:rPr>
          <w:rFonts w:ascii="Times New Roman" w:hAnsi="Times New Roman"/>
          <w:b/>
          <w:sz w:val="20"/>
          <w:szCs w:val="20"/>
        </w:rPr>
        <w:t>KOM (2013) 38</w:t>
      </w:r>
      <w:r w:rsidRPr="00354164" w:rsidR="00354164">
        <w:rPr>
          <w:rFonts w:ascii="Times New Roman" w:hAnsi="Times New Roman"/>
          <w:b/>
          <w:sz w:val="20"/>
          <w:szCs w:val="20"/>
        </w:rPr>
        <w:t>;</w:t>
      </w:r>
    </w:p>
    <w:p w:rsidR="00354164" w:rsidP="00354164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BA1D24" w:rsidRPr="00354164" w:rsidP="00354164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D055AF" w:rsidP="00D055AF">
      <w:pPr>
        <w:bidi w:val="0"/>
        <w:jc w:val="both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</w:rPr>
        <w:t>B.</w:t>
        <w:tab/>
        <w:t xml:space="preserve">žiada </w:t>
      </w:r>
    </w:p>
    <w:p w:rsidR="00D055AF" w:rsidP="00D055AF">
      <w:pPr>
        <w:bidi w:val="0"/>
        <w:jc w:val="both"/>
        <w:rPr>
          <w:rFonts w:ascii="Times New Roman" w:hAnsi="Times New Roman"/>
          <w:b/>
          <w:spacing w:val="60"/>
          <w:sz w:val="23"/>
          <w:szCs w:val="23"/>
        </w:rPr>
      </w:pPr>
    </w:p>
    <w:p w:rsidR="00BA1D24" w:rsidP="00D055AF">
      <w:pPr>
        <w:bidi w:val="0"/>
        <w:jc w:val="both"/>
        <w:rPr>
          <w:rFonts w:ascii="Times New Roman" w:hAnsi="Times New Roman"/>
          <w:b/>
          <w:spacing w:val="60"/>
          <w:sz w:val="23"/>
          <w:szCs w:val="23"/>
        </w:rPr>
      </w:pPr>
    </w:p>
    <w:p w:rsidR="0051325E" w:rsidP="00D41F7E">
      <w:pPr>
        <w:bidi w:val="0"/>
        <w:jc w:val="both"/>
        <w:rPr>
          <w:rFonts w:ascii="Times New Roman" w:hAnsi="Times New Roman"/>
        </w:rPr>
      </w:pPr>
      <w:r w:rsidR="00D055AF">
        <w:rPr>
          <w:rFonts w:ascii="Times New Roman" w:hAnsi="Times New Roman"/>
        </w:rPr>
        <w:t xml:space="preserve">v súlade s § 58a ods. </w:t>
      </w:r>
      <w:r w:rsidR="00D41F7E">
        <w:rPr>
          <w:rFonts w:ascii="Times New Roman" w:hAnsi="Times New Roman"/>
        </w:rPr>
        <w:t xml:space="preserve">3 písm. f) rokovacieho poriadku </w:t>
      </w:r>
    </w:p>
    <w:p w:rsidR="00FD5C07" w:rsidP="00BA1D24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 w:rsidRPr="00BA1D24" w:rsidR="0051325E">
        <w:rPr>
          <w:rFonts w:ascii="Times New Roman" w:hAnsi="Times New Roman"/>
          <w:b/>
        </w:rPr>
        <w:t xml:space="preserve">Výbor Národnej rady Slovenskej republiky pre </w:t>
      </w:r>
      <w:r w:rsidRPr="00BA1D24" w:rsidR="00CB1EAD">
        <w:rPr>
          <w:rFonts w:ascii="Times New Roman" w:hAnsi="Times New Roman"/>
          <w:b/>
        </w:rPr>
        <w:t>hospodárske záleži</w:t>
      </w:r>
      <w:r w:rsidRPr="00BA1D24" w:rsidR="00354164">
        <w:rPr>
          <w:rFonts w:ascii="Times New Roman" w:hAnsi="Times New Roman"/>
          <w:b/>
        </w:rPr>
        <w:t>tosti</w:t>
      </w:r>
      <w:r w:rsidR="00161A75">
        <w:rPr>
          <w:rFonts w:ascii="Times New Roman" w:hAnsi="Times New Roman"/>
        </w:rPr>
        <w:t xml:space="preserve"> o návrh stanoviska</w:t>
      </w:r>
      <w:r>
        <w:rPr>
          <w:rFonts w:ascii="Times New Roman" w:hAnsi="Times New Roman"/>
        </w:rPr>
        <w:t xml:space="preserve">: </w:t>
      </w:r>
    </w:p>
    <w:p w:rsidR="00CB1EAD" w:rsidRPr="00CB1EAD" w:rsidP="00CB1EAD">
      <w:pPr>
        <w:pStyle w:val="ListParagraph"/>
        <w:numPr>
          <w:numId w:val="11"/>
        </w:numPr>
        <w:bidi w:val="0"/>
        <w:jc w:val="both"/>
        <w:rPr>
          <w:rFonts w:ascii="Times New Roman" w:hAnsi="Times New Roman"/>
          <w:b/>
        </w:rPr>
      </w:pPr>
      <w:r w:rsidR="00161A75">
        <w:rPr>
          <w:rFonts w:ascii="Times New Roman" w:hAnsi="Times New Roman"/>
        </w:rPr>
        <w:t>k n</w:t>
      </w:r>
      <w:r>
        <w:rPr>
          <w:rFonts w:ascii="Times New Roman" w:hAnsi="Times New Roman"/>
        </w:rPr>
        <w:t>ávrh</w:t>
      </w:r>
      <w:r w:rsidR="00161A75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nariadenia Európskeho parlamentu a Rady o zrušení nariadenia Rady (EHS) č. 1192/69 o spoločných pravidlách normalizácie účtovnej závierky železničných podnikov </w:t>
      </w:r>
      <w:r w:rsidRPr="00CB1EAD">
        <w:rPr>
          <w:rFonts w:ascii="Times New Roman" w:hAnsi="Times New Roman"/>
          <w:b/>
        </w:rPr>
        <w:t>KOM (2013) 26;</w:t>
      </w:r>
    </w:p>
    <w:p w:rsidR="00CB1EAD" w:rsidP="00CB1EAD">
      <w:pPr>
        <w:pStyle w:val="ListParagraph"/>
        <w:numPr>
          <w:numId w:val="11"/>
        </w:numPr>
        <w:bidi w:val="0"/>
        <w:jc w:val="both"/>
        <w:rPr>
          <w:rFonts w:ascii="Times New Roman" w:hAnsi="Times New Roman"/>
        </w:rPr>
      </w:pPr>
      <w:r w:rsidR="00161A75">
        <w:rPr>
          <w:rFonts w:ascii="Times New Roman" w:hAnsi="Times New Roman"/>
        </w:rPr>
        <w:t>k n</w:t>
      </w:r>
      <w:r>
        <w:rPr>
          <w:rFonts w:ascii="Times New Roman" w:hAnsi="Times New Roman"/>
        </w:rPr>
        <w:t>ávrh</w:t>
      </w:r>
      <w:r w:rsidR="00161A75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nariadenia Európskeho parlamentu a Rady o Železničnej agentúre Európskej únie, ktorým sa zrušuje nariadenie (ES) č. 881/2004 </w:t>
      </w:r>
      <w:r w:rsidRPr="00CB1EAD">
        <w:rPr>
          <w:rFonts w:ascii="Times New Roman" w:hAnsi="Times New Roman"/>
          <w:b/>
        </w:rPr>
        <w:t>KOM (2013) 27;</w:t>
      </w:r>
    </w:p>
    <w:p w:rsidR="00CB1EAD" w:rsidP="00CB1EAD">
      <w:pPr>
        <w:pStyle w:val="ListParagraph"/>
        <w:numPr>
          <w:numId w:val="11"/>
        </w:numPr>
        <w:bidi w:val="0"/>
        <w:jc w:val="both"/>
        <w:rPr>
          <w:rFonts w:ascii="Times New Roman" w:hAnsi="Times New Roman"/>
        </w:rPr>
      </w:pPr>
      <w:r w:rsidR="00161A75">
        <w:rPr>
          <w:rFonts w:ascii="Times New Roman" w:hAnsi="Times New Roman"/>
        </w:rPr>
        <w:t>k n</w:t>
      </w:r>
      <w:r>
        <w:rPr>
          <w:rFonts w:ascii="Times New Roman" w:hAnsi="Times New Roman"/>
        </w:rPr>
        <w:t>ávrh</w:t>
      </w:r>
      <w:r w:rsidR="00161A75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nariadenia Európskeho parlamentu a Rady, ktorým sa mení a dopĺňa nariadenie (ES) č. 1370/2007, pokiaľ ide o otvorenie trhu so službami vnútroštátnej osobnej železničnej dopravy </w:t>
      </w:r>
      <w:r w:rsidRPr="00CB1EAD">
        <w:rPr>
          <w:rFonts w:ascii="Times New Roman" w:hAnsi="Times New Roman"/>
          <w:b/>
        </w:rPr>
        <w:t>KOM (2013) 28</w:t>
      </w:r>
      <w:r>
        <w:rPr>
          <w:rFonts w:ascii="Times New Roman" w:hAnsi="Times New Roman"/>
        </w:rPr>
        <w:t>;</w:t>
      </w:r>
    </w:p>
    <w:p w:rsidR="00CB1EAD" w:rsidP="00CB1EAD">
      <w:pPr>
        <w:pStyle w:val="ListParagraph"/>
        <w:numPr>
          <w:numId w:val="11"/>
        </w:numPr>
        <w:bidi w:val="0"/>
        <w:jc w:val="both"/>
        <w:rPr>
          <w:rFonts w:ascii="Times New Roman" w:hAnsi="Times New Roman"/>
        </w:rPr>
      </w:pPr>
      <w:r w:rsidR="00161A75">
        <w:rPr>
          <w:rFonts w:ascii="Times New Roman" w:hAnsi="Times New Roman"/>
        </w:rPr>
        <w:t>k n</w:t>
      </w:r>
      <w:r>
        <w:rPr>
          <w:rFonts w:ascii="Times New Roman" w:hAnsi="Times New Roman"/>
        </w:rPr>
        <w:t>ávrh</w:t>
      </w:r>
      <w:r w:rsidR="00161A75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smernice Európskeho parlamentu a Rady, ktorou sa mení a dopĺňa smernica Európskeho parlamentu a Rady 2012/34/EÚ z 21. novembra 2012, ktorou sa zriaďuje jednotný európsky železničný priestor, pokiaľ ide o otvorenie trhu so službami vnútroštátnej osobnej železničnej dopravy a o správu železničnej infraštruktúry </w:t>
      </w:r>
      <w:r w:rsidRPr="00CB1EAD">
        <w:rPr>
          <w:rFonts w:ascii="Times New Roman" w:hAnsi="Times New Roman"/>
          <w:b/>
        </w:rPr>
        <w:t>KOM (2013) 29</w:t>
      </w:r>
      <w:r>
        <w:rPr>
          <w:rFonts w:ascii="Times New Roman" w:hAnsi="Times New Roman"/>
        </w:rPr>
        <w:t>;</w:t>
      </w:r>
    </w:p>
    <w:p w:rsidR="00CB1EAD" w:rsidP="00CB1EAD">
      <w:pPr>
        <w:pStyle w:val="ListParagraph"/>
        <w:numPr>
          <w:numId w:val="11"/>
        </w:numPr>
        <w:bidi w:val="0"/>
        <w:jc w:val="both"/>
        <w:rPr>
          <w:rFonts w:ascii="Times New Roman" w:hAnsi="Times New Roman"/>
        </w:rPr>
      </w:pPr>
      <w:r w:rsidR="00161A75">
        <w:rPr>
          <w:rFonts w:ascii="Times New Roman" w:hAnsi="Times New Roman"/>
        </w:rPr>
        <w:t>k n</w:t>
      </w:r>
      <w:r>
        <w:rPr>
          <w:rFonts w:ascii="Times New Roman" w:hAnsi="Times New Roman"/>
        </w:rPr>
        <w:t>ávrh</w:t>
      </w:r>
      <w:r w:rsidR="00161A75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smernice Európskeho parlamentu a Rady o interoperabilite systému železníc v Európskej únii </w:t>
      </w:r>
      <w:r w:rsidRPr="00CB1EAD">
        <w:rPr>
          <w:rFonts w:ascii="Times New Roman" w:hAnsi="Times New Roman"/>
          <w:b/>
        </w:rPr>
        <w:t>KOM (2013) 30</w:t>
      </w:r>
      <w:r>
        <w:rPr>
          <w:rFonts w:ascii="Times New Roman" w:hAnsi="Times New Roman"/>
        </w:rPr>
        <w:t>;</w:t>
      </w:r>
    </w:p>
    <w:p w:rsidR="00CB1EAD" w:rsidRPr="00BA1D24" w:rsidP="00CB1EAD">
      <w:pPr>
        <w:pStyle w:val="ListParagraph"/>
        <w:numPr>
          <w:numId w:val="11"/>
        </w:numPr>
        <w:bidi w:val="0"/>
        <w:jc w:val="both"/>
        <w:rPr>
          <w:rFonts w:ascii="Times New Roman" w:hAnsi="Times New Roman"/>
        </w:rPr>
      </w:pPr>
      <w:r w:rsidR="00161A75">
        <w:rPr>
          <w:rFonts w:ascii="Times New Roman" w:hAnsi="Times New Roman"/>
        </w:rPr>
        <w:t>k n</w:t>
      </w:r>
      <w:r>
        <w:rPr>
          <w:rFonts w:ascii="Times New Roman" w:hAnsi="Times New Roman"/>
        </w:rPr>
        <w:t>ávrh</w:t>
      </w:r>
      <w:r w:rsidR="00161A75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smernice Európskeho parlamentu a Rady o bezpečnosti železníc (prepracované znenie) </w:t>
      </w:r>
      <w:r w:rsidRPr="00CB1EAD">
        <w:rPr>
          <w:rFonts w:ascii="Times New Roman" w:hAnsi="Times New Roman"/>
          <w:b/>
        </w:rPr>
        <w:t>KOM (2013) 31</w:t>
      </w:r>
      <w:r>
        <w:rPr>
          <w:rFonts w:ascii="Times New Roman" w:hAnsi="Times New Roman"/>
        </w:rPr>
        <w:t>;</w:t>
      </w:r>
    </w:p>
    <w:p w:rsidR="00BA1D24" w:rsidRPr="00BA1D24" w:rsidP="00BA1D24">
      <w:pPr>
        <w:pStyle w:val="ListParagraph"/>
        <w:numPr>
          <w:numId w:val="1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n</w:t>
      </w:r>
      <w:r w:rsidRPr="00BA1D24">
        <w:rPr>
          <w:rFonts w:ascii="Times New Roman" w:hAnsi="Times New Roman"/>
        </w:rPr>
        <w:t>ávrh</w:t>
      </w:r>
      <w:r>
        <w:rPr>
          <w:rFonts w:ascii="Times New Roman" w:hAnsi="Times New Roman"/>
        </w:rPr>
        <w:t>u</w:t>
      </w:r>
      <w:r w:rsidRPr="00BA1D24">
        <w:rPr>
          <w:rFonts w:ascii="Times New Roman" w:hAnsi="Times New Roman"/>
        </w:rPr>
        <w:t xml:space="preserve"> smernice Európskeho parlamentu a Rady o zavádzaní infraštruktúry pre alternatívne palivá </w:t>
      </w:r>
      <w:r w:rsidRPr="00BA1D24">
        <w:rPr>
          <w:rFonts w:ascii="Times New Roman" w:hAnsi="Times New Roman"/>
          <w:b/>
        </w:rPr>
        <w:t>KOM (2013) 18;</w:t>
      </w:r>
    </w:p>
    <w:p w:rsidR="00BA1D24" w:rsidRPr="00BA1D24" w:rsidP="00BA1D24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 w:rsidRPr="00BA1D24">
        <w:rPr>
          <w:rFonts w:ascii="Times New Roman" w:hAnsi="Times New Roman"/>
          <w:b/>
        </w:rPr>
        <w:t xml:space="preserve">Výbor Národnej rady Slovenskej republiky pre financie a rozpočet </w:t>
      </w:r>
      <w:r w:rsidRPr="00BA1D24">
        <w:rPr>
          <w:rFonts w:ascii="Times New Roman" w:hAnsi="Times New Roman"/>
        </w:rPr>
        <w:t xml:space="preserve">o návrh stanoviska k </w:t>
      </w:r>
      <w:r>
        <w:rPr>
          <w:rFonts w:ascii="Times New Roman" w:hAnsi="Times New Roman"/>
        </w:rPr>
        <w:t>n</w:t>
      </w:r>
      <w:r w:rsidRPr="00BA1D24">
        <w:rPr>
          <w:rFonts w:ascii="Times New Roman" w:hAnsi="Times New Roman"/>
        </w:rPr>
        <w:t>ávrh</w:t>
      </w:r>
      <w:r>
        <w:rPr>
          <w:rFonts w:ascii="Times New Roman" w:hAnsi="Times New Roman"/>
        </w:rPr>
        <w:t>u</w:t>
      </w:r>
      <w:r w:rsidRPr="00BA1D24">
        <w:rPr>
          <w:rFonts w:ascii="Times New Roman" w:hAnsi="Times New Roman"/>
        </w:rPr>
        <w:t xml:space="preserve"> rozhodnutia Rady, ktorým sa Francúzsku povoľuje uplatňovať znížené úrovne zdanenia benzínu a plynového oleja používaných ako pohonné hmoty v súlade s článkom 19 smernice 2003/96/ES </w:t>
      </w:r>
      <w:r w:rsidRPr="00BA1D24">
        <w:rPr>
          <w:rFonts w:ascii="Times New Roman" w:hAnsi="Times New Roman"/>
          <w:b/>
        </w:rPr>
        <w:t>KOM (2013) 22;</w:t>
      </w:r>
    </w:p>
    <w:p w:rsidR="00D055AF" w:rsidP="00973593">
      <w:pPr>
        <w:bidi w:val="0"/>
        <w:jc w:val="both"/>
        <w:rPr>
          <w:rFonts w:ascii="Times New Roman" w:hAnsi="Times New Roman"/>
          <w:spacing w:val="60"/>
        </w:rPr>
      </w:pPr>
    </w:p>
    <w:p w:rsidR="00BA1D24" w:rsidP="00973593">
      <w:pPr>
        <w:bidi w:val="0"/>
        <w:jc w:val="both"/>
        <w:rPr>
          <w:rFonts w:ascii="Times New Roman" w:hAnsi="Times New Roman"/>
          <w:spacing w:val="60"/>
        </w:rPr>
      </w:pPr>
    </w:p>
    <w:p w:rsidR="00BA1D24" w:rsidP="00973593">
      <w:pPr>
        <w:bidi w:val="0"/>
        <w:jc w:val="both"/>
        <w:rPr>
          <w:rFonts w:ascii="Times New Roman" w:hAnsi="Times New Roman"/>
          <w:spacing w:val="60"/>
        </w:rPr>
      </w:pPr>
    </w:p>
    <w:p w:rsidR="00BA1D24" w:rsidP="00973593">
      <w:pPr>
        <w:bidi w:val="0"/>
        <w:jc w:val="both"/>
        <w:rPr>
          <w:rFonts w:ascii="Times New Roman" w:hAnsi="Times New Roman"/>
          <w:spacing w:val="60"/>
        </w:rPr>
      </w:pPr>
    </w:p>
    <w:p w:rsidR="00BA1D24" w:rsidP="00973593">
      <w:pPr>
        <w:bidi w:val="0"/>
        <w:jc w:val="both"/>
        <w:rPr>
          <w:rFonts w:ascii="Times New Roman" w:hAnsi="Times New Roman"/>
          <w:spacing w:val="60"/>
        </w:rPr>
      </w:pPr>
    </w:p>
    <w:p w:rsidR="00BA1D24" w:rsidP="00973593">
      <w:pPr>
        <w:bidi w:val="0"/>
        <w:jc w:val="both"/>
        <w:rPr>
          <w:rFonts w:ascii="Times New Roman" w:hAnsi="Times New Roman"/>
          <w:spacing w:val="60"/>
        </w:rPr>
      </w:pPr>
    </w:p>
    <w:p w:rsidR="00BA1D24" w:rsidP="00973593">
      <w:pPr>
        <w:bidi w:val="0"/>
        <w:jc w:val="both"/>
        <w:rPr>
          <w:rFonts w:ascii="Times New Roman" w:hAnsi="Times New Roman"/>
          <w:spacing w:val="60"/>
        </w:rPr>
      </w:pPr>
    </w:p>
    <w:p w:rsidR="00BA1D24" w:rsidP="00973593">
      <w:pPr>
        <w:bidi w:val="0"/>
        <w:jc w:val="both"/>
        <w:rPr>
          <w:rFonts w:ascii="Times New Roman" w:hAnsi="Times New Roman"/>
          <w:spacing w:val="60"/>
        </w:rPr>
      </w:pPr>
    </w:p>
    <w:p w:rsidR="00BA1D24" w:rsidP="00973593">
      <w:pPr>
        <w:bidi w:val="0"/>
        <w:jc w:val="both"/>
        <w:rPr>
          <w:rFonts w:ascii="Times New Roman" w:hAnsi="Times New Roman"/>
          <w:spacing w:val="60"/>
        </w:rPr>
      </w:pPr>
    </w:p>
    <w:p w:rsidR="00D055AF" w:rsidP="00D055AF">
      <w:pPr>
        <w:bidi w:val="0"/>
        <w:jc w:val="both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</w:rPr>
        <w:t>C.</w:t>
        <w:tab/>
        <w:t>ukladá</w:t>
      </w:r>
    </w:p>
    <w:p w:rsidR="00D055AF" w:rsidP="00D055AF">
      <w:pPr>
        <w:bidi w:val="0"/>
        <w:jc w:val="both"/>
        <w:rPr>
          <w:rFonts w:ascii="Times New Roman" w:hAnsi="Times New Roman"/>
          <w:spacing w:val="60"/>
        </w:rPr>
      </w:pPr>
    </w:p>
    <w:p w:rsidR="00D055AF" w:rsidP="00D055AF">
      <w:pPr>
        <w:pStyle w:val="BodyText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predsedovi výboru </w:t>
      </w:r>
    </w:p>
    <w:p w:rsidR="00D055AF" w:rsidP="00D055AF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informovať o prijatom uznesení predsedu Národnej rady Slovenskej republiky, </w:t>
      </w:r>
      <w:r w:rsidR="00973593">
        <w:rPr>
          <w:rFonts w:ascii="Times New Roman" w:hAnsi="Times New Roman"/>
        </w:rPr>
        <w:t xml:space="preserve">predsedu </w:t>
      </w:r>
      <w:r w:rsidR="00250A98">
        <w:rPr>
          <w:rFonts w:ascii="Times New Roman" w:hAnsi="Times New Roman"/>
        </w:rPr>
        <w:t>Výboru N</w:t>
      </w:r>
      <w:r w:rsidR="00293816">
        <w:rPr>
          <w:rFonts w:ascii="Times New Roman" w:hAnsi="Times New Roman"/>
        </w:rPr>
        <w:t>árodnej rady Slovenskej republiky</w:t>
      </w:r>
      <w:r w:rsidR="00250A98">
        <w:rPr>
          <w:rFonts w:ascii="Times New Roman" w:hAnsi="Times New Roman"/>
        </w:rPr>
        <w:t xml:space="preserve"> pre </w:t>
      </w:r>
      <w:r w:rsidR="00CB1EAD">
        <w:rPr>
          <w:rFonts w:ascii="Times New Roman" w:hAnsi="Times New Roman"/>
        </w:rPr>
        <w:t>hospodárske záležitosti</w:t>
      </w:r>
      <w:r w:rsidR="00BA1D24">
        <w:rPr>
          <w:rFonts w:ascii="Times New Roman" w:hAnsi="Times New Roman"/>
        </w:rPr>
        <w:t>, predsedu Výboru Národnej rady Slovenskej republiky pre financie a rozpočet</w:t>
      </w:r>
      <w:r w:rsidR="00A82BA8">
        <w:rPr>
          <w:rFonts w:ascii="Times New Roman" w:hAnsi="Times New Roman"/>
        </w:rPr>
        <w:t xml:space="preserve"> </w:t>
      </w:r>
      <w:r w:rsidR="00973593">
        <w:rPr>
          <w:rFonts w:ascii="Times New Roman" w:hAnsi="Times New Roman"/>
        </w:rPr>
        <w:t xml:space="preserve">a podpredsedu vlády a ministra zahraničných vecí </w:t>
      </w:r>
      <w:r w:rsidR="008402FD">
        <w:rPr>
          <w:rFonts w:ascii="Times New Roman" w:hAnsi="Times New Roman"/>
        </w:rPr>
        <w:t xml:space="preserve">a európskych záležitostí </w:t>
      </w:r>
      <w:r w:rsidR="00973593">
        <w:rPr>
          <w:rFonts w:ascii="Times New Roman" w:hAnsi="Times New Roman"/>
        </w:rPr>
        <w:t>Slovenskej republiky.</w:t>
      </w:r>
    </w:p>
    <w:p w:rsidR="00CB1EAD" w:rsidP="00691B2E">
      <w:pPr>
        <w:tabs>
          <w:tab w:val="left" w:pos="567"/>
        </w:tabs>
        <w:bidi w:val="0"/>
        <w:rPr>
          <w:rFonts w:ascii="Times New Roman" w:hAnsi="Times New Roman"/>
        </w:rPr>
      </w:pPr>
    </w:p>
    <w:p w:rsidR="00973593" w:rsidP="00691B2E">
      <w:pPr>
        <w:tabs>
          <w:tab w:val="left" w:pos="567"/>
        </w:tabs>
        <w:bidi w:val="0"/>
        <w:rPr>
          <w:rFonts w:ascii="Times New Roman" w:hAnsi="Times New Roman"/>
        </w:rPr>
      </w:pPr>
    </w:p>
    <w:p w:rsidR="00691B2E" w:rsidP="00691B2E">
      <w:pPr>
        <w:tabs>
          <w:tab w:val="left" w:pos="567"/>
        </w:tabs>
        <w:bidi w:val="0"/>
        <w:rPr>
          <w:rFonts w:ascii="Times New Roman" w:hAnsi="Times New Roman"/>
        </w:rPr>
      </w:pPr>
    </w:p>
    <w:p w:rsidR="00691B2E" w:rsidP="00691B2E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  <w:tab/>
        <w:tab/>
        <w:t>Ľuboš Blaha</w:t>
      </w:r>
    </w:p>
    <w:p w:rsidR="00691B2E" w:rsidP="00691B2E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691B2E" w:rsidP="00CB1EAD">
      <w:pPr>
        <w:tabs>
          <w:tab w:val="left" w:pos="567"/>
        </w:tabs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C73"/>
    <w:multiLevelType w:val="hybridMultilevel"/>
    <w:tmpl w:val="EED4E7E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90272"/>
    <w:multiLevelType w:val="hybridMultilevel"/>
    <w:tmpl w:val="38742A2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07ED2"/>
    <w:multiLevelType w:val="hybridMultilevel"/>
    <w:tmpl w:val="4E30FFB6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34DC0"/>
    <w:multiLevelType w:val="hybridMultilevel"/>
    <w:tmpl w:val="E71CD9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A6A5953"/>
    <w:multiLevelType w:val="hybridMultilevel"/>
    <w:tmpl w:val="E71CD9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ABB55A8"/>
    <w:multiLevelType w:val="hybridMultilevel"/>
    <w:tmpl w:val="4984E2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9307591"/>
    <w:multiLevelType w:val="hybridMultilevel"/>
    <w:tmpl w:val="2D6E47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C3435B3"/>
    <w:multiLevelType w:val="multilevel"/>
    <w:tmpl w:val="9C9A6CEA"/>
    <w:name w:val="0,1449353"/>
    <w:lvl w:ilvl="0">
      <w:start w:val="1"/>
      <w:numFmt w:val="decimal"/>
      <w:pStyle w:val="Point0number"/>
      <w:lvlText w:val="(%1)"/>
      <w:lvlJc w:val="left"/>
      <w:pPr>
        <w:tabs>
          <w:tab w:val="num" w:pos="850"/>
        </w:tabs>
        <w:ind w:left="850" w:hanging="850"/>
      </w:pPr>
      <w:rPr>
        <w:rFonts w:cs="Times New Roman"/>
        <w:rtl w:val="0"/>
        <w:cs w:val="0"/>
      </w:r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  <w:rPr>
        <w:rFonts w:cs="Times New Roman"/>
        <w:rtl w:val="0"/>
        <w:cs w:val="0"/>
      </w:r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  <w:rPr>
        <w:rFonts w:cs="Times New Roman"/>
        <w:rtl w:val="0"/>
        <w:cs w:val="0"/>
      </w:r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  <w:rPr>
        <w:rFonts w:cs="Times New Roman"/>
        <w:rtl w:val="0"/>
        <w:cs w:val="0"/>
      </w:r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  <w:rPr>
        <w:rFonts w:cs="Times New Roman"/>
        <w:rtl w:val="0"/>
        <w:cs w:val="0"/>
      </w:r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  <w:rPr>
        <w:rFonts w:cs="Times New Roman"/>
        <w:rtl w:val="0"/>
        <w:cs w:val="0"/>
      </w:r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  <w:rPr>
        <w:rFonts w:cs="Times New Roman"/>
        <w:rtl w:val="0"/>
        <w:cs w:val="0"/>
      </w:r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  <w:rPr>
        <w:rFonts w:cs="Times New Roman"/>
        <w:rtl w:val="0"/>
        <w:cs w:val="0"/>
      </w:r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  <w:rPr>
        <w:rFonts w:cs="Times New Roman"/>
        <w:rtl w:val="0"/>
        <w:cs w:val="0"/>
      </w:rPr>
    </w:lvl>
  </w:abstractNum>
  <w:abstractNum w:abstractNumId="8">
    <w:nsid w:val="61A53803"/>
    <w:multiLevelType w:val="hybridMultilevel"/>
    <w:tmpl w:val="9328F7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312595A"/>
    <w:multiLevelType w:val="hybridMultilevel"/>
    <w:tmpl w:val="5C384F8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7D1D1095"/>
    <w:multiLevelType w:val="hybridMultilevel"/>
    <w:tmpl w:val="32CC36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DC13431"/>
    <w:multiLevelType w:val="hybridMultilevel"/>
    <w:tmpl w:val="C0DC4A16"/>
    <w:lvl w:ilvl="0">
      <w:start w:val="1"/>
      <w:numFmt w:val="lowerLetter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2"/>
  <w:doNotTrackMoves/>
  <w:defaultTabStop w:val="708"/>
  <w:hyphenationZone w:val="425"/>
  <w:characterSpacingControl w:val="doNotCompress"/>
  <w:compat/>
  <w:rsids>
    <w:rsidRoot w:val="00EF43BE"/>
    <w:rsid w:val="000271DD"/>
    <w:rsid w:val="00035A50"/>
    <w:rsid w:val="00053911"/>
    <w:rsid w:val="000D2506"/>
    <w:rsid w:val="000E7851"/>
    <w:rsid w:val="001137AA"/>
    <w:rsid w:val="00161A75"/>
    <w:rsid w:val="00167EEB"/>
    <w:rsid w:val="001C0B71"/>
    <w:rsid w:val="00250A98"/>
    <w:rsid w:val="00293816"/>
    <w:rsid w:val="002F12C6"/>
    <w:rsid w:val="00354164"/>
    <w:rsid w:val="004641C7"/>
    <w:rsid w:val="004A135A"/>
    <w:rsid w:val="0051325E"/>
    <w:rsid w:val="00550B94"/>
    <w:rsid w:val="005F0482"/>
    <w:rsid w:val="006008C9"/>
    <w:rsid w:val="00613E94"/>
    <w:rsid w:val="006165AE"/>
    <w:rsid w:val="00644046"/>
    <w:rsid w:val="00691B2E"/>
    <w:rsid w:val="00696675"/>
    <w:rsid w:val="006C2C32"/>
    <w:rsid w:val="006C52B5"/>
    <w:rsid w:val="007937FF"/>
    <w:rsid w:val="007C1E6A"/>
    <w:rsid w:val="007D478D"/>
    <w:rsid w:val="008402FD"/>
    <w:rsid w:val="008836F5"/>
    <w:rsid w:val="00912A7B"/>
    <w:rsid w:val="00913E02"/>
    <w:rsid w:val="00962B42"/>
    <w:rsid w:val="00967ADB"/>
    <w:rsid w:val="00973593"/>
    <w:rsid w:val="009A5364"/>
    <w:rsid w:val="00A16363"/>
    <w:rsid w:val="00A23F27"/>
    <w:rsid w:val="00A3228D"/>
    <w:rsid w:val="00A82BA8"/>
    <w:rsid w:val="00AE2427"/>
    <w:rsid w:val="00B1708B"/>
    <w:rsid w:val="00B2172C"/>
    <w:rsid w:val="00B73B33"/>
    <w:rsid w:val="00BA1D24"/>
    <w:rsid w:val="00BE26BD"/>
    <w:rsid w:val="00C30666"/>
    <w:rsid w:val="00C7559B"/>
    <w:rsid w:val="00C92BA8"/>
    <w:rsid w:val="00CB1EAD"/>
    <w:rsid w:val="00D055AF"/>
    <w:rsid w:val="00D41F7E"/>
    <w:rsid w:val="00E523C0"/>
    <w:rsid w:val="00EE0F10"/>
    <w:rsid w:val="00EF43BE"/>
    <w:rsid w:val="00FD5C0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3B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EF43BE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EF43BE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F43BE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semiHidden/>
    <w:unhideWhenUsed/>
    <w:rsid w:val="00691B2E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91B2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D478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D478D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rsid w:val="00354164"/>
    <w:rPr>
      <w:rFonts w:ascii="Times New Roman" w:hAnsi="Times New Roman" w:cs="Times New Roman"/>
      <w:color w:val="0000FF"/>
      <w:u w:val="single"/>
      <w:rtl w:val="0"/>
      <w:cs w:val="0"/>
    </w:rPr>
  </w:style>
  <w:style w:type="paragraph" w:customStyle="1" w:styleId="Point0number">
    <w:name w:val="Point 0 (number)"/>
    <w:basedOn w:val="Normal"/>
    <w:uiPriority w:val="99"/>
    <w:rsid w:val="00354164"/>
    <w:pPr>
      <w:numPr>
        <w:numId w:val="8"/>
      </w:numPr>
      <w:tabs>
        <w:tab w:val="num" w:pos="850"/>
      </w:tabs>
      <w:spacing w:before="120" w:after="120"/>
      <w:ind w:left="850" w:hanging="850"/>
      <w:jc w:val="both"/>
    </w:pPr>
    <w:rPr>
      <w:lang w:eastAsia="en-US"/>
    </w:rPr>
  </w:style>
  <w:style w:type="paragraph" w:customStyle="1" w:styleId="Point1number">
    <w:name w:val="Point 1 (number)"/>
    <w:basedOn w:val="Normal"/>
    <w:uiPriority w:val="99"/>
    <w:rsid w:val="00354164"/>
    <w:pPr>
      <w:numPr>
        <w:ilvl w:val="2"/>
        <w:numId w:val="8"/>
      </w:numPr>
      <w:tabs>
        <w:tab w:val="num" w:pos="1417"/>
      </w:tabs>
      <w:spacing w:before="120" w:after="120"/>
      <w:ind w:left="1417" w:hanging="567"/>
      <w:jc w:val="both"/>
    </w:pPr>
    <w:rPr>
      <w:lang w:eastAsia="en-US"/>
    </w:rPr>
  </w:style>
  <w:style w:type="paragraph" w:customStyle="1" w:styleId="Point2number">
    <w:name w:val="Point 2 (number)"/>
    <w:basedOn w:val="Normal"/>
    <w:uiPriority w:val="99"/>
    <w:rsid w:val="00354164"/>
    <w:pPr>
      <w:numPr>
        <w:ilvl w:val="4"/>
        <w:numId w:val="8"/>
      </w:numPr>
      <w:tabs>
        <w:tab w:val="num" w:pos="1984"/>
      </w:tabs>
      <w:spacing w:before="120" w:after="120"/>
      <w:ind w:left="1984" w:hanging="567"/>
      <w:jc w:val="both"/>
    </w:pPr>
    <w:rPr>
      <w:lang w:eastAsia="en-US"/>
    </w:rPr>
  </w:style>
  <w:style w:type="paragraph" w:customStyle="1" w:styleId="Point3number">
    <w:name w:val="Point 3 (number)"/>
    <w:basedOn w:val="Normal"/>
    <w:uiPriority w:val="99"/>
    <w:rsid w:val="00354164"/>
    <w:pPr>
      <w:numPr>
        <w:ilvl w:val="6"/>
        <w:numId w:val="8"/>
      </w:numPr>
      <w:tabs>
        <w:tab w:val="num" w:pos="2551"/>
      </w:tabs>
      <w:spacing w:before="120" w:after="120"/>
      <w:ind w:left="2551" w:hanging="567"/>
      <w:jc w:val="both"/>
    </w:pPr>
    <w:rPr>
      <w:lang w:eastAsia="en-US"/>
    </w:rPr>
  </w:style>
  <w:style w:type="paragraph" w:customStyle="1" w:styleId="Point0letter">
    <w:name w:val="Point 0 (letter)"/>
    <w:basedOn w:val="Normal"/>
    <w:uiPriority w:val="99"/>
    <w:rsid w:val="00354164"/>
    <w:pPr>
      <w:numPr>
        <w:ilvl w:val="1"/>
        <w:numId w:val="8"/>
      </w:numPr>
      <w:tabs>
        <w:tab w:val="num" w:pos="850"/>
      </w:tabs>
      <w:spacing w:before="120" w:after="120"/>
      <w:ind w:left="850" w:hanging="850"/>
      <w:jc w:val="both"/>
    </w:pPr>
    <w:rPr>
      <w:lang w:eastAsia="en-US"/>
    </w:rPr>
  </w:style>
  <w:style w:type="paragraph" w:customStyle="1" w:styleId="Point1letter">
    <w:name w:val="Point 1 (letter)"/>
    <w:basedOn w:val="Normal"/>
    <w:uiPriority w:val="99"/>
    <w:rsid w:val="00354164"/>
    <w:pPr>
      <w:numPr>
        <w:ilvl w:val="3"/>
        <w:numId w:val="8"/>
      </w:numPr>
      <w:tabs>
        <w:tab w:val="num" w:pos="1417"/>
      </w:tabs>
      <w:spacing w:before="120" w:after="120"/>
      <w:ind w:left="1417" w:hanging="567"/>
      <w:jc w:val="both"/>
    </w:pPr>
    <w:rPr>
      <w:lang w:eastAsia="en-US"/>
    </w:rPr>
  </w:style>
  <w:style w:type="paragraph" w:customStyle="1" w:styleId="Point2letter">
    <w:name w:val="Point 2 (letter)"/>
    <w:basedOn w:val="Normal"/>
    <w:uiPriority w:val="99"/>
    <w:rsid w:val="00354164"/>
    <w:pPr>
      <w:numPr>
        <w:ilvl w:val="5"/>
        <w:numId w:val="8"/>
      </w:numPr>
      <w:tabs>
        <w:tab w:val="num" w:pos="1984"/>
      </w:tabs>
      <w:spacing w:before="120" w:after="120"/>
      <w:ind w:left="1984" w:hanging="567"/>
      <w:jc w:val="both"/>
    </w:pPr>
    <w:rPr>
      <w:lang w:eastAsia="en-US"/>
    </w:rPr>
  </w:style>
  <w:style w:type="paragraph" w:customStyle="1" w:styleId="Point3letter">
    <w:name w:val="Point 3 (letter)"/>
    <w:basedOn w:val="Normal"/>
    <w:uiPriority w:val="99"/>
    <w:rsid w:val="00354164"/>
    <w:pPr>
      <w:numPr>
        <w:ilvl w:val="7"/>
        <w:numId w:val="8"/>
      </w:numPr>
      <w:tabs>
        <w:tab w:val="num" w:pos="2551"/>
      </w:tabs>
      <w:spacing w:before="120" w:after="120"/>
      <w:ind w:left="2551" w:hanging="567"/>
      <w:jc w:val="both"/>
    </w:pPr>
    <w:rPr>
      <w:lang w:eastAsia="en-US"/>
    </w:rPr>
  </w:style>
  <w:style w:type="paragraph" w:customStyle="1" w:styleId="Point4letter">
    <w:name w:val="Point 4 (letter)"/>
    <w:basedOn w:val="Normal"/>
    <w:uiPriority w:val="99"/>
    <w:rsid w:val="00354164"/>
    <w:pPr>
      <w:numPr>
        <w:ilvl w:val="8"/>
        <w:numId w:val="8"/>
      </w:numPr>
      <w:tabs>
        <w:tab w:val="num" w:pos="3118"/>
      </w:tabs>
      <w:spacing w:before="120" w:after="120"/>
      <w:ind w:left="3118" w:hanging="567"/>
      <w:jc w:val="both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3</Pages>
  <Words>952</Words>
  <Characters>5432</Characters>
  <Application>Microsoft Office Word</Application>
  <DocSecurity>0</DocSecurity>
  <Lines>0</Lines>
  <Paragraphs>0</Paragraphs>
  <ScaleCrop>false</ScaleCrop>
  <Company>Kancelaria NR SR</Company>
  <LinksUpToDate>false</LinksUpToDate>
  <CharactersWithSpaces>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Bodiova, Zofia</dc:creator>
  <cp:lastModifiedBy>krosmari</cp:lastModifiedBy>
  <cp:revision>5</cp:revision>
  <cp:lastPrinted>2013-01-22T15:35:00Z</cp:lastPrinted>
  <dcterms:created xsi:type="dcterms:W3CDTF">2013-02-19T13:36:00Z</dcterms:created>
  <dcterms:modified xsi:type="dcterms:W3CDTF">2013-02-20T16:07:00Z</dcterms:modified>
</cp:coreProperties>
</file>