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30C3" w:rsidP="00DF30C3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DF30C3" w:rsidP="00DF30C3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F30C3" w:rsidP="00DF30C3">
      <w:pPr>
        <w:bidi w:val="0"/>
        <w:spacing w:line="360" w:lineRule="auto"/>
        <w:rPr>
          <w:rFonts w:ascii="Times New Roman" w:hAnsi="Times New Roman"/>
          <w:b/>
        </w:rPr>
      </w:pPr>
    </w:p>
    <w:p w:rsidR="00DF30C3" w:rsidP="00DF30C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2</w:t>
      </w:r>
      <w:r w:rsidR="004F6D39">
        <w:rPr>
          <w:rFonts w:ascii="Times New Roman" w:hAnsi="Times New Roman"/>
        </w:rPr>
        <w:t>7</w:t>
      </w:r>
      <w:r>
        <w:rPr>
          <w:rFonts w:ascii="Times New Roman" w:hAnsi="Times New Roman"/>
        </w:rPr>
        <w:t>. schôdza</w:t>
      </w:r>
    </w:p>
    <w:p w:rsidR="00DF30C3" w:rsidP="00DF30C3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CDR-2239/2012</w:t>
      </w:r>
    </w:p>
    <w:p w:rsidR="00DF30C3" w:rsidP="00DF30C3">
      <w:pPr>
        <w:bidi w:val="0"/>
        <w:rPr>
          <w:rFonts w:ascii="AT*Toronto" w:hAnsi="AT*Toronto"/>
          <w:szCs w:val="20"/>
        </w:rPr>
      </w:pPr>
    </w:p>
    <w:p w:rsidR="00DF30C3" w:rsidP="00DF30C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</w:p>
    <w:p w:rsidR="00DF30C3" w:rsidP="00DF30C3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AA48AC">
        <w:rPr>
          <w:rFonts w:ascii="AT*Toronto" w:hAnsi="AT*Toronto"/>
          <w:sz w:val="36"/>
          <w:szCs w:val="20"/>
        </w:rPr>
        <w:t>166</w:t>
      </w:r>
    </w:p>
    <w:p w:rsidR="00DF30C3" w:rsidP="00DF30C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DF30C3" w:rsidP="00DF30C3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F30C3" w:rsidP="00DF30C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B0388A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6308BD">
        <w:rPr>
          <w:rFonts w:ascii="Times New Roman" w:hAnsi="Times New Roman"/>
          <w:b/>
        </w:rPr>
        <w:t>januára 2013</w:t>
      </w:r>
    </w:p>
    <w:p w:rsidR="00DF30C3" w:rsidRPr="00FE1257" w:rsidP="00DF30C3">
      <w:pPr>
        <w:pStyle w:val="BodyText"/>
        <w:bidi w:val="0"/>
        <w:rPr>
          <w:rFonts w:ascii="Times New Roman" w:hAnsi="Times New Roman"/>
        </w:rPr>
      </w:pPr>
    </w:p>
    <w:p w:rsidR="00DF30C3" w:rsidRPr="00DF30C3" w:rsidP="00DF30C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DF30C3">
        <w:rPr>
          <w:rFonts w:ascii="Times New Roman" w:hAnsi="Times New Roman"/>
        </w:rPr>
        <w:t xml:space="preserve">k vládnemu návrhu zákona, </w:t>
      </w:r>
      <w:r w:rsidRPr="00DF30C3">
        <w:rPr>
          <w:rFonts w:ascii="Times New Roman" w:hAnsi="Times New Roman"/>
          <w:noProof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</w:t>
      </w:r>
      <w:r w:rsidRPr="00DF30C3">
        <w:rPr>
          <w:rFonts w:ascii="Times New Roman" w:hAnsi="Times New Roman"/>
        </w:rPr>
        <w:t>(tlač 281)</w:t>
      </w:r>
    </w:p>
    <w:p w:rsidR="00DF30C3" w:rsidP="00DF30C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E658D" w:rsidP="00DF30C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E658D" w:rsidRPr="00645500" w:rsidP="00DF30C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DF30C3" w:rsidRPr="00174F82" w:rsidP="00DF30C3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DF30C3" w:rsidP="00DF30C3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DF30C3" w:rsidRPr="00934CDC" w:rsidP="00DF30C3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DF30C3" w:rsidRPr="00934CDC" w:rsidP="00DF30C3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DF30C3" w:rsidRPr="00645500" w:rsidP="00DF30C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66419F">
        <w:rPr>
          <w:rFonts w:ascii="Times New Roman" w:hAnsi="Times New Roman"/>
        </w:rPr>
        <w:t>s </w:t>
      </w:r>
      <w:r>
        <w:rPr>
          <w:rFonts w:ascii="Times New Roman" w:hAnsi="Times New Roman"/>
        </w:rPr>
        <w:t>vládnym</w:t>
      </w:r>
      <w:r w:rsidRPr="0066419F">
        <w:rPr>
          <w:rFonts w:ascii="Times New Roman" w:hAnsi="Times New Roman"/>
        </w:rPr>
        <w:t xml:space="preserve"> </w:t>
      </w:r>
      <w:r w:rsidRPr="00645500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645500">
        <w:rPr>
          <w:rFonts w:ascii="Times New Roman" w:hAnsi="Times New Roman"/>
        </w:rPr>
        <w:t xml:space="preserve"> zákona, </w:t>
      </w:r>
      <w:r w:rsidRPr="004914B5">
        <w:rPr>
          <w:rFonts w:ascii="Times New Roman" w:hAnsi="Times New Roman"/>
          <w:noProof/>
        </w:rPr>
        <w:t>ktorým sa mení a </w:t>
      </w:r>
      <w:r w:rsidRPr="00DF30C3">
        <w:rPr>
          <w:rFonts w:ascii="Times New Roman" w:hAnsi="Times New Roman"/>
          <w:noProof/>
        </w:rPr>
        <w:t>dopĺňa zákon č. 139/1998 Z. z. o omamných látkach, psychotropných látkach a prípravkoch v znení neskorších predpisov a ktorým sa mení zákon Národnej rady Slovenskej republiky č. 145/1995 Z. z. o správnych poplatkoch v znení neskorších</w:t>
      </w:r>
      <w:r w:rsidRPr="004914B5">
        <w:rPr>
          <w:rFonts w:ascii="Times New Roman" w:hAnsi="Times New Roman"/>
          <w:noProof/>
        </w:rPr>
        <w:t xml:space="preserve"> predpisov </w:t>
      </w:r>
      <w:r w:rsidRPr="004914B5">
        <w:rPr>
          <w:rFonts w:ascii="Times New Roman" w:hAnsi="Times New Roman"/>
        </w:rPr>
        <w:t>(tlač 281)</w:t>
      </w:r>
      <w:r>
        <w:rPr>
          <w:rFonts w:ascii="Times New Roman" w:hAnsi="Times New Roman"/>
        </w:rPr>
        <w:t>;</w:t>
      </w:r>
    </w:p>
    <w:p w:rsidR="00DF30C3" w:rsidRPr="00885E59" w:rsidP="00DF30C3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DF30C3" w:rsidRPr="00967647" w:rsidP="00DF30C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DF30C3" w:rsidP="00DF30C3">
      <w:pPr>
        <w:bidi w:val="0"/>
        <w:rPr>
          <w:rFonts w:ascii="Times New Roman" w:hAnsi="Times New Roman"/>
        </w:rPr>
      </w:pPr>
    </w:p>
    <w:p w:rsidR="00DF30C3" w:rsidP="00DF30C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DF30C3" w:rsidRPr="0066419F" w:rsidP="00DF30C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DF30C3" w:rsidRPr="0066419F" w:rsidP="00DF30C3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vládny </w:t>
      </w:r>
      <w:r w:rsidRPr="00645500">
        <w:rPr>
          <w:rFonts w:ascii="Times New Roman" w:hAnsi="Times New Roman"/>
        </w:rPr>
        <w:t xml:space="preserve">návrh zákona, </w:t>
      </w:r>
      <w:r w:rsidRPr="004914B5">
        <w:rPr>
          <w:rFonts w:ascii="Times New Roman" w:hAnsi="Times New Roman"/>
          <w:noProof/>
        </w:rPr>
        <w:t xml:space="preserve">ktorým sa mení a dopĺňa </w:t>
      </w:r>
      <w:r w:rsidRPr="00DF30C3">
        <w:rPr>
          <w:rFonts w:ascii="Times New Roman" w:hAnsi="Times New Roman"/>
          <w:noProof/>
        </w:rPr>
        <w:t>zákon č. 139/1998 Z. z. o omamných látkach, psychotropných látkach a prípravkoch v znení neskorších predpisov a ktorým sa mení zákon Národnej rady Slovenskej republiky č. 145/1995 Z. z.</w:t>
      </w:r>
      <w:r w:rsidRPr="004914B5">
        <w:rPr>
          <w:rFonts w:ascii="Times New Roman" w:hAnsi="Times New Roman"/>
          <w:b/>
          <w:noProof/>
        </w:rPr>
        <w:t xml:space="preserve"> </w:t>
      </w:r>
      <w:r w:rsidRPr="00DF30C3">
        <w:rPr>
          <w:rFonts w:ascii="Times New Roman" w:hAnsi="Times New Roman"/>
          <w:noProof/>
        </w:rPr>
        <w:t>o správnych poplatkoch</w:t>
      </w:r>
      <w:r w:rsidRPr="004914B5">
        <w:rPr>
          <w:rFonts w:ascii="Times New Roman" w:hAnsi="Times New Roman"/>
          <w:noProof/>
        </w:rPr>
        <w:t xml:space="preserve"> v znení neskorších predpisov </w:t>
      </w:r>
      <w:r w:rsidRPr="004914B5">
        <w:rPr>
          <w:rFonts w:ascii="Times New Roman" w:hAnsi="Times New Roman"/>
        </w:rPr>
        <w:t>(tlač 281)</w:t>
      </w:r>
      <w:r>
        <w:rPr>
          <w:rFonts w:ascii="Times New Roman" w:hAnsi="Times New Roman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RPr="0066419F" w:rsidP="00DF30C3">
      <w:pPr>
        <w:bidi w:val="0"/>
        <w:jc w:val="both"/>
        <w:rPr>
          <w:rFonts w:ascii="Times New Roman" w:hAnsi="Times New Roman"/>
        </w:rPr>
      </w:pPr>
    </w:p>
    <w:p w:rsidR="00DF30C3" w:rsidRPr="00967647" w:rsidP="00DF30C3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DF30C3" w:rsidP="00DF30C3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F30C3" w:rsidP="00DF30C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DF30C3" w:rsidRPr="00967647" w:rsidP="00DF30C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F30C3" w:rsidP="00DF30C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zdravotníctvo.</w:t>
      </w:r>
    </w:p>
    <w:p w:rsidR="00DF30C3" w:rsidP="00DF30C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F30C3" w:rsidRPr="00C45835" w:rsidP="00DF30C3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C45835">
        <w:rPr>
          <w:rFonts w:ascii="Times New Roman" w:hAnsi="Times New Roman"/>
        </w:rPr>
        <w:t xml:space="preserve"> </w:t>
      </w: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Times New Roman" w:hAnsi="Times New Roman"/>
        </w:rPr>
      </w:pPr>
    </w:p>
    <w:p w:rsidR="00DF30C3" w:rsidP="00DF30C3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F30C3" w:rsidP="00DF30C3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F30C3" w:rsidRPr="00F40AFD" w:rsidP="00DF30C3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DF30C3" w:rsidRPr="00F40AFD" w:rsidP="00DF30C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DF30C3" w:rsidP="00DF30C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DF30C3" w:rsidP="00DF30C3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C6BA1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C6BA1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P="00DF30C3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DF30C3" w:rsidRPr="009B5839" w:rsidP="00DF30C3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DF30C3" w:rsidRPr="009027A0" w:rsidP="00DF30C3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DF30C3" w:rsidP="00DF30C3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3E46C0">
        <w:rPr>
          <w:rFonts w:ascii="Times New Roman" w:hAnsi="Times New Roman"/>
          <w:b/>
        </w:rPr>
        <w:t>166</w:t>
      </w:r>
    </w:p>
    <w:p w:rsidR="00DF30C3" w:rsidP="00DF30C3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312616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6308BD">
        <w:rPr>
          <w:rFonts w:ascii="Times New Roman" w:hAnsi="Times New Roman"/>
          <w:b/>
        </w:rPr>
        <w:t>januára 2013</w:t>
      </w:r>
    </w:p>
    <w:p w:rsidR="00DF30C3" w:rsidRPr="009027A0" w:rsidP="00DF30C3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DF30C3" w:rsidP="00DF30C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F30C3" w:rsidP="00DF30C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F30C3" w:rsidP="00DF30C3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F30C3" w:rsidRPr="009027A0" w:rsidP="00DF30C3">
      <w:pPr>
        <w:bidi w:val="0"/>
        <w:ind w:left="670"/>
        <w:rPr>
          <w:rFonts w:ascii="Times New Roman" w:hAnsi="Times New Roman"/>
          <w:lang w:eastAsia="en-US"/>
        </w:rPr>
      </w:pPr>
    </w:p>
    <w:p w:rsidR="00DF30C3" w:rsidP="00DF30C3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DF30C3" w:rsidRPr="001E0FF4" w:rsidP="00DF30C3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DF30C3" w:rsidRPr="00645500" w:rsidP="00DF30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645500">
        <w:rPr>
          <w:rFonts w:ascii="Times New Roman" w:hAnsi="Times New Roman"/>
          <w:b/>
        </w:rPr>
        <w:t>k vládnemu návrhu zákona</w:t>
      </w:r>
      <w:r w:rsidRPr="004914B5">
        <w:rPr>
          <w:rFonts w:ascii="Times New Roman" w:hAnsi="Times New Roman"/>
          <w:noProof/>
        </w:rPr>
        <w:t xml:space="preserve">, </w:t>
      </w:r>
      <w:r w:rsidRPr="00DF30C3">
        <w:rPr>
          <w:rFonts w:ascii="Times New Roman" w:hAnsi="Times New Roman"/>
          <w:b/>
          <w:noProof/>
        </w:rPr>
        <w:t xml:space="preserve">ktorým sa mení a dopĺňa zákon č. 139/1998 Z. z. o omamných látkach, psychotropných látkach a prípravkoch v znení neskorších predpisov a ktorým sa mení zákon Národnej rady Slovenskej republiky č. 145/1995 Z. z. o správnych poplatkoch v znení neskorších predpisov </w:t>
      </w:r>
      <w:r w:rsidRPr="00DF30C3">
        <w:rPr>
          <w:rFonts w:ascii="Times New Roman" w:hAnsi="Times New Roman"/>
          <w:b/>
        </w:rPr>
        <w:t>(tlač 281)</w:t>
      </w:r>
    </w:p>
    <w:p w:rsidR="00DF30C3" w:rsidRPr="00942935" w:rsidP="00DF30C3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DF30C3" w:rsidP="00DF30C3">
      <w:pPr>
        <w:bidi w:val="0"/>
        <w:jc w:val="both"/>
        <w:rPr>
          <w:rFonts w:ascii="Times New Roman" w:hAnsi="Times New Roman"/>
          <w:b/>
        </w:rPr>
      </w:pPr>
    </w:p>
    <w:p w:rsidR="00AA406B" w:rsidRPr="00AA406B" w:rsidP="00AA406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406B" w:rsidRPr="00AA406B" w:rsidP="00AA406B">
      <w:pPr>
        <w:pStyle w:val="ListParagraph"/>
        <w:numPr>
          <w:numId w:val="2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/>
          <w:u w:val="single"/>
        </w:rPr>
      </w:pPr>
      <w:r w:rsidRPr="00AA406B">
        <w:rPr>
          <w:rFonts w:ascii="Times New Roman" w:hAnsi="Times New Roman"/>
          <w:b/>
          <w:u w:val="single"/>
        </w:rPr>
        <w:t>K čl. I bodu 11.</w:t>
      </w:r>
    </w:p>
    <w:p w:rsidR="00AA406B" w:rsidRP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 xml:space="preserve">Poznámka pod čiarou k odkazu 5a znie: </w:t>
      </w:r>
    </w:p>
    <w:p w:rsidR="00AA406B" w:rsidRP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>„</w:t>
      </w:r>
      <w:r w:rsidRPr="00AA406B">
        <w:rPr>
          <w:rFonts w:ascii="Times New Roman" w:hAnsi="Times New Roman"/>
          <w:vertAlign w:val="superscript"/>
        </w:rPr>
        <w:t>5a</w:t>
      </w:r>
      <w:r w:rsidRPr="00AA406B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 </w:t>
      </w:r>
      <w:r w:rsidRPr="00AA406B">
        <w:rPr>
          <w:rFonts w:ascii="Times New Roman" w:hAnsi="Times New Roman"/>
        </w:rPr>
        <w:t>Nariadenie (ES) č. 73/2009.</w:t>
      </w:r>
    </w:p>
    <w:p w:rsidR="00AA406B" w:rsidRP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>Čl. 91 až 95 nariadenia Rady (ES) č. 1234/2007 z 22. októbra 2007 o vytvorení spoločnej organizácie poľnohospodárskych trhov a o osobitných ustanoveniach pre určité poľnohospodárske výrobky (nariadenie o jednotnej spoločnej organizácii trhov) (Ú. v. EÚ L 299, 16.11.2007) v platnom znení.</w:t>
      </w:r>
    </w:p>
    <w:p w:rsidR="00AA406B" w:rsidRP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 xml:space="preserve">Čl. 13 ods. 1 a čl. 30 nariadenia Komisie (ES) č. 1122/2009 </w:t>
      </w:r>
      <w:r w:rsidRPr="00AA406B">
        <w:rPr>
          <w:rFonts w:ascii="Times New Roman" w:hAnsi="Times New Roman"/>
          <w:bCs/>
        </w:rPr>
        <w:t xml:space="preserve">z 30. novembra 2009,  ktorým sa ustanovujú podrobné pravidlá vykonávania nariadenia Rady (ES) č. 73/2009, pokiaľ ide o krížové plnenie, moduláciu a integrovaný správny a kontrolný systém v rámci schém priamej podpory pre poľnohospodárov ustanovených uvedeným nariadením, ako aj podrobné pravidlá vykonávania nariadenia Rady (ES) č. 1234/2007, pokiaľ ide o krížové plnenie v rámci schémy podpory ustanovenej pre odvetvie vinohradníctva a vinárstva </w:t>
      </w:r>
      <w:r w:rsidRPr="00AA406B">
        <w:rPr>
          <w:rFonts w:ascii="Times New Roman" w:hAnsi="Times New Roman"/>
        </w:rPr>
        <w:t xml:space="preserve"> (Ú. v. EÚ L 316, 2. 12. 2009) v platnom znení.</w:t>
      </w:r>
    </w:p>
    <w:p w:rsidR="00AA406B" w:rsidRP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>Zákon č. 543/2007 Z. z. o pôsobnosti orgánov štátnej správy pri poskytovaní podpory v pôdohospodárstve a rozvoji vidieka v znení neskorších predpisov.</w:t>
      </w:r>
    </w:p>
    <w:p w:rsid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>Nariadenie vlády Slovenskej republiky č. 488/2010 Z. z. o podmienkach poskytovania podpory v poľnohospodárstve formou priamych platieb v znení neskorších predpisov.“.</w:t>
      </w:r>
    </w:p>
    <w:p w:rsidR="00AA406B" w:rsidRPr="00AA406B" w:rsidP="00AA406B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AA406B" w:rsidRPr="00AA406B" w:rsidP="00AA406B">
      <w:pPr>
        <w:bidi w:val="0"/>
        <w:ind w:left="2835"/>
        <w:jc w:val="both"/>
        <w:rPr>
          <w:rFonts w:ascii="Times New Roman" w:hAnsi="Times New Roman"/>
        </w:rPr>
      </w:pPr>
      <w:r w:rsidRPr="00AA406B">
        <w:rPr>
          <w:rStyle w:val="Emphasis"/>
          <w:rFonts w:eastAsia="Arial Unicode MS"/>
          <w:i w:val="0"/>
        </w:rPr>
        <w:t>Ide o </w:t>
      </w:r>
      <w:r w:rsidRPr="00AA406B">
        <w:rPr>
          <w:rStyle w:val="Emphasis"/>
          <w:rFonts w:eastAsia="Arial Unicode MS" w:hint="default"/>
          <w:i w:val="0"/>
        </w:rPr>
        <w:t>legislatí</w:t>
      </w:r>
      <w:r w:rsidRPr="00AA406B">
        <w:rPr>
          <w:rStyle w:val="Emphasis"/>
          <w:rFonts w:eastAsia="Arial Unicode MS" w:hint="default"/>
          <w:i w:val="0"/>
        </w:rPr>
        <w:t>vno-technické</w:t>
      </w:r>
      <w:r w:rsidRPr="00AA406B">
        <w:rPr>
          <w:rStyle w:val="Emphasis"/>
          <w:rFonts w:eastAsia="Arial Unicode MS" w:hint="default"/>
          <w:i w:val="0"/>
        </w:rPr>
        <w:t xml:space="preserve"> ú</w:t>
      </w:r>
      <w:r w:rsidRPr="00AA406B">
        <w:rPr>
          <w:rStyle w:val="Emphasis"/>
          <w:rFonts w:eastAsia="Arial Unicode MS" w:hint="default"/>
          <w:i w:val="0"/>
        </w:rPr>
        <w:t>pravy sú</w:t>
      </w:r>
      <w:r w:rsidRPr="00AA406B">
        <w:rPr>
          <w:rStyle w:val="Emphasis"/>
          <w:rFonts w:eastAsia="Arial Unicode MS" w:hint="default"/>
          <w:i w:val="0"/>
        </w:rPr>
        <w:t>visiace so zauží</w:t>
      </w:r>
      <w:r w:rsidRPr="00AA406B">
        <w:rPr>
          <w:rStyle w:val="Emphasis"/>
          <w:rFonts w:eastAsia="Arial Unicode MS" w:hint="default"/>
          <w:i w:val="0"/>
        </w:rPr>
        <w:t>vaný</w:t>
      </w:r>
      <w:r w:rsidRPr="00AA406B">
        <w:rPr>
          <w:rStyle w:val="Emphasis"/>
          <w:rFonts w:eastAsia="Arial Unicode MS" w:hint="default"/>
          <w:i w:val="0"/>
        </w:rPr>
        <w:t>m spô</w:t>
      </w:r>
      <w:r w:rsidRPr="00AA406B">
        <w:rPr>
          <w:rStyle w:val="Emphasis"/>
          <w:rFonts w:eastAsia="Arial Unicode MS" w:hint="default"/>
          <w:i w:val="0"/>
        </w:rPr>
        <w:t>sobom uvá</w:t>
      </w:r>
      <w:r w:rsidRPr="00AA406B">
        <w:rPr>
          <w:rStyle w:val="Emphasis"/>
          <w:rFonts w:eastAsia="Arial Unicode MS" w:hint="default"/>
          <w:i w:val="0"/>
        </w:rPr>
        <w:t>dzania prá</w:t>
      </w:r>
      <w:r w:rsidRPr="00AA406B">
        <w:rPr>
          <w:rStyle w:val="Emphasis"/>
          <w:rFonts w:eastAsia="Arial Unicode MS" w:hint="default"/>
          <w:i w:val="0"/>
        </w:rPr>
        <w:t>vne zá</w:t>
      </w:r>
      <w:r w:rsidRPr="00AA406B">
        <w:rPr>
          <w:rStyle w:val="Emphasis"/>
          <w:rFonts w:eastAsia="Arial Unicode MS" w:hint="default"/>
          <w:i w:val="0"/>
        </w:rPr>
        <w:t>vä</w:t>
      </w:r>
      <w:r w:rsidRPr="00AA406B">
        <w:rPr>
          <w:rStyle w:val="Emphasis"/>
          <w:rFonts w:eastAsia="Arial Unicode MS" w:hint="default"/>
          <w:i w:val="0"/>
        </w:rPr>
        <w:t>zný</w:t>
      </w:r>
      <w:r w:rsidRPr="00AA406B">
        <w:rPr>
          <w:rStyle w:val="Emphasis"/>
          <w:rFonts w:eastAsia="Arial Unicode MS" w:hint="default"/>
          <w:i w:val="0"/>
        </w:rPr>
        <w:t>ch aktov Euró</w:t>
      </w:r>
      <w:r w:rsidRPr="00AA406B">
        <w:rPr>
          <w:rStyle w:val="Emphasis"/>
          <w:rFonts w:eastAsia="Arial Unicode MS" w:hint="default"/>
          <w:i w:val="0"/>
        </w:rPr>
        <w:t>pskej ú</w:t>
      </w:r>
      <w:r w:rsidRPr="00AA406B">
        <w:rPr>
          <w:rStyle w:val="Emphasis"/>
          <w:rFonts w:eastAsia="Arial Unicode MS" w:hint="default"/>
          <w:i w:val="0"/>
        </w:rPr>
        <w:t>nie a ich skrá</w:t>
      </w:r>
      <w:r w:rsidRPr="00AA406B">
        <w:rPr>
          <w:rStyle w:val="Emphasis"/>
          <w:rFonts w:eastAsia="Arial Unicode MS" w:hint="default"/>
          <w:i w:val="0"/>
        </w:rPr>
        <w:t>tenej citá</w:t>
      </w:r>
      <w:r w:rsidRPr="00AA406B">
        <w:rPr>
          <w:rStyle w:val="Emphasis"/>
          <w:rFonts w:eastAsia="Arial Unicode MS" w:hint="default"/>
          <w:i w:val="0"/>
        </w:rPr>
        <w:t>cie  v </w:t>
      </w:r>
      <w:r w:rsidRPr="00AA406B">
        <w:rPr>
          <w:rStyle w:val="Emphasis"/>
          <w:rFonts w:eastAsia="Arial Unicode MS" w:hint="default"/>
          <w:i w:val="0"/>
        </w:rPr>
        <w:t>pozná</w:t>
      </w:r>
      <w:r w:rsidRPr="00AA406B">
        <w:rPr>
          <w:rStyle w:val="Emphasis"/>
          <w:rFonts w:eastAsia="Arial Unicode MS" w:hint="default"/>
          <w:i w:val="0"/>
        </w:rPr>
        <w:t>mkach pod č</w:t>
      </w:r>
      <w:r w:rsidRPr="00AA406B">
        <w:rPr>
          <w:rStyle w:val="Emphasis"/>
          <w:rFonts w:eastAsia="Arial Unicode MS" w:hint="default"/>
          <w:i w:val="0"/>
        </w:rPr>
        <w:t>iarou tak, ako boli publikované</w:t>
      </w:r>
      <w:r w:rsidRPr="00AA406B">
        <w:rPr>
          <w:rStyle w:val="Emphasis"/>
          <w:rFonts w:eastAsia="Arial Unicode MS" w:hint="default"/>
          <w:i w:val="0"/>
        </w:rPr>
        <w:t xml:space="preserve"> v </w:t>
      </w:r>
      <w:r w:rsidRPr="00AA406B">
        <w:rPr>
          <w:rStyle w:val="Emphasis"/>
          <w:rFonts w:eastAsia="Arial Unicode MS" w:hint="default"/>
          <w:i w:val="0"/>
        </w:rPr>
        <w:t>ú</w:t>
      </w:r>
      <w:r w:rsidRPr="00AA406B">
        <w:rPr>
          <w:rStyle w:val="Emphasis"/>
          <w:rFonts w:eastAsia="Arial Unicode MS" w:hint="default"/>
          <w:i w:val="0"/>
        </w:rPr>
        <w:t>radnom vest</w:t>
      </w:r>
      <w:r w:rsidRPr="00AA406B">
        <w:rPr>
          <w:rStyle w:val="Emphasis"/>
          <w:rFonts w:eastAsia="Arial Unicode MS" w:hint="default"/>
          <w:i w:val="0"/>
        </w:rPr>
        <w:t>ní</w:t>
      </w:r>
      <w:r w:rsidRPr="00AA406B">
        <w:rPr>
          <w:rStyle w:val="Emphasis"/>
          <w:rFonts w:eastAsia="Arial Unicode MS" w:hint="default"/>
          <w:i w:val="0"/>
        </w:rPr>
        <w:t>ku.</w:t>
      </w:r>
    </w:p>
    <w:p w:rsidR="00AA406B" w:rsidP="00AA406B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</w:p>
    <w:p w:rsidR="00A85F83" w:rsidRPr="00AA406B" w:rsidP="00AA406B">
      <w:pPr>
        <w:bidi w:val="0"/>
        <w:spacing w:line="360" w:lineRule="auto"/>
        <w:ind w:left="426"/>
        <w:jc w:val="both"/>
        <w:rPr>
          <w:rFonts w:ascii="Times New Roman" w:hAnsi="Times New Roman"/>
        </w:rPr>
      </w:pPr>
    </w:p>
    <w:p w:rsidR="00AA406B" w:rsidRPr="00AA406B" w:rsidP="00AA406B">
      <w:pPr>
        <w:pStyle w:val="ListParagraph"/>
        <w:numPr>
          <w:numId w:val="2"/>
        </w:numPr>
        <w:tabs>
          <w:tab w:val="left" w:pos="284"/>
        </w:tabs>
        <w:bidi w:val="0"/>
        <w:spacing w:line="360" w:lineRule="auto"/>
        <w:ind w:left="0" w:firstLine="0"/>
        <w:jc w:val="both"/>
        <w:rPr>
          <w:rFonts w:ascii="Times New Roman" w:hAnsi="Times New Roman"/>
          <w:b/>
          <w:u w:val="single"/>
        </w:rPr>
      </w:pPr>
      <w:r w:rsidRPr="00AA406B">
        <w:rPr>
          <w:rFonts w:ascii="Times New Roman" w:hAnsi="Times New Roman"/>
          <w:b/>
          <w:u w:val="single"/>
        </w:rPr>
        <w:t>K čl. I bodu 16.</w:t>
      </w:r>
    </w:p>
    <w:p w:rsidR="00AA406B" w:rsidRPr="00AA406B" w:rsidP="00AA406B">
      <w:pPr>
        <w:bidi w:val="0"/>
        <w:spacing w:before="120" w:line="360" w:lineRule="auto"/>
        <w:ind w:firstLine="284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>V poznámke pod čiarou k odkazu 6b sa vypúšťajú slová „(Ú. v. EÚ L 30, 31. 1. 2009) v platnom znení“ a slová „(Ú. v. EÚ L 316, 2. 12. 2009) v platnom znení“.</w:t>
      </w:r>
    </w:p>
    <w:p w:rsidR="00AA406B" w:rsidRPr="00AA406B" w:rsidP="00AA406B">
      <w:pPr>
        <w:bidi w:val="0"/>
        <w:spacing w:before="120" w:line="360" w:lineRule="auto"/>
        <w:ind w:firstLine="284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</w:rPr>
        <w:t>V poznámke pod čiarou k odkazu 6c sa vypúšťajú slová „(Ú. v. EÚ L 30, 31. 1. 2009) v platnom znení“ a slová „(Ú. v. EÚ L 316, 2. 12. 2009) v platnom znení“.</w:t>
      </w:r>
    </w:p>
    <w:p w:rsidR="00AA406B" w:rsidRPr="00AA406B" w:rsidP="00AA406B">
      <w:pPr>
        <w:bidi w:val="0"/>
        <w:ind w:left="2835"/>
        <w:jc w:val="both"/>
        <w:rPr>
          <w:rStyle w:val="Emphasis"/>
          <w:rFonts w:eastAsia="Arial Unicode MS"/>
          <w:i w:val="0"/>
        </w:rPr>
      </w:pPr>
    </w:p>
    <w:p w:rsidR="00AA406B" w:rsidRPr="00AA406B" w:rsidP="00AA406B">
      <w:pPr>
        <w:bidi w:val="0"/>
        <w:ind w:left="2835"/>
        <w:jc w:val="both"/>
        <w:rPr>
          <w:rFonts w:ascii="Times New Roman" w:eastAsia="Arial Unicode MS" w:hAnsi="Times New Roman"/>
        </w:rPr>
      </w:pPr>
      <w:r w:rsidRPr="00AA406B">
        <w:rPr>
          <w:rStyle w:val="Emphasis"/>
          <w:rFonts w:eastAsia="Arial Unicode MS"/>
          <w:i w:val="0"/>
        </w:rPr>
        <w:t>Ide o </w:t>
      </w:r>
      <w:r w:rsidRPr="00AA406B">
        <w:rPr>
          <w:rStyle w:val="Emphasis"/>
          <w:rFonts w:eastAsia="Arial Unicode MS" w:hint="default"/>
          <w:i w:val="0"/>
        </w:rPr>
        <w:t>legislatí</w:t>
      </w:r>
      <w:r w:rsidRPr="00AA406B">
        <w:rPr>
          <w:rStyle w:val="Emphasis"/>
          <w:rFonts w:eastAsia="Arial Unicode MS" w:hint="default"/>
          <w:i w:val="0"/>
        </w:rPr>
        <w:t>vno-technické</w:t>
      </w:r>
      <w:r w:rsidRPr="00AA406B">
        <w:rPr>
          <w:rStyle w:val="Emphasis"/>
          <w:rFonts w:eastAsia="Arial Unicode MS" w:hint="default"/>
          <w:i w:val="0"/>
        </w:rPr>
        <w:t xml:space="preserve"> ú</w:t>
      </w:r>
      <w:r w:rsidRPr="00AA406B">
        <w:rPr>
          <w:rStyle w:val="Emphasis"/>
          <w:rFonts w:eastAsia="Arial Unicode MS" w:hint="default"/>
          <w:i w:val="0"/>
        </w:rPr>
        <w:t>pravy sú</w:t>
      </w:r>
      <w:r w:rsidRPr="00AA406B">
        <w:rPr>
          <w:rStyle w:val="Emphasis"/>
          <w:rFonts w:eastAsia="Arial Unicode MS" w:hint="default"/>
          <w:i w:val="0"/>
        </w:rPr>
        <w:t>visiace so zauží</w:t>
      </w:r>
      <w:r w:rsidRPr="00AA406B">
        <w:rPr>
          <w:rStyle w:val="Emphasis"/>
          <w:rFonts w:eastAsia="Arial Unicode MS" w:hint="default"/>
          <w:i w:val="0"/>
        </w:rPr>
        <w:t>vaný</w:t>
      </w:r>
      <w:r w:rsidRPr="00AA406B">
        <w:rPr>
          <w:rStyle w:val="Emphasis"/>
          <w:rFonts w:eastAsia="Arial Unicode MS" w:hint="default"/>
          <w:i w:val="0"/>
        </w:rPr>
        <w:t>m spô</w:t>
      </w:r>
      <w:r w:rsidRPr="00AA406B">
        <w:rPr>
          <w:rStyle w:val="Emphasis"/>
          <w:rFonts w:eastAsia="Arial Unicode MS" w:hint="default"/>
          <w:i w:val="0"/>
        </w:rPr>
        <w:t>sobom uvá</w:t>
      </w:r>
      <w:r w:rsidRPr="00AA406B">
        <w:rPr>
          <w:rStyle w:val="Emphasis"/>
          <w:rFonts w:eastAsia="Arial Unicode MS" w:hint="default"/>
          <w:i w:val="0"/>
        </w:rPr>
        <w:t>dzania skrá</w:t>
      </w:r>
      <w:r w:rsidRPr="00AA406B">
        <w:rPr>
          <w:rStyle w:val="Emphasis"/>
          <w:rFonts w:eastAsia="Arial Unicode MS" w:hint="default"/>
          <w:i w:val="0"/>
        </w:rPr>
        <w:t>tenej citá</w:t>
      </w:r>
      <w:r w:rsidRPr="00AA406B">
        <w:rPr>
          <w:rStyle w:val="Emphasis"/>
          <w:rFonts w:eastAsia="Arial Unicode MS" w:hint="default"/>
          <w:i w:val="0"/>
        </w:rPr>
        <w:t>cie  prá</w:t>
      </w:r>
      <w:r w:rsidRPr="00AA406B">
        <w:rPr>
          <w:rStyle w:val="Emphasis"/>
          <w:rFonts w:eastAsia="Arial Unicode MS" w:hint="default"/>
          <w:i w:val="0"/>
        </w:rPr>
        <w:t>vne zá</w:t>
      </w:r>
      <w:r w:rsidRPr="00AA406B">
        <w:rPr>
          <w:rStyle w:val="Emphasis"/>
          <w:rFonts w:eastAsia="Arial Unicode MS" w:hint="default"/>
          <w:i w:val="0"/>
        </w:rPr>
        <w:t>vä</w:t>
      </w:r>
      <w:r w:rsidRPr="00AA406B">
        <w:rPr>
          <w:rStyle w:val="Emphasis"/>
          <w:rFonts w:eastAsia="Arial Unicode MS" w:hint="default"/>
          <w:i w:val="0"/>
        </w:rPr>
        <w:t>zný</w:t>
      </w:r>
      <w:r w:rsidRPr="00AA406B">
        <w:rPr>
          <w:rStyle w:val="Emphasis"/>
          <w:rFonts w:eastAsia="Arial Unicode MS" w:hint="default"/>
          <w:i w:val="0"/>
        </w:rPr>
        <w:t>ch aktov Euró</w:t>
      </w:r>
      <w:r w:rsidRPr="00AA406B">
        <w:rPr>
          <w:rStyle w:val="Emphasis"/>
          <w:rFonts w:eastAsia="Arial Unicode MS" w:hint="default"/>
          <w:i w:val="0"/>
        </w:rPr>
        <w:t>pskej ú</w:t>
      </w:r>
      <w:r w:rsidRPr="00AA406B">
        <w:rPr>
          <w:rStyle w:val="Emphasis"/>
          <w:rFonts w:eastAsia="Arial Unicode MS" w:hint="default"/>
          <w:i w:val="0"/>
        </w:rPr>
        <w:t>nie v </w:t>
      </w:r>
      <w:r w:rsidRPr="00AA406B">
        <w:rPr>
          <w:rStyle w:val="Emphasis"/>
          <w:rFonts w:eastAsia="Arial Unicode MS" w:hint="default"/>
          <w:i w:val="0"/>
        </w:rPr>
        <w:t>pozná</w:t>
      </w:r>
      <w:r w:rsidRPr="00AA406B">
        <w:rPr>
          <w:rStyle w:val="Emphasis"/>
          <w:rFonts w:eastAsia="Arial Unicode MS" w:hint="default"/>
          <w:i w:val="0"/>
        </w:rPr>
        <w:t>mke pod č</w:t>
      </w:r>
      <w:r w:rsidRPr="00AA406B">
        <w:rPr>
          <w:rStyle w:val="Emphasis"/>
          <w:rFonts w:eastAsia="Arial Unicode MS" w:hint="default"/>
          <w:i w:val="0"/>
        </w:rPr>
        <w:t>iarou.</w:t>
      </w:r>
    </w:p>
    <w:p w:rsidR="00AA406B" w:rsidP="00AA406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5F83" w:rsidRPr="00AA406B" w:rsidP="00AA406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A406B" w:rsidP="00AA406B">
      <w:pPr>
        <w:pStyle w:val="ListParagraph"/>
        <w:numPr>
          <w:numId w:val="2"/>
        </w:numPr>
        <w:tabs>
          <w:tab w:val="left" w:pos="142"/>
          <w:tab w:val="left" w:pos="284"/>
        </w:tabs>
        <w:bidi w:val="0"/>
        <w:spacing w:after="200" w:line="360" w:lineRule="auto"/>
        <w:ind w:left="0" w:firstLine="0"/>
        <w:jc w:val="both"/>
        <w:rPr>
          <w:rFonts w:ascii="Times New Roman" w:hAnsi="Times New Roman"/>
        </w:rPr>
      </w:pPr>
      <w:r w:rsidRPr="00AA406B">
        <w:rPr>
          <w:rFonts w:ascii="Times New Roman" w:hAnsi="Times New Roman"/>
          <w:b/>
          <w:u w:val="single"/>
        </w:rPr>
        <w:t>V čl. III a v čl. I v bode 18. v § 42a v nadpise</w:t>
      </w:r>
      <w:r w:rsidRPr="00AA406B">
        <w:rPr>
          <w:rFonts w:ascii="Times New Roman" w:hAnsi="Times New Roman"/>
        </w:rPr>
        <w:t xml:space="preserve"> sa slová „1. februára 2013“ nahrádzajú slovami „1. apríla 2013“ a súčasne </w:t>
      </w:r>
      <w:r w:rsidRPr="00AA406B">
        <w:rPr>
          <w:rFonts w:ascii="Times New Roman" w:hAnsi="Times New Roman"/>
          <w:b/>
          <w:u w:val="single"/>
        </w:rPr>
        <w:t>v čl. I</w:t>
      </w:r>
      <w:r w:rsidRPr="00AA406B">
        <w:rPr>
          <w:rFonts w:ascii="Times New Roman" w:hAnsi="Times New Roman"/>
        </w:rPr>
        <w:t> v bode 18. v  § 42a v  odsekoch 2 a 3 sa slová „do 31. januára 2013“ nahrádzajú slovami „do 31. marca 2013“.</w:t>
      </w:r>
    </w:p>
    <w:p w:rsidR="00A85F83" w:rsidRPr="00A85F83" w:rsidP="00A85F83">
      <w:pPr>
        <w:pStyle w:val="ListParagraph"/>
        <w:tabs>
          <w:tab w:val="left" w:pos="142"/>
          <w:tab w:val="left" w:pos="284"/>
        </w:tabs>
        <w:bidi w:val="0"/>
        <w:spacing w:after="200" w:line="360" w:lineRule="auto"/>
        <w:ind w:left="0"/>
        <w:jc w:val="both"/>
        <w:rPr>
          <w:rFonts w:ascii="Times New Roman" w:hAnsi="Times New Roman"/>
        </w:rPr>
      </w:pPr>
    </w:p>
    <w:p w:rsidR="00AA406B" w:rsidRPr="00A85F83" w:rsidP="00AA406B">
      <w:pPr>
        <w:pStyle w:val="ListParagraph"/>
        <w:bidi w:val="0"/>
        <w:ind w:left="2835"/>
        <w:jc w:val="both"/>
        <w:rPr>
          <w:rFonts w:ascii="Times New Roman" w:hAnsi="Times New Roman"/>
        </w:rPr>
      </w:pPr>
      <w:r w:rsidRPr="00A85F83">
        <w:rPr>
          <w:rFonts w:ascii="Times New Roman" w:hAnsi="Times New Roman"/>
        </w:rPr>
        <w:t xml:space="preserve">Posunutie účinnosti a s tým súvisiaca úprava prechodných ustanovení zohľadňuje zákonné lehoty v legislatívnom procese schvaľovania zákona ako aj potrebnú legisvakanciu. </w:t>
      </w:r>
    </w:p>
    <w:p w:rsidR="00AA406B" w:rsidRPr="00A85F83" w:rsidP="00AA406B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AA406B" w:rsidRPr="00A85F83" w:rsidP="00AA406B">
      <w:pPr>
        <w:pStyle w:val="BodyText"/>
        <w:bidi w:val="0"/>
        <w:spacing w:line="360" w:lineRule="auto"/>
        <w:rPr>
          <w:rFonts w:ascii="Times New Roman" w:hAnsi="Times New Roman"/>
        </w:rPr>
      </w:pPr>
    </w:p>
    <w:p w:rsidR="00AA406B" w:rsidRPr="00AA406B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8B20D91E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F30C3"/>
    <w:rsid w:val="00073CB7"/>
    <w:rsid w:val="000E658D"/>
    <w:rsid w:val="001635A6"/>
    <w:rsid w:val="00165B1B"/>
    <w:rsid w:val="00174F82"/>
    <w:rsid w:val="001A18B7"/>
    <w:rsid w:val="001E0FF4"/>
    <w:rsid w:val="00220BDB"/>
    <w:rsid w:val="0028249F"/>
    <w:rsid w:val="00312616"/>
    <w:rsid w:val="00355073"/>
    <w:rsid w:val="003E46C0"/>
    <w:rsid w:val="004914B5"/>
    <w:rsid w:val="004F6D39"/>
    <w:rsid w:val="00502405"/>
    <w:rsid w:val="0056007A"/>
    <w:rsid w:val="00577FDA"/>
    <w:rsid w:val="005A4B3B"/>
    <w:rsid w:val="00617C3F"/>
    <w:rsid w:val="006308BD"/>
    <w:rsid w:val="00645500"/>
    <w:rsid w:val="0066419F"/>
    <w:rsid w:val="007C6BA1"/>
    <w:rsid w:val="0080726D"/>
    <w:rsid w:val="0084672F"/>
    <w:rsid w:val="00885E59"/>
    <w:rsid w:val="009027A0"/>
    <w:rsid w:val="00934CDC"/>
    <w:rsid w:val="00942935"/>
    <w:rsid w:val="00967647"/>
    <w:rsid w:val="009B5839"/>
    <w:rsid w:val="00A85F83"/>
    <w:rsid w:val="00AA406B"/>
    <w:rsid w:val="00AA48AC"/>
    <w:rsid w:val="00B0388A"/>
    <w:rsid w:val="00C45835"/>
    <w:rsid w:val="00C649E5"/>
    <w:rsid w:val="00DF30C3"/>
    <w:rsid w:val="00F40AFD"/>
    <w:rsid w:val="00FA6A35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C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F30C3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F30C3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F30C3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F30C3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DF30C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F30C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F30C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F30C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F30C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F30C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F30C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AA406B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4</Pages>
  <Words>678</Words>
  <Characters>3866</Characters>
  <Application>Microsoft Office Word</Application>
  <DocSecurity>0</DocSecurity>
  <Lines>0</Lines>
  <Paragraphs>0</Paragraphs>
  <ScaleCrop>false</ScaleCrop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17</cp:revision>
  <dcterms:created xsi:type="dcterms:W3CDTF">2012-12-04T09:56:00Z</dcterms:created>
  <dcterms:modified xsi:type="dcterms:W3CDTF">2013-01-18T15:52:00Z</dcterms:modified>
</cp:coreProperties>
</file>