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72A6" w:rsidP="007A72A6">
      <w:pPr>
        <w:widowControl/>
        <w:bidi w:val="0"/>
        <w:jc w:val="center"/>
        <w:rPr>
          <w:rFonts w:ascii="Arial" w:hAnsi="Arial" w:cs="Arial"/>
          <w:b/>
          <w:caps/>
          <w:spacing w:val="40"/>
          <w:sz w:val="28"/>
          <w:szCs w:val="28"/>
          <w:u w:val="single"/>
        </w:rPr>
      </w:pPr>
      <w:r>
        <w:rPr>
          <w:rFonts w:ascii="Arial" w:hAnsi="Arial" w:cs="Arial"/>
          <w:b/>
          <w:caps/>
          <w:spacing w:val="40"/>
          <w:sz w:val="28"/>
          <w:szCs w:val="28"/>
          <w:u w:val="single"/>
        </w:rPr>
        <w:t>národná rada slovenskej republiky</w:t>
      </w:r>
    </w:p>
    <w:p w:rsidR="007A72A6" w:rsidP="007A72A6">
      <w:pPr>
        <w:widowControl/>
        <w:bidi w:val="0"/>
        <w:rPr>
          <w:rFonts w:ascii="Arial" w:hAnsi="Arial" w:cs="Arial"/>
          <w:b/>
          <w:caps/>
          <w:spacing w:val="40"/>
          <w:u w:val="single"/>
        </w:rPr>
      </w:pPr>
    </w:p>
    <w:p w:rsidR="007A72A6" w:rsidP="007A72A6">
      <w:pPr>
        <w:widowControl/>
        <w:bidi w:val="0"/>
        <w:jc w:val="center"/>
        <w:rPr>
          <w:rFonts w:ascii="Arial" w:hAnsi="Arial" w:cs="Arial"/>
          <w:spacing w:val="40"/>
        </w:rPr>
      </w:pPr>
      <w:r>
        <w:rPr>
          <w:rFonts w:ascii="Arial" w:hAnsi="Arial" w:cs="Arial"/>
          <w:caps/>
          <w:spacing w:val="40"/>
        </w:rPr>
        <w:t xml:space="preserve">VI. </w:t>
      </w:r>
      <w:r>
        <w:rPr>
          <w:rFonts w:ascii="Arial" w:hAnsi="Arial" w:cs="Arial"/>
          <w:spacing w:val="40"/>
        </w:rPr>
        <w:t>volebné obdobie</w:t>
      </w:r>
    </w:p>
    <w:p w:rsidR="007A72A6" w:rsidP="007A72A6">
      <w:pPr>
        <w:widowControl/>
        <w:bidi w:val="0"/>
        <w:rPr>
          <w:rFonts w:ascii="Arial" w:hAnsi="Arial" w:cs="Arial"/>
          <w:spacing w:val="40"/>
        </w:rPr>
      </w:pPr>
    </w:p>
    <w:p w:rsidR="007A72A6" w:rsidP="007A72A6">
      <w:pPr>
        <w:widowControl/>
        <w:bidi w:val="0"/>
        <w:rPr>
          <w:rFonts w:ascii="Arial" w:hAnsi="Arial" w:cs="Arial"/>
          <w:spacing w:val="40"/>
        </w:rPr>
      </w:pPr>
    </w:p>
    <w:p w:rsidR="007A72A6" w:rsidP="007A72A6">
      <w:pPr>
        <w:widowControl/>
        <w:bidi w:val="0"/>
        <w:rPr>
          <w:rFonts w:ascii="Arial" w:hAnsi="Arial" w:cs="Arial"/>
          <w:spacing w:val="40"/>
        </w:rPr>
      </w:pPr>
    </w:p>
    <w:p w:rsidR="007A72A6" w:rsidP="007A72A6">
      <w:pPr>
        <w:widowControl/>
        <w:bidi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Číslo: CRD-1065/2012</w:t>
      </w:r>
    </w:p>
    <w:p w:rsidR="007A72A6" w:rsidP="007A72A6">
      <w:pPr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A72A6" w:rsidP="007A72A6">
      <w:pPr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63a</w:t>
      </w:r>
    </w:p>
    <w:p w:rsidR="007A72A6" w:rsidP="007A72A6">
      <w:pPr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Správa</w:t>
      </w:r>
    </w:p>
    <w:p w:rsidR="007A72A6" w:rsidP="007A72A6">
      <w:pPr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Výboru Národnej rady Slovenskej republiky pre ľudské práva a národnostné menšiny o prerokovaní výročnej správy Ústavu pamäti národa za rok 2011 (tlač 63)</w:t>
      </w:r>
    </w:p>
    <w:p w:rsidR="007A72A6" w:rsidP="007A72A6">
      <w:pPr>
        <w:bidi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7A72A6" w:rsidP="007A72A6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súlade s § 12 ods. 5 zákona č. 553/2002 Z. z. o sprístupnení dokumentov o činnosti bezpečnostných zložiek štátu 1939 – 1989 a o založení Ústavu pamäti národa a o doplnení niektorých zákonov (zákon o pamäti národa) v znení neskorších predpisov 28. mája 2012 predložil</w:t>
      </w:r>
      <w:r w:rsidR="00A63196">
        <w:rPr>
          <w:rFonts w:ascii="Arial" w:hAnsi="Arial" w:cs="Arial"/>
          <w:sz w:val="22"/>
          <w:szCs w:val="22"/>
        </w:rPr>
        <w:t xml:space="preserve"> predseda Správnej rady Ústavu pamäti národa Ivan A. Petranský výročnú správu Ústavu pamäti národa za rok 2011 Národnej rade Slovenskej republiky. Predseda Národnej rady Slovenskej republiky svojím rozhodnutím z 28. mája 2012 č. 48</w:t>
      </w:r>
      <w:r>
        <w:rPr>
          <w:rFonts w:ascii="Arial" w:hAnsi="Arial" w:cs="Arial"/>
          <w:sz w:val="22"/>
          <w:szCs w:val="22"/>
        </w:rPr>
        <w:t xml:space="preserve"> pridelil </w:t>
      </w:r>
      <w:r w:rsidR="00A63196">
        <w:rPr>
          <w:rFonts w:ascii="Arial" w:hAnsi="Arial" w:cs="Arial"/>
          <w:sz w:val="22"/>
          <w:szCs w:val="22"/>
        </w:rPr>
        <w:t xml:space="preserve">výročnú </w:t>
      </w:r>
      <w:r>
        <w:rPr>
          <w:rFonts w:ascii="Arial" w:hAnsi="Arial" w:cs="Arial"/>
          <w:sz w:val="22"/>
          <w:szCs w:val="22"/>
        </w:rPr>
        <w:t>správu</w:t>
      </w:r>
      <w:r w:rsidR="00A63196">
        <w:rPr>
          <w:rFonts w:ascii="Arial" w:hAnsi="Arial" w:cs="Arial"/>
          <w:sz w:val="22"/>
          <w:szCs w:val="22"/>
        </w:rPr>
        <w:t xml:space="preserve"> Ústavu pamäti národa za rok 2011 (tlač 63) </w:t>
      </w:r>
      <w:r>
        <w:rPr>
          <w:rFonts w:ascii="Arial" w:hAnsi="Arial" w:cs="Arial"/>
          <w:sz w:val="22"/>
          <w:szCs w:val="22"/>
        </w:rPr>
        <w:t>na prerokovanie Výboru Národnej rady Slovenskej republiky pre ľudské práva a národnostné menšiny s tým, že gestorský výbor podá Národnej rade Slovenskej republiky správu o výsledku prerokovania</w:t>
      </w:r>
      <w:r>
        <w:rPr>
          <w:rFonts w:ascii="Arial" w:hAnsi="Arial" w:cs="Arial"/>
          <w:sz w:val="22"/>
        </w:rPr>
        <w:t xml:space="preserve"> uvedeného materiálu vo výbore a návrh na uznesenie Národnej rady Slovenskej republiky.</w:t>
      </w:r>
    </w:p>
    <w:p w:rsidR="007A72A6" w:rsidP="007A72A6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Gestorský výbor v súlade s citovaným rozhodnutím predsedu Národnej rady Slovenskej republiky rokoval o</w:t>
      </w:r>
      <w:r w:rsidR="00A63196">
        <w:rPr>
          <w:rFonts w:ascii="Arial" w:hAnsi="Arial" w:cs="Arial"/>
          <w:sz w:val="22"/>
        </w:rPr>
        <w:t xml:space="preserve"> výročnej </w:t>
      </w:r>
      <w:r>
        <w:rPr>
          <w:rFonts w:ascii="Arial" w:hAnsi="Arial" w:cs="Arial"/>
          <w:sz w:val="22"/>
        </w:rPr>
        <w:t xml:space="preserve">správe </w:t>
      </w:r>
      <w:r w:rsidR="00A63196">
        <w:rPr>
          <w:rFonts w:ascii="Arial" w:hAnsi="Arial" w:cs="Arial"/>
          <w:sz w:val="22"/>
        </w:rPr>
        <w:t xml:space="preserve">Ústavu pamäti národa za rok 2011 </w:t>
      </w:r>
      <w:r>
        <w:rPr>
          <w:rFonts w:ascii="Arial" w:hAnsi="Arial" w:cs="Arial"/>
          <w:sz w:val="22"/>
        </w:rPr>
        <w:t xml:space="preserve">na </w:t>
      </w:r>
      <w:r w:rsidR="00A63196">
        <w:rPr>
          <w:rFonts w:ascii="Arial" w:hAnsi="Arial" w:cs="Arial"/>
          <w:sz w:val="22"/>
        </w:rPr>
        <w:t>svojej 3. schôdzi 12. júna 2012 za prítomnosti predsedu Správnej rady Ústavu pamäti národa Ivana A. Petranského.</w:t>
      </w:r>
      <w:r>
        <w:rPr>
          <w:rFonts w:ascii="Arial" w:hAnsi="Arial" w:cs="Arial"/>
          <w:sz w:val="22"/>
        </w:rPr>
        <w:t xml:space="preserve"> </w:t>
      </w:r>
    </w:p>
    <w:p w:rsidR="007A72A6" w:rsidP="007A72A6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Gestorský výbor prijal </w:t>
      </w:r>
      <w:r w:rsidR="00A63196">
        <w:rPr>
          <w:rFonts w:ascii="Arial" w:hAnsi="Arial" w:cs="Arial"/>
          <w:sz w:val="22"/>
        </w:rPr>
        <w:t>uznesenie č. 10</w:t>
      </w:r>
      <w:r>
        <w:rPr>
          <w:rFonts w:ascii="Arial" w:hAnsi="Arial" w:cs="Arial"/>
          <w:sz w:val="22"/>
        </w:rPr>
        <w:t>, ktorým</w:t>
      </w:r>
    </w:p>
    <w:p w:rsidR="007A72A6" w:rsidP="007A72A6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odporúča</w:t>
      </w:r>
    </w:p>
    <w:p w:rsidR="007A72A6" w:rsidP="007A72A6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Národnej rade Slovenskej republiky</w:t>
      </w:r>
    </w:p>
    <w:p w:rsidR="007A72A6" w:rsidP="007A72A6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b/>
          <w:sz w:val="22"/>
        </w:rPr>
      </w:pPr>
      <w:r w:rsidR="00A63196">
        <w:rPr>
          <w:rFonts w:ascii="Arial" w:hAnsi="Arial" w:cs="Arial"/>
          <w:b/>
          <w:sz w:val="22"/>
        </w:rPr>
        <w:t>schváliť</w:t>
      </w:r>
    </w:p>
    <w:p w:rsidR="007A72A6" w:rsidP="007A72A6">
      <w:pPr>
        <w:widowControl/>
        <w:bidi w:val="0"/>
        <w:spacing w:line="360" w:lineRule="auto"/>
        <w:jc w:val="both"/>
        <w:rPr>
          <w:rFonts w:ascii="Arial" w:hAnsi="Arial" w:cs="Arial"/>
          <w:sz w:val="22"/>
        </w:rPr>
      </w:pPr>
      <w:r w:rsidR="00A63196">
        <w:rPr>
          <w:rFonts w:ascii="Arial" w:hAnsi="Arial" w:cs="Arial"/>
          <w:sz w:val="22"/>
        </w:rPr>
        <w:t>výročnú správu Ústavu pamäti národa za rok 2011</w:t>
      </w:r>
      <w:r>
        <w:rPr>
          <w:rFonts w:ascii="Arial" w:hAnsi="Arial" w:cs="Arial"/>
          <w:sz w:val="22"/>
        </w:rPr>
        <w:t>.</w:t>
      </w:r>
    </w:p>
    <w:p w:rsidR="007A72A6" w:rsidP="007A72A6">
      <w:pPr>
        <w:widowControl/>
        <w:bidi w:val="0"/>
        <w:spacing w:line="360" w:lineRule="auto"/>
        <w:jc w:val="both"/>
        <w:rPr>
          <w:rFonts w:ascii="Arial" w:hAnsi="Arial" w:cs="Arial"/>
          <w:sz w:val="22"/>
        </w:rPr>
      </w:pPr>
    </w:p>
    <w:p w:rsidR="007A72A6" w:rsidP="007A72A6">
      <w:pPr>
        <w:widowControl/>
        <w:bidi w:val="0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Bratislava 19. júna 2012</w:t>
      </w:r>
    </w:p>
    <w:p w:rsidR="007A72A6" w:rsidP="007A72A6">
      <w:pPr>
        <w:widowControl/>
        <w:bidi w:val="0"/>
        <w:spacing w:line="360" w:lineRule="auto"/>
        <w:jc w:val="center"/>
        <w:rPr>
          <w:rFonts w:ascii="Arial" w:hAnsi="Arial" w:cs="Arial"/>
          <w:sz w:val="22"/>
        </w:rPr>
      </w:pPr>
    </w:p>
    <w:p w:rsidR="007A72A6" w:rsidP="007A72A6">
      <w:pPr>
        <w:widowControl/>
        <w:bidi w:val="0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Rudolf Chmel v. r.</w:t>
      </w:r>
    </w:p>
    <w:p w:rsidR="007A72A6" w:rsidP="007A72A6">
      <w:pPr>
        <w:widowControl/>
        <w:bidi w:val="0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predseda Výboru Národnej rady Slovenskej republiky pre ľudské práva a národnostné menšiny</w:t>
      </w:r>
    </w:p>
    <w:p w:rsidR="007A72A6" w:rsidP="007A72A6">
      <w:pPr>
        <w:widowControl/>
        <w:bidi w:val="0"/>
        <w:jc w:val="center"/>
        <w:rPr>
          <w:rFonts w:ascii="Arial" w:hAnsi="Arial" w:cs="Arial"/>
          <w:b/>
          <w:caps/>
          <w:spacing w:val="40"/>
          <w:sz w:val="28"/>
          <w:szCs w:val="28"/>
          <w:u w:val="single"/>
        </w:rPr>
      </w:pPr>
      <w:r>
        <w:rPr>
          <w:rFonts w:ascii="Arial" w:hAnsi="Arial" w:cs="Arial"/>
          <w:b/>
          <w:caps/>
          <w:spacing w:val="40"/>
          <w:sz w:val="28"/>
          <w:szCs w:val="28"/>
          <w:u w:val="single"/>
        </w:rPr>
        <w:t>národná rada slovenskej republiky</w:t>
      </w:r>
    </w:p>
    <w:p w:rsidR="007A72A6" w:rsidP="007A72A6">
      <w:pPr>
        <w:widowControl/>
        <w:bidi w:val="0"/>
        <w:rPr>
          <w:rFonts w:ascii="Arial" w:hAnsi="Arial" w:cs="Arial"/>
          <w:b/>
          <w:caps/>
          <w:spacing w:val="40"/>
          <w:u w:val="single"/>
        </w:rPr>
      </w:pPr>
    </w:p>
    <w:p w:rsidR="007A72A6" w:rsidP="007A72A6">
      <w:pPr>
        <w:widowControl/>
        <w:bidi w:val="0"/>
        <w:jc w:val="center"/>
        <w:rPr>
          <w:rFonts w:ascii="Arial" w:hAnsi="Arial" w:cs="Arial"/>
          <w:spacing w:val="40"/>
        </w:rPr>
      </w:pPr>
      <w:r>
        <w:rPr>
          <w:rFonts w:ascii="Arial" w:hAnsi="Arial" w:cs="Arial"/>
          <w:caps/>
          <w:spacing w:val="40"/>
        </w:rPr>
        <w:t xml:space="preserve">VI. </w:t>
      </w:r>
      <w:r>
        <w:rPr>
          <w:rFonts w:ascii="Arial" w:hAnsi="Arial" w:cs="Arial"/>
          <w:spacing w:val="40"/>
        </w:rPr>
        <w:t>volebné obdobie</w:t>
      </w:r>
    </w:p>
    <w:p w:rsidR="007A72A6" w:rsidP="007A72A6">
      <w:pPr>
        <w:widowControl/>
        <w:bidi w:val="0"/>
        <w:rPr>
          <w:rFonts w:ascii="Arial" w:hAnsi="Arial" w:cs="Arial"/>
          <w:spacing w:val="40"/>
        </w:rPr>
      </w:pPr>
    </w:p>
    <w:p w:rsidR="007A72A6" w:rsidP="007A72A6">
      <w:pPr>
        <w:widowControl/>
        <w:bidi w:val="0"/>
        <w:rPr>
          <w:rFonts w:ascii="Arial" w:hAnsi="Arial" w:cs="Arial"/>
          <w:spacing w:val="40"/>
        </w:rPr>
      </w:pPr>
    </w:p>
    <w:p w:rsidR="007A72A6" w:rsidP="007A72A6">
      <w:pPr>
        <w:widowControl/>
        <w:bidi w:val="0"/>
        <w:rPr>
          <w:rFonts w:ascii="Arial" w:hAnsi="Arial" w:cs="Arial"/>
          <w:spacing w:val="40"/>
        </w:rPr>
      </w:pPr>
    </w:p>
    <w:p w:rsidR="007A72A6" w:rsidP="007A72A6">
      <w:pPr>
        <w:widowControl/>
        <w:bidi w:val="0"/>
        <w:spacing w:line="360" w:lineRule="auto"/>
        <w:rPr>
          <w:rFonts w:ascii="Arial" w:hAnsi="Arial" w:cs="Arial"/>
          <w:sz w:val="22"/>
          <w:szCs w:val="22"/>
        </w:rPr>
      </w:pPr>
      <w:r w:rsidR="00A63196">
        <w:rPr>
          <w:rFonts w:ascii="Arial" w:hAnsi="Arial" w:cs="Arial"/>
          <w:sz w:val="22"/>
          <w:szCs w:val="22"/>
        </w:rPr>
        <w:t>Číslo: CRD-1065</w:t>
      </w:r>
      <w:r>
        <w:rPr>
          <w:rFonts w:ascii="Arial" w:hAnsi="Arial" w:cs="Arial"/>
          <w:sz w:val="22"/>
          <w:szCs w:val="22"/>
        </w:rPr>
        <w:t>/2012</w:t>
      </w:r>
    </w:p>
    <w:p w:rsidR="007A72A6" w:rsidP="007A72A6">
      <w:pPr>
        <w:bidi w:val="0"/>
        <w:spacing w:line="360" w:lineRule="auto"/>
        <w:ind w:firstLine="708"/>
        <w:jc w:val="both"/>
        <w:rPr>
          <w:rFonts w:ascii="Arial" w:hAnsi="Arial" w:cs="Arial"/>
        </w:rPr>
      </w:pPr>
    </w:p>
    <w:p w:rsidR="007A72A6" w:rsidP="007A72A6">
      <w:pPr>
        <w:bidi w:val="0"/>
        <w:spacing w:line="360" w:lineRule="auto"/>
        <w:ind w:firstLine="708"/>
        <w:jc w:val="center"/>
        <w:rPr>
          <w:rFonts w:ascii="Arial" w:hAnsi="Arial" w:cs="Arial"/>
          <w:b/>
          <w:caps/>
          <w:spacing w:val="20"/>
        </w:rPr>
      </w:pPr>
      <w:r>
        <w:rPr>
          <w:rFonts w:ascii="Arial" w:hAnsi="Arial" w:cs="Arial"/>
          <w:b/>
          <w:caps/>
          <w:spacing w:val="20"/>
        </w:rPr>
        <w:t>návrh</w:t>
      </w:r>
    </w:p>
    <w:p w:rsidR="007A72A6" w:rsidP="007A72A6">
      <w:pPr>
        <w:bidi w:val="0"/>
        <w:spacing w:line="360" w:lineRule="auto"/>
        <w:ind w:firstLine="708"/>
        <w:jc w:val="center"/>
        <w:rPr>
          <w:rFonts w:ascii="Arial" w:hAnsi="Arial" w:cs="Arial"/>
          <w:b/>
          <w:caps/>
          <w:spacing w:val="20"/>
        </w:rPr>
      </w:pPr>
    </w:p>
    <w:p w:rsidR="007A72A6" w:rsidP="007A72A6">
      <w:pPr>
        <w:bidi w:val="0"/>
        <w:spacing w:line="360" w:lineRule="auto"/>
        <w:ind w:firstLine="708"/>
        <w:jc w:val="center"/>
        <w:rPr>
          <w:rFonts w:ascii="Arial" w:hAnsi="Arial" w:cs="Arial"/>
          <w:b/>
          <w:caps/>
          <w:spacing w:val="20"/>
        </w:rPr>
      </w:pPr>
      <w:r>
        <w:rPr>
          <w:rFonts w:ascii="Arial" w:hAnsi="Arial" w:cs="Arial"/>
          <w:b/>
          <w:caps/>
          <w:spacing w:val="20"/>
        </w:rPr>
        <w:t xml:space="preserve">uznesenie </w:t>
      </w:r>
    </w:p>
    <w:p w:rsidR="007A72A6" w:rsidP="007A72A6">
      <w:pPr>
        <w:bidi w:val="0"/>
        <w:spacing w:line="360" w:lineRule="auto"/>
        <w:ind w:firstLine="708"/>
        <w:jc w:val="center"/>
        <w:rPr>
          <w:rFonts w:ascii="Arial" w:hAnsi="Arial" w:cs="Arial"/>
          <w:b/>
          <w:caps/>
          <w:spacing w:val="20"/>
        </w:rPr>
      </w:pPr>
      <w:r>
        <w:rPr>
          <w:rFonts w:ascii="Arial" w:hAnsi="Arial" w:cs="Arial"/>
          <w:b/>
          <w:caps/>
          <w:spacing w:val="20"/>
        </w:rPr>
        <w:t>národnej rady slovenskej republiky</w:t>
      </w:r>
    </w:p>
    <w:p w:rsidR="007A72A6" w:rsidP="007A72A6">
      <w:pPr>
        <w:bidi w:val="0"/>
        <w:spacing w:line="360" w:lineRule="auto"/>
        <w:ind w:firstLine="708"/>
        <w:jc w:val="center"/>
        <w:rPr>
          <w:rFonts w:ascii="Arial" w:hAnsi="Arial" w:cs="Arial"/>
          <w:caps/>
          <w:spacing w:val="20"/>
        </w:rPr>
      </w:pPr>
    </w:p>
    <w:p w:rsidR="007A72A6" w:rsidP="007A72A6">
      <w:pPr>
        <w:bidi w:val="0"/>
        <w:spacing w:line="360" w:lineRule="auto"/>
        <w:ind w:firstLine="708"/>
        <w:jc w:val="center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z........ júna 2012</w:t>
      </w:r>
    </w:p>
    <w:p w:rsidR="007A72A6" w:rsidP="007A72A6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7A72A6" w:rsidP="007A72A6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7A72A6" w:rsidP="007A72A6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k</w:t>
      </w:r>
      <w:r w:rsidR="00A63196">
        <w:rPr>
          <w:rFonts w:ascii="Arial" w:hAnsi="Arial" w:cs="Arial"/>
          <w:spacing w:val="20"/>
        </w:rPr>
        <w:t xml:space="preserve"> výročnej </w:t>
      </w:r>
      <w:r>
        <w:rPr>
          <w:rFonts w:ascii="Arial" w:hAnsi="Arial" w:cs="Arial"/>
          <w:spacing w:val="20"/>
        </w:rPr>
        <w:t xml:space="preserve">správe </w:t>
      </w:r>
      <w:r w:rsidR="00A63196">
        <w:rPr>
          <w:rFonts w:ascii="Arial" w:hAnsi="Arial" w:cs="Arial"/>
          <w:spacing w:val="20"/>
        </w:rPr>
        <w:t>Ústavu pamäti národa za rok 2011 (tlač 63</w:t>
      </w:r>
      <w:r>
        <w:rPr>
          <w:rFonts w:ascii="Arial" w:hAnsi="Arial" w:cs="Arial"/>
          <w:spacing w:val="20"/>
        </w:rPr>
        <w:t>)</w:t>
      </w:r>
    </w:p>
    <w:p w:rsidR="007A72A6" w:rsidP="007A72A6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7A72A6" w:rsidP="007A72A6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7A72A6" w:rsidP="007A72A6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Národná rada Slovenskej republiky</w:t>
      </w:r>
    </w:p>
    <w:p w:rsidR="007A72A6" w:rsidP="007A72A6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7A72A6" w:rsidP="007A72A6">
      <w:pPr>
        <w:bidi w:val="0"/>
        <w:spacing w:line="360" w:lineRule="auto"/>
        <w:ind w:firstLine="708"/>
        <w:rPr>
          <w:rFonts w:ascii="Arial" w:hAnsi="Arial" w:cs="Arial"/>
          <w:b/>
          <w:spacing w:val="20"/>
        </w:rPr>
      </w:pPr>
      <w:r w:rsidR="00A63196">
        <w:rPr>
          <w:rFonts w:ascii="Arial" w:hAnsi="Arial" w:cs="Arial"/>
          <w:b/>
          <w:spacing w:val="20"/>
        </w:rPr>
        <w:t>schvaľuje</w:t>
      </w:r>
    </w:p>
    <w:p w:rsidR="007A72A6" w:rsidP="007A72A6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7A72A6" w:rsidP="007A72A6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  <w:r w:rsidR="001E7CDC">
        <w:rPr>
          <w:rFonts w:ascii="Arial" w:hAnsi="Arial" w:cs="Arial"/>
          <w:spacing w:val="20"/>
        </w:rPr>
        <w:t xml:space="preserve">výročnú </w:t>
      </w:r>
      <w:r>
        <w:rPr>
          <w:rFonts w:ascii="Arial" w:hAnsi="Arial" w:cs="Arial"/>
          <w:spacing w:val="20"/>
        </w:rPr>
        <w:t xml:space="preserve">správu </w:t>
      </w:r>
      <w:r w:rsidR="001E7CDC">
        <w:rPr>
          <w:rFonts w:ascii="Arial" w:hAnsi="Arial" w:cs="Arial"/>
          <w:spacing w:val="20"/>
        </w:rPr>
        <w:t>Ústavu pamäti národa za rok 2011</w:t>
      </w:r>
      <w:r>
        <w:rPr>
          <w:rFonts w:ascii="Arial" w:hAnsi="Arial" w:cs="Arial"/>
          <w:spacing w:val="20"/>
        </w:rPr>
        <w:t>.</w:t>
      </w: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A7E5B"/>
    <w:rsid w:val="001E7CDC"/>
    <w:rsid w:val="003A7E5B"/>
    <w:rsid w:val="007A72A6"/>
    <w:rsid w:val="008912A6"/>
    <w:rsid w:val="00A63196"/>
    <w:rsid w:val="00A7609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A6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292</Words>
  <Characters>1671</Characters>
  <Application>Microsoft Office Word</Application>
  <DocSecurity>0</DocSecurity>
  <Lines>0</Lines>
  <Paragraphs>0</Paragraphs>
  <ScaleCrop>false</ScaleCrop>
  <Company>Kancelaria NR SR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dcterms:created xsi:type="dcterms:W3CDTF">2012-06-19T14:31:00Z</dcterms:created>
  <dcterms:modified xsi:type="dcterms:W3CDTF">2012-06-19T14:31:00Z</dcterms:modified>
</cp:coreProperties>
</file>