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C5F3F">
      <w:pPr>
        <w:pStyle w:val="Heading4"/>
        <w:widowControl w:val="0"/>
        <w:rPr>
          <w:rFonts w:ascii="AT*Zurich Calligraphic" w:hAnsi="AT*Zurich Calligraphic"/>
        </w:rPr>
      </w:pPr>
      <w:r>
        <w:rPr>
          <w:rFonts w:ascii="AT*Zurich Calligraphic" w:hAnsi="AT*Zurich Calligraphic"/>
        </w:rPr>
        <w:t>Výbor Národnej rady Slovenskej republiky</w:t>
      </w:r>
    </w:p>
    <w:p w:rsidR="00EC5F3F">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EC5F3F" w:rsidRPr="003371B9">
      <w:pPr>
        <w:ind w:left="4248"/>
        <w:jc w:val="right"/>
      </w:pPr>
      <w:r>
        <w:rPr>
          <w:sz w:val="28"/>
        </w:rPr>
        <w:t xml:space="preserve">                                        </w:t>
      </w:r>
      <w:r w:rsidR="00AE1F50">
        <w:t>4</w:t>
      </w:r>
      <w:r w:rsidR="00F759C4">
        <w:t>8</w:t>
      </w:r>
      <w:r w:rsidRPr="003371B9" w:rsidR="00985280">
        <w:t>.</w:t>
      </w:r>
      <w:r w:rsidRPr="003371B9">
        <w:t xml:space="preserve"> schôdza</w:t>
      </w:r>
    </w:p>
    <w:p w:rsidR="00E20A99" w:rsidRPr="001F15B9" w:rsidP="00500C97">
      <w:pPr>
        <w:ind w:left="3540" w:firstLine="708"/>
        <w:jc w:val="right"/>
      </w:pPr>
      <w:r w:rsidR="002B6101">
        <w:rPr>
          <w:b/>
        </w:rPr>
        <w:t xml:space="preserve">        </w:t>
      </w:r>
      <w:r w:rsidR="001852E1">
        <w:rPr>
          <w:b/>
        </w:rPr>
        <w:t xml:space="preserve">         </w:t>
      </w:r>
      <w:r w:rsidR="00CF7721">
        <w:rPr>
          <w:b/>
        </w:rPr>
        <w:tab/>
        <w:tab/>
        <w:tab/>
        <w:tab/>
      </w:r>
    </w:p>
    <w:p w:rsidR="0004001B" w:rsidP="00067F0B">
      <w:pPr>
        <w:ind w:left="3540" w:firstLine="708"/>
        <w:rPr>
          <w:b/>
        </w:rPr>
      </w:pPr>
    </w:p>
    <w:p w:rsidR="00143F10" w:rsidP="00067F0B">
      <w:pPr>
        <w:ind w:left="3540" w:firstLine="708"/>
        <w:rPr>
          <w:b/>
        </w:rPr>
      </w:pPr>
      <w:r w:rsidR="001D6BE4">
        <w:rPr>
          <w:b/>
        </w:rPr>
        <w:t xml:space="preserve">          </w:t>
      </w:r>
    </w:p>
    <w:p w:rsidR="000D3DC1" w:rsidP="00067F0B">
      <w:pPr>
        <w:ind w:left="3540" w:firstLine="708"/>
        <w:rPr>
          <w:b/>
        </w:rPr>
      </w:pPr>
      <w:r>
        <w:rPr>
          <w:b/>
        </w:rPr>
        <w:t xml:space="preserve">    </w:t>
      </w:r>
    </w:p>
    <w:p w:rsidR="00F759C4" w:rsidP="00067F0B">
      <w:pPr>
        <w:ind w:left="3540" w:firstLine="708"/>
        <w:rPr>
          <w:b/>
        </w:rPr>
      </w:pPr>
    </w:p>
    <w:p w:rsidR="003F6F2E" w:rsidP="00067F0B">
      <w:pPr>
        <w:ind w:left="3540" w:firstLine="708"/>
        <w:rPr>
          <w:b/>
        </w:rPr>
      </w:pPr>
      <w:r w:rsidR="000D3DC1">
        <w:rPr>
          <w:b/>
        </w:rPr>
        <w:t xml:space="preserve">     </w:t>
      </w:r>
      <w:r w:rsidR="006C13E8">
        <w:rPr>
          <w:b/>
        </w:rPr>
        <w:t xml:space="preserve">    330</w:t>
      </w:r>
    </w:p>
    <w:p w:rsidR="00EC5F3F" w:rsidP="00067F0B">
      <w:pPr>
        <w:ind w:left="3540" w:firstLine="708"/>
        <w:rPr>
          <w:b/>
        </w:rPr>
      </w:pPr>
      <w:r>
        <w:rPr>
          <w:b/>
        </w:rPr>
        <w:t xml:space="preserve">U z n e s e n i </w:t>
      </w:r>
      <w:r w:rsidR="00CD56F7">
        <w:rPr>
          <w:b/>
        </w:rPr>
        <w:t>e</w:t>
      </w:r>
    </w:p>
    <w:p w:rsidR="00EC5F3F">
      <w:pPr>
        <w:ind w:right="-567"/>
        <w:jc w:val="center"/>
        <w:rPr>
          <w:b/>
        </w:rPr>
      </w:pPr>
      <w:r>
        <w:rPr>
          <w:b/>
        </w:rPr>
        <w:t>Výboru Národnej rady Slovenskej republiky</w:t>
      </w:r>
    </w:p>
    <w:p w:rsidR="00EC5F3F">
      <w:pPr>
        <w:ind w:right="-567"/>
        <w:jc w:val="center"/>
        <w:rPr>
          <w:b/>
        </w:rPr>
      </w:pPr>
      <w:r>
        <w:rPr>
          <w:b/>
        </w:rPr>
        <w:t>pre financi</w:t>
      </w:r>
      <w:r>
        <w:rPr>
          <w:b/>
        </w:rPr>
        <w:t>e</w:t>
      </w:r>
      <w:r w:rsidR="003371B9">
        <w:rPr>
          <w:b/>
        </w:rPr>
        <w:t xml:space="preserve"> a</w:t>
      </w:r>
      <w:r>
        <w:rPr>
          <w:b/>
        </w:rPr>
        <w:t xml:space="preserve"> rozpočet </w:t>
      </w:r>
    </w:p>
    <w:p w:rsidR="00EC5F3F">
      <w:pPr>
        <w:ind w:right="-567"/>
        <w:jc w:val="center"/>
        <w:rPr>
          <w:b/>
        </w:rPr>
      </w:pPr>
    </w:p>
    <w:p w:rsidR="008458BA" w:rsidP="008458BA">
      <w:pPr>
        <w:ind w:right="-567"/>
        <w:jc w:val="center"/>
        <w:rPr>
          <w:b/>
        </w:rPr>
      </w:pPr>
      <w:r w:rsidR="00BD37D8">
        <w:rPr>
          <w:b/>
        </w:rPr>
        <w:t>z</w:t>
      </w:r>
      <w:r w:rsidR="00F759C4">
        <w:rPr>
          <w:b/>
        </w:rPr>
        <w:t xml:space="preserve"> 27</w:t>
      </w:r>
      <w:r w:rsidR="00830899">
        <w:rPr>
          <w:b/>
        </w:rPr>
        <w:t xml:space="preserve">. </w:t>
      </w:r>
      <w:r w:rsidR="00AE1F50">
        <w:rPr>
          <w:b/>
        </w:rPr>
        <w:t>februára</w:t>
      </w:r>
      <w:r w:rsidR="00830899">
        <w:rPr>
          <w:b/>
        </w:rPr>
        <w:t xml:space="preserve"> 201</w:t>
      </w:r>
      <w:r w:rsidR="00AE1F50">
        <w:rPr>
          <w:b/>
        </w:rPr>
        <w:t>2</w:t>
      </w:r>
    </w:p>
    <w:p w:rsidR="00AC22E2" w:rsidP="00AC22E2">
      <w:pPr>
        <w:pStyle w:val="Heading1"/>
        <w:ind w:left="0"/>
        <w:jc w:val="both"/>
        <w:rPr>
          <w:rFonts w:eastAsia="Times New Roman"/>
        </w:rPr>
      </w:pPr>
    </w:p>
    <w:p w:rsidR="00EC5F3F" w:rsidRPr="001F15B9" w:rsidP="00F759C4">
      <w:pPr>
        <w:pStyle w:val="BodyText"/>
        <w:spacing w:after="0"/>
        <w:jc w:val="both"/>
        <w:rPr>
          <w:b/>
        </w:rPr>
      </w:pPr>
      <w:r w:rsidRPr="001F15B9">
        <w:t>Výbor Národnej rady Sl</w:t>
      </w:r>
      <w:r w:rsidRPr="001F15B9" w:rsidR="003371B9">
        <w:t>ovenskej republiky pre financie a</w:t>
      </w:r>
      <w:r w:rsidRPr="001F15B9">
        <w:t xml:space="preserve"> rozpočet </w:t>
      </w:r>
      <w:r w:rsidR="00045612">
        <w:t>pre</w:t>
      </w:r>
      <w:r w:rsidR="00B87937">
        <w:t xml:space="preserve">rokoval </w:t>
      </w:r>
      <w:r w:rsidR="006C13E8">
        <w:t>informáciu o a</w:t>
      </w:r>
      <w:r w:rsidRPr="00F759C4" w:rsidR="00F759C4">
        <w:t>ktuáln</w:t>
      </w:r>
      <w:r w:rsidR="006C13E8">
        <w:t>ej</w:t>
      </w:r>
      <w:r w:rsidR="00F759C4">
        <w:t xml:space="preserve"> situáci</w:t>
      </w:r>
      <w:r w:rsidR="006C13E8">
        <w:t>i</w:t>
      </w:r>
      <w:r w:rsidRPr="00F759C4" w:rsidR="00F759C4">
        <w:t xml:space="preserve"> vo Finančnej správe SR</w:t>
      </w:r>
      <w:r w:rsidR="00484867">
        <w:t xml:space="preserve"> </w:t>
      </w:r>
      <w:r w:rsidRPr="001F15B9" w:rsidR="00450C55">
        <w:rPr>
          <w:b/>
        </w:rPr>
        <w:t>a</w:t>
      </w:r>
      <w:r w:rsidRPr="001F15B9" w:rsidR="00ED3C5E">
        <w:rPr>
          <w:b/>
        </w:rPr>
        <w:t xml:space="preserve"> </w:t>
      </w:r>
      <w:r w:rsidRPr="001F15B9" w:rsidR="008458BA">
        <w:rPr>
          <w:b/>
        </w:rPr>
        <w:t xml:space="preserve"> </w:t>
      </w:r>
    </w:p>
    <w:p w:rsidR="00BD7172" w:rsidRPr="00990B21" w:rsidP="00BD7172"/>
    <w:p w:rsidR="001F15B9" w:rsidP="001F15B9"/>
    <w:p w:rsidR="00AE1F50" w:rsidP="00403E9B">
      <w:pPr>
        <w:pStyle w:val="Heading7"/>
        <w:widowControl/>
        <w:numPr>
          <w:ilvl w:val="0"/>
          <w:numId w:val="26"/>
        </w:numPr>
        <w:rPr>
          <w:lang w:val="sk-SK"/>
        </w:rPr>
      </w:pPr>
      <w:r>
        <w:rPr>
          <w:lang w:val="sk-SK"/>
        </w:rPr>
        <w:t>berie na vedomie</w:t>
      </w:r>
    </w:p>
    <w:p w:rsidR="00AE1F50" w:rsidP="00AE1F50">
      <w:pPr>
        <w:pStyle w:val="Heading7"/>
        <w:widowControl/>
        <w:ind w:left="1440"/>
        <w:rPr>
          <w:lang w:val="sk-SK"/>
        </w:rPr>
      </w:pPr>
    </w:p>
    <w:p w:rsidR="00AE1F50" w:rsidP="00F759C4">
      <w:pPr>
        <w:ind w:left="1416" w:firstLine="708"/>
      </w:pPr>
      <w:r w:rsidR="006C13E8">
        <w:t xml:space="preserve">informáciu o </w:t>
      </w:r>
      <w:r w:rsidR="00F759C4">
        <w:t>a</w:t>
      </w:r>
      <w:r w:rsidRPr="00F759C4" w:rsidR="00F759C4">
        <w:t>ktuáln</w:t>
      </w:r>
      <w:r w:rsidR="006C13E8">
        <w:t>ej</w:t>
      </w:r>
      <w:r w:rsidR="00F759C4">
        <w:t xml:space="preserve"> situáci</w:t>
      </w:r>
      <w:r w:rsidR="006C13E8">
        <w:t>i</w:t>
      </w:r>
      <w:r w:rsidRPr="00F759C4" w:rsidR="00F759C4">
        <w:t xml:space="preserve"> vo Finančnej správe SR</w:t>
      </w:r>
    </w:p>
    <w:p w:rsidR="006C13E8" w:rsidP="006C13E8"/>
    <w:p w:rsidR="006C13E8" w:rsidP="006C13E8"/>
    <w:p w:rsidR="006C13E8" w:rsidP="006C13E8">
      <w:pPr>
        <w:numPr>
          <w:ilvl w:val="0"/>
          <w:numId w:val="26"/>
        </w:numPr>
        <w:rPr>
          <w:b/>
        </w:rPr>
      </w:pPr>
      <w:r w:rsidRPr="006C13E8">
        <w:rPr>
          <w:b/>
        </w:rPr>
        <w:t>schvaľuj</w:t>
      </w:r>
      <w:r w:rsidRPr="006C13E8">
        <w:rPr>
          <w:b/>
        </w:rPr>
        <w:t>e</w:t>
      </w:r>
    </w:p>
    <w:p w:rsidR="006C13E8" w:rsidP="006C13E8">
      <w:pPr>
        <w:ind w:left="1440"/>
      </w:pPr>
    </w:p>
    <w:p w:rsidR="006C13E8" w:rsidP="006C13E8">
      <w:pPr>
        <w:ind w:left="1440" w:firstLine="684"/>
      </w:pPr>
      <w:r>
        <w:t>uskutočnenie poslaneckého prieskumu dňa 28. 2. 2012 o 9,00 hod. so začiatkom na Daňovom úrade Bratislava, Radlinského 37</w:t>
      </w:r>
    </w:p>
    <w:p w:rsidR="006C13E8" w:rsidP="006C13E8">
      <w:pPr>
        <w:ind w:left="1440"/>
      </w:pPr>
    </w:p>
    <w:p w:rsidR="006C13E8" w:rsidRPr="006C13E8" w:rsidP="006C13E8">
      <w:pPr>
        <w:ind w:left="1440"/>
      </w:pPr>
    </w:p>
    <w:p w:rsidR="006C13E8" w:rsidP="006C13E8">
      <w:pPr>
        <w:numPr>
          <w:ilvl w:val="0"/>
          <w:numId w:val="26"/>
        </w:numPr>
        <w:rPr>
          <w:b/>
        </w:rPr>
      </w:pPr>
      <w:r w:rsidRPr="006C13E8">
        <w:rPr>
          <w:b/>
        </w:rPr>
        <w:t xml:space="preserve">žiada ministra financií SR </w:t>
      </w:r>
      <w:r>
        <w:rPr>
          <w:b/>
        </w:rPr>
        <w:t>a prezidentku Finančnej správy SR</w:t>
      </w:r>
      <w:r w:rsidR="00CD56F7">
        <w:rPr>
          <w:b/>
        </w:rPr>
        <w:t xml:space="preserve"> o :</w:t>
      </w:r>
    </w:p>
    <w:p w:rsidR="006C13E8" w:rsidP="006C13E8">
      <w:pPr>
        <w:ind w:left="1440"/>
        <w:rPr>
          <w:b/>
        </w:rPr>
      </w:pPr>
    </w:p>
    <w:p w:rsidR="006C13E8" w:rsidP="006C13E8">
      <w:pPr>
        <w:numPr>
          <w:ilvl w:val="0"/>
          <w:numId w:val="29"/>
        </w:numPr>
      </w:pPr>
      <w:r>
        <w:t xml:space="preserve">predloženie akčného plánu (ktorý bude obsahovať míľniky a udalosti) riešenia vzniknutej situácie, vrátane termínu plnej funkčnosti informačného systému FS SR so všetkými modulmi </w:t>
      </w:r>
    </w:p>
    <w:p w:rsidR="006C13E8" w:rsidRPr="006C13E8" w:rsidP="006C13E8">
      <w:pPr>
        <w:numPr>
          <w:ilvl w:val="0"/>
          <w:numId w:val="29"/>
        </w:numPr>
      </w:pPr>
      <w:r>
        <w:t xml:space="preserve">predloženie písomných odpovedí na otázky, ktoré sú prílohou tohto uznesenia </w:t>
      </w:r>
    </w:p>
    <w:p w:rsidR="006C13E8" w:rsidRPr="00AE1F50" w:rsidP="006C13E8">
      <w:pPr>
        <w:ind w:left="1440"/>
      </w:pPr>
    </w:p>
    <w:p w:rsidR="00965D13" w:rsidRPr="00AE1F50" w:rsidP="00E42216">
      <w:pPr>
        <w:pStyle w:val="Heading7"/>
        <w:widowControl/>
        <w:ind w:left="1440"/>
        <w:rPr>
          <w:bCs/>
        </w:rPr>
      </w:pPr>
      <w:r w:rsidR="00AE1F50">
        <w:rPr>
          <w:lang w:val="sk-SK"/>
        </w:rPr>
        <w:t xml:space="preserve"> </w:t>
      </w:r>
      <w:r w:rsidRPr="00AE1F50" w:rsidR="001F15B9">
        <w:tab/>
        <w:t xml:space="preserve">  </w:t>
      </w:r>
    </w:p>
    <w:p w:rsidR="001F15B9" w:rsidP="00403E9B">
      <w:pPr>
        <w:pStyle w:val="Heading5"/>
        <w:numPr>
          <w:ilvl w:val="0"/>
          <w:numId w:val="26"/>
        </w:numPr>
      </w:pPr>
      <w:r>
        <w:t>ukladá</w:t>
      </w:r>
    </w:p>
    <w:p w:rsidR="001F15B9" w:rsidP="001F15B9">
      <w:pPr>
        <w:pStyle w:val="Heading5"/>
        <w:ind w:left="1080"/>
      </w:pPr>
      <w:r>
        <w:t xml:space="preserve">      predsedovi výboru</w:t>
      </w:r>
    </w:p>
    <w:p w:rsidR="001F15B9" w:rsidP="001F15B9">
      <w:pPr>
        <w:ind w:left="1776"/>
        <w:rPr>
          <w:b/>
        </w:rPr>
      </w:pPr>
    </w:p>
    <w:p w:rsidR="001F15B9" w:rsidP="001F15B9">
      <w:pPr>
        <w:ind w:left="1416" w:firstLine="710"/>
        <w:jc w:val="both"/>
      </w:pPr>
      <w:r>
        <w:t>informovať predsedu Národn</w:t>
      </w:r>
      <w:r>
        <w:t>ej rady Slovenskej republiky o výsledku prerokovania uvedenej problematiky vo výbore</w:t>
      </w:r>
    </w:p>
    <w:p w:rsidR="001F15B9" w:rsidP="001F15B9">
      <w:pPr>
        <w:ind w:left="2850"/>
        <w:jc w:val="both"/>
      </w:pPr>
    </w:p>
    <w:p w:rsidR="001F15B9" w:rsidP="001F15B9">
      <w:r>
        <w:t xml:space="preserve">                                                             </w:t>
      </w:r>
    </w:p>
    <w:p w:rsidR="00BF2B91" w:rsidP="00A73ECD">
      <w:r w:rsidR="00E20A99">
        <w:t xml:space="preserve">                                                             </w:t>
      </w:r>
    </w:p>
    <w:p w:rsidR="00F759C4" w:rsidP="00A73ECD"/>
    <w:p w:rsidR="00BF2B91" w:rsidP="00A73ECD">
      <w:pPr>
        <w:rPr>
          <w:b/>
          <w:bCs w:val="0"/>
        </w:rPr>
      </w:pPr>
    </w:p>
    <w:p w:rsidR="00450C55">
      <w:pPr>
        <w:ind w:left="5664" w:firstLine="708"/>
        <w:rPr>
          <w:b/>
          <w:bCs w:val="0"/>
        </w:rPr>
      </w:pPr>
    </w:p>
    <w:p w:rsidR="00EC5F3F" w:rsidRPr="003371B9">
      <w:pPr>
        <w:ind w:left="5664" w:firstLine="708"/>
        <w:rPr>
          <w:b/>
        </w:rPr>
      </w:pPr>
      <w:r w:rsidR="00E20A99">
        <w:rPr>
          <w:b/>
          <w:bCs w:val="0"/>
        </w:rPr>
        <w:t xml:space="preserve">              </w:t>
      </w:r>
      <w:r>
        <w:rPr>
          <w:b/>
          <w:bCs w:val="0"/>
        </w:rPr>
        <w:t xml:space="preserve"> </w:t>
      </w:r>
      <w:r w:rsidRPr="003371B9" w:rsidR="00040044">
        <w:rPr>
          <w:b/>
          <w:bCs w:val="0"/>
        </w:rPr>
        <w:t xml:space="preserve">Jozef </w:t>
      </w:r>
      <w:r w:rsidRPr="003371B9" w:rsidR="00E20A99">
        <w:rPr>
          <w:b/>
          <w:bCs w:val="0"/>
        </w:rPr>
        <w:t xml:space="preserve"> </w:t>
      </w:r>
      <w:r w:rsidRPr="003371B9" w:rsidR="003371B9">
        <w:rPr>
          <w:b/>
          <w:bCs w:val="0"/>
        </w:rPr>
        <w:t>K</w:t>
      </w:r>
      <w:r w:rsidR="003371B9">
        <w:rPr>
          <w:b/>
          <w:bCs w:val="0"/>
        </w:rPr>
        <w:t> </w:t>
      </w:r>
      <w:r w:rsidRPr="003371B9" w:rsidR="003371B9">
        <w:rPr>
          <w:b/>
          <w:bCs w:val="0"/>
        </w:rPr>
        <w:t>o</w:t>
      </w:r>
      <w:r w:rsidR="003371B9">
        <w:rPr>
          <w:b/>
          <w:bCs w:val="0"/>
        </w:rPr>
        <w:t> </w:t>
      </w:r>
      <w:r w:rsidRPr="003371B9" w:rsidR="003371B9">
        <w:rPr>
          <w:b/>
          <w:bCs w:val="0"/>
        </w:rPr>
        <w:t>l</w:t>
      </w:r>
      <w:r w:rsidR="003371B9">
        <w:rPr>
          <w:b/>
          <w:bCs w:val="0"/>
        </w:rPr>
        <w:t xml:space="preserve"> </w:t>
      </w:r>
      <w:r w:rsidRPr="003371B9" w:rsidR="003371B9">
        <w:rPr>
          <w:b/>
          <w:bCs w:val="0"/>
        </w:rPr>
        <w:t>l</w:t>
      </w:r>
      <w:r w:rsidR="003371B9">
        <w:rPr>
          <w:b/>
          <w:bCs w:val="0"/>
        </w:rPr>
        <w:t xml:space="preserve"> </w:t>
      </w:r>
      <w:r w:rsidRPr="003371B9" w:rsidR="003371B9">
        <w:rPr>
          <w:b/>
          <w:bCs w:val="0"/>
        </w:rPr>
        <w:t>á</w:t>
      </w:r>
      <w:r w:rsidR="003371B9">
        <w:rPr>
          <w:b/>
          <w:bCs w:val="0"/>
        </w:rPr>
        <w:t xml:space="preserve"> </w:t>
      </w:r>
      <w:r w:rsidRPr="003371B9" w:rsidR="003371B9">
        <w:rPr>
          <w:b/>
          <w:bCs w:val="0"/>
        </w:rPr>
        <w:t>r</w:t>
      </w:r>
    </w:p>
    <w:p w:rsidR="00EC5F3F" w:rsidRPr="003371B9">
      <w:pPr>
        <w:ind w:left="5664" w:firstLine="708"/>
        <w:rPr>
          <w:bCs w:val="0"/>
        </w:rPr>
      </w:pPr>
      <w:r w:rsidRPr="003371B9" w:rsidR="00E20A99">
        <w:t xml:space="preserve">             </w:t>
      </w:r>
      <w:r w:rsidRPr="003371B9">
        <w:t xml:space="preserve"> </w:t>
      </w:r>
      <w:r w:rsidRPr="003371B9" w:rsidR="00E20A99">
        <w:t xml:space="preserve">  </w:t>
      </w:r>
      <w:r w:rsidRPr="003371B9">
        <w:t>predseda výboru</w:t>
      </w:r>
    </w:p>
    <w:p w:rsidR="00595842" w:rsidRPr="00BD7172" w:rsidP="00595842">
      <w:pPr>
        <w:jc w:val="both"/>
        <w:rPr>
          <w:b/>
        </w:rPr>
      </w:pPr>
      <w:r w:rsidR="00C37D3C">
        <w:rPr>
          <w:b/>
        </w:rPr>
        <w:t xml:space="preserve">  </w:t>
      </w:r>
      <w:r w:rsidR="00045E54">
        <w:rPr>
          <w:b/>
        </w:rPr>
        <w:t>Zuzana Aštary</w:t>
      </w:r>
      <w:r w:rsidR="003371B9">
        <w:rPr>
          <w:b/>
        </w:rPr>
        <w:t>ová</w:t>
      </w:r>
    </w:p>
    <w:p w:rsidR="00E13FFC" w:rsidP="00E13FFC">
      <w:r w:rsidR="00595842">
        <w:t xml:space="preserve">  </w:t>
      </w:r>
      <w:r w:rsidR="00EC5F3F">
        <w:t>overovateľ</w:t>
      </w:r>
      <w:r w:rsidR="003371B9">
        <w:t>ka</w:t>
      </w:r>
      <w:r>
        <w:t xml:space="preserve"> výbor</w:t>
      </w:r>
    </w:p>
    <w:p w:rsidR="00E13FFC" w:rsidP="00E13FFC"/>
    <w:p w:rsidR="00E13FFC" w:rsidP="00E13FFC"/>
    <w:p w:rsidR="00E13FFC" w:rsidRPr="00E13FFC" w:rsidP="00E13FFC">
      <w:pPr>
        <w:rPr>
          <w:b/>
        </w:rPr>
      </w:pPr>
      <w:r>
        <w:t xml:space="preserve">  </w:t>
      </w:r>
      <w:r w:rsidRPr="00E13FFC">
        <w:rPr>
          <w:rFonts w:ascii="AT*Zurich Calligraphic" w:hAnsi="AT*Zurich Calligraphic"/>
          <w:b/>
        </w:rPr>
        <w:t>Výbor Národnej rady Slovenskej republiky</w:t>
      </w:r>
    </w:p>
    <w:p w:rsidR="00E13FFC" w:rsidP="00E13FFC">
      <w:pPr>
        <w:rPr>
          <w:rFonts w:ascii="AT*Zurich Calligraphic" w:hAnsi="AT*Zurich Calligraphic"/>
          <w:b/>
        </w:rPr>
      </w:pPr>
      <w:r>
        <w:rPr>
          <w:rFonts w:ascii="AT*Zurich Calligraphic" w:hAnsi="AT*Zurich Calligraphic"/>
          <w:b/>
        </w:rPr>
        <w:t xml:space="preserve">              pre financie a rozpočet </w:t>
      </w:r>
    </w:p>
    <w:p w:rsidR="00E13FFC" w:rsidRPr="003371B9" w:rsidP="00E13FFC">
      <w:pPr>
        <w:ind w:left="4248"/>
        <w:jc w:val="right"/>
      </w:pPr>
      <w:r>
        <w:rPr>
          <w:sz w:val="28"/>
        </w:rPr>
        <w:t xml:space="preserve">                                        </w:t>
      </w:r>
      <w:r>
        <w:t>48</w:t>
      </w:r>
      <w:r w:rsidRPr="003371B9">
        <w:t>. schôdza</w:t>
      </w:r>
    </w:p>
    <w:p w:rsidR="00E13FFC" w:rsidRPr="001F15B9" w:rsidP="00E13FFC">
      <w:pPr>
        <w:ind w:left="3540" w:firstLine="708"/>
        <w:jc w:val="right"/>
      </w:pPr>
      <w:r>
        <w:rPr>
          <w:b/>
        </w:rPr>
        <w:t xml:space="preserve">                 </w:t>
        <w:tab/>
        <w:tab/>
        <w:tab/>
        <w:tab/>
      </w:r>
    </w:p>
    <w:p w:rsidR="00E13FFC">
      <w:r>
        <w:t xml:space="preserve">                </w:t>
      </w:r>
    </w:p>
    <w:p w:rsidR="00E13FFC"/>
    <w:p w:rsidR="00E13FFC">
      <w:pPr>
        <w:rPr>
          <w:b/>
        </w:rPr>
      </w:pPr>
      <w:r>
        <w:t xml:space="preserve">                                                             </w:t>
      </w:r>
      <w:r w:rsidRPr="00E13FFC">
        <w:rPr>
          <w:b/>
        </w:rPr>
        <w:t xml:space="preserve">  Otázky k uzneseniu </w:t>
      </w:r>
    </w:p>
    <w:p w:rsidR="00CA5074" w:rsidRPr="00E13FFC">
      <w:pPr>
        <w:rPr>
          <w:b/>
        </w:rPr>
      </w:pPr>
    </w:p>
    <w:p w:rsidR="00E13FFC" w:rsidP="00E13FFC">
      <w:pPr>
        <w:numPr>
          <w:ilvl w:val="0"/>
          <w:numId w:val="30"/>
        </w:numPr>
        <w:jc w:val="both"/>
        <w:rPr>
          <w:bCs w:val="0"/>
          <w:lang w:eastAsia="cs-CZ"/>
        </w:rPr>
      </w:pPr>
      <w:r w:rsidRPr="00E13FFC">
        <w:rPr>
          <w:bCs w:val="0"/>
          <w:lang w:eastAsia="cs-CZ"/>
        </w:rPr>
        <w:t>Na základe akých právnych predpisov sú vedúci pracovníci menovaní do funkcie len na základe ústneho pokynu ?</w:t>
      </w:r>
    </w:p>
    <w:p w:rsidR="00E13FFC" w:rsidP="00E13FFC">
      <w:pPr>
        <w:ind w:left="720"/>
        <w:jc w:val="both"/>
        <w:rPr>
          <w:bCs w:val="0"/>
          <w:lang w:eastAsia="cs-CZ"/>
        </w:rPr>
      </w:pPr>
    </w:p>
    <w:p w:rsidR="00E13FFC" w:rsidP="00E13FFC">
      <w:pPr>
        <w:numPr>
          <w:ilvl w:val="0"/>
          <w:numId w:val="30"/>
        </w:numPr>
        <w:jc w:val="both"/>
        <w:rPr>
          <w:bCs w:val="0"/>
          <w:lang w:eastAsia="cs-CZ"/>
        </w:rPr>
      </w:pPr>
      <w:r w:rsidRPr="00E13FFC">
        <w:rPr>
          <w:bCs w:val="0"/>
          <w:lang w:eastAsia="cs-CZ"/>
        </w:rPr>
        <w:t>Akým spôsobom je zabezpečená komunikácia medzi Banskou Bystricou a Bratislavou, resp. je zabezpečená postačujúco?    Vyskytli  sa prípady, keď  referent z Bratislavy poslal mailom odpoveď na termínovanú žiadosť svojmu nadriadenému do Banskej Bystrice a neobdržal spätnú väzbu, či bola písomnosť odoslaná a v akej podobe. Akým spôsobom chcete riešiť uvedený stav? </w:t>
      </w:r>
    </w:p>
    <w:p w:rsidR="00E13FFC" w:rsidRPr="00E13FFC" w:rsidP="00E13FFC">
      <w:pPr>
        <w:jc w:val="both"/>
        <w:rPr>
          <w:bCs w:val="0"/>
          <w:lang w:eastAsia="cs-CZ"/>
        </w:rPr>
      </w:pPr>
    </w:p>
    <w:p w:rsidR="00E13FFC" w:rsidP="00E13FFC">
      <w:pPr>
        <w:numPr>
          <w:ilvl w:val="0"/>
          <w:numId w:val="30"/>
        </w:numPr>
        <w:jc w:val="both"/>
        <w:rPr>
          <w:bCs w:val="0"/>
          <w:lang w:eastAsia="cs-CZ"/>
        </w:rPr>
      </w:pPr>
      <w:r w:rsidRPr="00E13FFC">
        <w:rPr>
          <w:bCs w:val="0"/>
          <w:lang w:eastAsia="cs-CZ"/>
        </w:rPr>
        <w:t>Z akých dôvodov a na základe akých platných  právnych predpisov sú referenti nútení si sami uhrádzať náklady spojené so zahraničnou služobnou cestou do krajín, v ktorých sa platí eurom, napr. na povi</w:t>
      </w:r>
      <w:r>
        <w:rPr>
          <w:bCs w:val="0"/>
          <w:lang w:eastAsia="cs-CZ"/>
        </w:rPr>
        <w:t>nné zasadanie výboru v Bruseli?</w:t>
      </w:r>
    </w:p>
    <w:p w:rsidR="00E13FFC" w:rsidRPr="00E13FFC" w:rsidP="00E13FFC">
      <w:pPr>
        <w:jc w:val="both"/>
        <w:rPr>
          <w:bCs w:val="0"/>
          <w:lang w:eastAsia="cs-CZ"/>
        </w:rPr>
      </w:pPr>
    </w:p>
    <w:p w:rsidR="00E13FFC" w:rsidP="00E13FFC">
      <w:pPr>
        <w:numPr>
          <w:ilvl w:val="0"/>
          <w:numId w:val="30"/>
        </w:numPr>
        <w:jc w:val="both"/>
        <w:rPr>
          <w:bCs w:val="0"/>
          <w:lang w:eastAsia="cs-CZ"/>
        </w:rPr>
      </w:pPr>
      <w:r w:rsidRPr="00E13FFC">
        <w:rPr>
          <w:bCs w:val="0"/>
          <w:lang w:eastAsia="cs-CZ"/>
        </w:rPr>
        <w:t> Z akého dôvodu nie je zabezpečený bezproblémový a kvalitný obeh písomností (napr. výzvy zo súdu obsahujúce termín)medzi Ševčenkovou ulicou a Mierovou ulicou , nakoľko príslušný referent obdrží potrebný dokument, písomnosť s omeškaním niekoľkých dní, často krát aj po uplynutí určenej lehoty ? Akým spôsobom chcete zabezpečiť bezproblémový obeh písomností?</w:t>
      </w:r>
    </w:p>
    <w:p w:rsidR="00E13FFC" w:rsidRPr="00E13FFC" w:rsidP="00E13FFC">
      <w:pPr>
        <w:jc w:val="both"/>
        <w:rPr>
          <w:bCs w:val="0"/>
          <w:lang w:eastAsia="cs-CZ"/>
        </w:rPr>
      </w:pPr>
    </w:p>
    <w:p w:rsidR="00E13FFC" w:rsidP="00E13FFC">
      <w:pPr>
        <w:numPr>
          <w:ilvl w:val="0"/>
          <w:numId w:val="30"/>
        </w:numPr>
        <w:jc w:val="both"/>
        <w:rPr>
          <w:bCs w:val="0"/>
          <w:lang w:eastAsia="cs-CZ"/>
        </w:rPr>
      </w:pPr>
      <w:r w:rsidRPr="00E13FFC">
        <w:rPr>
          <w:bCs w:val="0"/>
          <w:lang w:eastAsia="cs-CZ"/>
        </w:rPr>
        <w:t xml:space="preserve"> Zle fungujúca spisová služba spôsobuje, že v blízkej budúcnosti  nebude možná žiadna spätná kontrola ani nájdenie došlých ani odoslaných záznamov v počítačovej evidencii spisovej služby. Z akých dôvodu nie je zabezpečená kvalitná spisová služba a kto je za jej činnosť zodpovedný?  </w:t>
      </w:r>
    </w:p>
    <w:p w:rsidR="00E13FFC" w:rsidRPr="00E13FFC" w:rsidP="00E13FFC">
      <w:pPr>
        <w:jc w:val="both"/>
        <w:rPr>
          <w:bCs w:val="0"/>
          <w:lang w:eastAsia="cs-CZ"/>
        </w:rPr>
      </w:pPr>
    </w:p>
    <w:p w:rsidR="00E13FFC" w:rsidP="00E13FFC">
      <w:pPr>
        <w:numPr>
          <w:ilvl w:val="0"/>
          <w:numId w:val="30"/>
        </w:numPr>
        <w:jc w:val="both"/>
        <w:rPr>
          <w:bCs w:val="0"/>
          <w:lang w:eastAsia="cs-CZ"/>
        </w:rPr>
      </w:pPr>
      <w:r w:rsidRPr="00E13FFC">
        <w:rPr>
          <w:bCs w:val="0"/>
          <w:lang w:eastAsia="cs-CZ"/>
        </w:rPr>
        <w:t> Z akého dôvodu sa colníkom, ktorí mali  ku koncu roka 2011 odslúžených viac ako 15 rokov a boli „prinútení“ ísť do štátnej služby (ak chceli zostať naďalej vo finančnej správe), nezohľad</w:t>
      </w:r>
      <w:r>
        <w:rPr>
          <w:bCs w:val="0"/>
          <w:lang w:eastAsia="cs-CZ"/>
        </w:rPr>
        <w:t>ňovali na plate  odslúžené roky</w:t>
      </w:r>
      <w:r w:rsidRPr="00E13FFC">
        <w:rPr>
          <w:bCs w:val="0"/>
          <w:lang w:eastAsia="cs-CZ"/>
        </w:rPr>
        <w:t>?</w:t>
      </w:r>
    </w:p>
    <w:p w:rsidR="00E13FFC" w:rsidRPr="00E13FFC" w:rsidP="00E13FFC">
      <w:pPr>
        <w:jc w:val="both"/>
        <w:rPr>
          <w:bCs w:val="0"/>
          <w:lang w:eastAsia="cs-CZ"/>
        </w:rPr>
      </w:pPr>
    </w:p>
    <w:p w:rsidR="00E13FFC" w:rsidP="00E13FFC">
      <w:pPr>
        <w:numPr>
          <w:ilvl w:val="0"/>
          <w:numId w:val="30"/>
        </w:numPr>
        <w:jc w:val="both"/>
        <w:rPr>
          <w:bCs w:val="0"/>
          <w:lang w:eastAsia="cs-CZ"/>
        </w:rPr>
      </w:pPr>
      <w:r w:rsidRPr="00E13FFC">
        <w:rPr>
          <w:bCs w:val="0"/>
          <w:lang w:eastAsia="cs-CZ"/>
        </w:rPr>
        <w:t xml:space="preserve"> Aký zmysel malo zlúčenie všetkých oddelení, ktoré rozhodujú o opravných prostriedkoch vo veciach všetkých priamych aj nepriamych daní a ciel, do jedného „megaodboru“ (odboru daňového konania a konania pred colnými orgánmi) ? Prečo sa prevzal skostnatený a absolútne nepružný systém dvoch alebo dokonca troch samostatných odborov metodiky (dokonca s niekoľkými oddeleniami ) aj pre colnú oblasť a oblasť spotrebných daní ? </w:t>
      </w:r>
    </w:p>
    <w:p w:rsidR="00E13FFC" w:rsidRPr="00E13FFC" w:rsidP="00E13FFC">
      <w:pPr>
        <w:jc w:val="both"/>
        <w:rPr>
          <w:bCs w:val="0"/>
          <w:lang w:eastAsia="cs-CZ"/>
        </w:rPr>
      </w:pPr>
    </w:p>
    <w:p w:rsidR="00E13FFC" w:rsidP="00E13FFC">
      <w:pPr>
        <w:numPr>
          <w:ilvl w:val="0"/>
          <w:numId w:val="30"/>
        </w:numPr>
        <w:jc w:val="both"/>
        <w:rPr>
          <w:bCs w:val="0"/>
          <w:lang w:eastAsia="cs-CZ"/>
        </w:rPr>
      </w:pPr>
      <w:r w:rsidRPr="00E13FFC">
        <w:rPr>
          <w:bCs w:val="0"/>
          <w:lang w:eastAsia="cs-CZ"/>
        </w:rPr>
        <w:t> Zo strany generálnej riaditeľky sekcie metodiky a konania bola vyvinutá činnosť k tomu, aby oddelenie opravných prostriedkov pre clá a oddelenie opravných prostriedkov pre spotrebné dane boli zaradené na samostatný odbor , aké konkrétne kroky v tejto veci možno očakávať z Vašej stran</w:t>
      </w:r>
      <w:r w:rsidRPr="00E13FFC">
        <w:rPr>
          <w:bCs w:val="0"/>
          <w:lang w:eastAsia="cs-CZ"/>
        </w:rPr>
        <w:t xml:space="preserve">y ? </w:t>
      </w:r>
    </w:p>
    <w:p w:rsidR="00E13FFC" w:rsidRPr="00E13FFC" w:rsidP="00E13FFC">
      <w:pPr>
        <w:jc w:val="both"/>
        <w:rPr>
          <w:bCs w:val="0"/>
          <w:lang w:eastAsia="cs-CZ"/>
        </w:rPr>
      </w:pPr>
    </w:p>
    <w:p w:rsidR="00E13FFC" w:rsidRPr="00E13FFC" w:rsidP="00E13FFC">
      <w:pPr>
        <w:numPr>
          <w:ilvl w:val="0"/>
          <w:numId w:val="30"/>
        </w:numPr>
        <w:jc w:val="both"/>
        <w:rPr>
          <w:bCs w:val="0"/>
          <w:lang w:eastAsia="cs-CZ"/>
        </w:rPr>
      </w:pPr>
      <w:r w:rsidRPr="00E13FFC">
        <w:rPr>
          <w:bCs w:val="0"/>
          <w:lang w:eastAsia="cs-CZ"/>
        </w:rPr>
        <w:t> Vyňatím colnoprávneho a daňovoprávneho oddelenia z colnej sekcie a ich preradením na sekciu metodiky a konania sa výrazne sťažilo fungovanie týchto oddelení, keďže:</w:t>
      </w:r>
    </w:p>
    <w:p w:rsidR="00E13FFC" w:rsidRPr="00E13FFC" w:rsidP="00E13FFC">
      <w:pPr>
        <w:ind w:left="360" w:firstLine="60"/>
        <w:jc w:val="both"/>
        <w:rPr>
          <w:bCs w:val="0"/>
          <w:lang w:eastAsia="cs-CZ"/>
        </w:rPr>
      </w:pPr>
      <w:r w:rsidRPr="00E13FFC">
        <w:rPr>
          <w:bCs w:val="0"/>
          <w:lang w:eastAsia="cs-CZ"/>
        </w:rPr>
        <w:t>-</w:t>
      </w:r>
      <w:r w:rsidRPr="00E13FFC">
        <w:rPr>
          <w:bCs w:val="0"/>
          <w:sz w:val="14"/>
          <w:szCs w:val="14"/>
          <w:lang w:eastAsia="cs-CZ"/>
        </w:rPr>
        <w:t xml:space="preserve">          </w:t>
      </w:r>
      <w:r w:rsidRPr="00E13FFC">
        <w:rPr>
          <w:bCs w:val="0"/>
          <w:lang w:eastAsia="cs-CZ"/>
        </w:rPr>
        <w:t>spojili sa dohromady útvary, ktoré fungujú na odlišných princípoch - pre bývalé oddelenia Daňového riaditeľstva SR je  základom interná metodika a vzory, ktoré vytvárajú iné odbory, pričom bývalé oddelenia Colného riaditeľstva SR sami metodicky usmerňovali podriadené orgány, čím sa reagovalo pružne na zmeny a vývoj v legislatív</w:t>
      </w:r>
      <w:r w:rsidRPr="00E13FFC">
        <w:rPr>
          <w:bCs w:val="0"/>
          <w:lang w:eastAsia="cs-CZ"/>
        </w:rPr>
        <w:t xml:space="preserve">e i v judikatúre a na konkrétne potreby podriadených orgánov, </w:t>
      </w:r>
    </w:p>
    <w:p w:rsidR="00E13FFC" w:rsidRPr="00E13FFC" w:rsidP="00E13FFC">
      <w:pPr>
        <w:ind w:left="360"/>
        <w:jc w:val="both"/>
        <w:rPr>
          <w:bCs w:val="0"/>
          <w:lang w:eastAsia="cs-CZ"/>
        </w:rPr>
      </w:pPr>
      <w:r w:rsidRPr="00E13FFC">
        <w:rPr>
          <w:bCs w:val="0"/>
          <w:lang w:eastAsia="cs-CZ"/>
        </w:rPr>
        <w:t>-</w:t>
      </w:r>
      <w:r w:rsidRPr="00E13FFC">
        <w:rPr>
          <w:bCs w:val="0"/>
          <w:sz w:val="14"/>
          <w:szCs w:val="14"/>
          <w:lang w:eastAsia="cs-CZ"/>
        </w:rPr>
        <w:t xml:space="preserve">          </w:t>
      </w:r>
      <w:r w:rsidRPr="00E13FFC">
        <w:rPr>
          <w:bCs w:val="0"/>
          <w:lang w:eastAsia="cs-CZ"/>
        </w:rPr>
        <w:t>referentom nebolo k 1.1.2012 oficiálne oznámené, na ktorom oddelení sú zaradení, nebola známa organizačná štruktúra, takže nevedeli názov oddelenia, odboru ani sekcie; taktiež im nebolo oznámené, kto je ich nadriadený (riaditeľ a generálny riaditeľ),</w:t>
      </w:r>
    </w:p>
    <w:p w:rsidR="00E13FFC" w:rsidRPr="00E13FFC" w:rsidP="00E13FFC">
      <w:pPr>
        <w:ind w:left="360"/>
        <w:jc w:val="both"/>
        <w:rPr>
          <w:bCs w:val="0"/>
          <w:lang w:eastAsia="cs-CZ"/>
        </w:rPr>
      </w:pPr>
      <w:r w:rsidRPr="00E13FFC">
        <w:rPr>
          <w:bCs w:val="0"/>
          <w:lang w:eastAsia="cs-CZ"/>
        </w:rPr>
        <w:t>-</w:t>
      </w:r>
      <w:r w:rsidRPr="00E13FFC">
        <w:rPr>
          <w:bCs w:val="0"/>
          <w:sz w:val="14"/>
          <w:szCs w:val="14"/>
          <w:lang w:eastAsia="cs-CZ"/>
        </w:rPr>
        <w:t xml:space="preserve">          </w:t>
      </w:r>
      <w:r w:rsidRPr="00E13FFC">
        <w:rPr>
          <w:bCs w:val="0"/>
          <w:lang w:eastAsia="cs-CZ"/>
        </w:rPr>
        <w:t>vymenovaná riaditeľka odboru, ktorá posudzuje rozhodnutia, nie je odborníčka na problematiku, spotrebných daní a colnú problematiku, rovnako ani generálna riaditeľka sekcie, kt</w:t>
      </w:r>
      <w:r w:rsidRPr="00E13FFC">
        <w:rPr>
          <w:bCs w:val="0"/>
          <w:lang w:eastAsia="cs-CZ"/>
        </w:rPr>
        <w:t>orá tieto rozhodnutia podpisuje,</w:t>
      </w:r>
    </w:p>
    <w:p w:rsidR="00E13FFC" w:rsidRPr="00E13FFC" w:rsidP="00E13FFC">
      <w:pPr>
        <w:ind w:left="360"/>
        <w:jc w:val="both"/>
        <w:rPr>
          <w:bCs w:val="0"/>
          <w:lang w:eastAsia="cs-CZ"/>
        </w:rPr>
      </w:pPr>
      <w:r w:rsidRPr="00E13FFC">
        <w:rPr>
          <w:bCs w:val="0"/>
          <w:lang w:eastAsia="cs-CZ"/>
        </w:rPr>
        <w:t>-</w:t>
      </w:r>
      <w:r w:rsidRPr="00E13FFC">
        <w:rPr>
          <w:bCs w:val="0"/>
          <w:sz w:val="14"/>
          <w:szCs w:val="14"/>
          <w:lang w:eastAsia="cs-CZ"/>
        </w:rPr>
        <w:t xml:space="preserve">          </w:t>
      </w:r>
      <w:r w:rsidRPr="00E13FFC">
        <w:rPr>
          <w:bCs w:val="0"/>
          <w:lang w:eastAsia="cs-CZ"/>
        </w:rPr>
        <w:t xml:space="preserve">prvá porada odboru, na ktorej sa zúčastnili vedúci oddelení, riaditeľka odboru a generálna riaditeľka sekcie, sa uskutočnila až 19.1. </w:t>
      </w:r>
    </w:p>
    <w:p w:rsidR="00E13FFC" w:rsidRPr="00E13FFC" w:rsidP="00E13FFC">
      <w:pPr>
        <w:ind w:left="360"/>
        <w:jc w:val="both"/>
        <w:rPr>
          <w:bCs w:val="0"/>
          <w:lang w:eastAsia="cs-CZ"/>
        </w:rPr>
      </w:pPr>
      <w:r w:rsidRPr="00E13FFC">
        <w:rPr>
          <w:bCs w:val="0"/>
          <w:lang w:eastAsia="cs-CZ"/>
        </w:rPr>
        <w:t>-</w:t>
      </w:r>
      <w:r w:rsidRPr="00E13FFC">
        <w:rPr>
          <w:bCs w:val="0"/>
          <w:sz w:val="14"/>
          <w:szCs w:val="14"/>
          <w:lang w:eastAsia="cs-CZ"/>
        </w:rPr>
        <w:t xml:space="preserve">          </w:t>
      </w:r>
      <w:r w:rsidRPr="00E13FFC">
        <w:rPr>
          <w:bCs w:val="0"/>
          <w:lang w:eastAsia="cs-CZ"/>
        </w:rPr>
        <w:t xml:space="preserve">rozdelenie a ujednotenie podpisových právomocí (ktoré písomnosti si vyhradzuje na podpisovanie generálna riaditeľka, ktoré riaditeľka odboru a ktoré môžu podpisovať aj vedúci) sa dohodlo až vo februári </w:t>
      </w:r>
    </w:p>
    <w:p w:rsidR="00E13FFC" w:rsidRPr="00E13FFC" w:rsidP="00E13FFC">
      <w:pPr>
        <w:ind w:left="360"/>
        <w:jc w:val="both"/>
        <w:rPr>
          <w:bCs w:val="0"/>
          <w:lang w:eastAsia="cs-CZ"/>
        </w:rPr>
      </w:pPr>
      <w:r w:rsidRPr="00E13FFC">
        <w:rPr>
          <w:bCs w:val="0"/>
          <w:lang w:eastAsia="cs-CZ"/>
        </w:rPr>
        <w:t>-</w:t>
      </w:r>
      <w:r w:rsidRPr="00E13FFC">
        <w:rPr>
          <w:bCs w:val="0"/>
          <w:sz w:val="14"/>
          <w:szCs w:val="14"/>
          <w:lang w:eastAsia="cs-CZ"/>
        </w:rPr>
        <w:t xml:space="preserve">          </w:t>
      </w:r>
      <w:r w:rsidRPr="00E13FFC">
        <w:rPr>
          <w:bCs w:val="0"/>
          <w:lang w:eastAsia="cs-CZ"/>
        </w:rPr>
        <w:t>dosiaľ (ku koncu februára) nie je ujednotená forma rozhodnutia – niekedy sú referentom oznámené zmeny vo forme rozhodnutia aj niekoľkokrát za deň, čo má za následok zdržiavanie a časový sklz vo vyhotovovaní rozhodnutí,</w:t>
      </w:r>
    </w:p>
    <w:p w:rsidR="00E13FFC" w:rsidRPr="00E13FFC" w:rsidP="00E13FFC">
      <w:pPr>
        <w:ind w:left="360"/>
        <w:jc w:val="both"/>
        <w:rPr>
          <w:bCs w:val="0"/>
          <w:lang w:eastAsia="cs-CZ"/>
        </w:rPr>
      </w:pPr>
      <w:r w:rsidRPr="00E13FFC">
        <w:rPr>
          <w:bCs w:val="0"/>
          <w:lang w:eastAsia="cs-CZ"/>
        </w:rPr>
        <w:t>-</w:t>
      </w:r>
      <w:r w:rsidRPr="00E13FFC">
        <w:rPr>
          <w:bCs w:val="0"/>
          <w:sz w:val="14"/>
          <w:szCs w:val="14"/>
          <w:lang w:eastAsia="cs-CZ"/>
        </w:rPr>
        <w:t xml:space="preserve">          </w:t>
      </w:r>
      <w:r w:rsidRPr="00E13FFC">
        <w:rPr>
          <w:bCs w:val="0"/>
          <w:lang w:eastAsia="cs-CZ"/>
        </w:rPr>
        <w:t xml:space="preserve">týmto dvom oddeleniam bola odňatá administratívna sila, takže administratívne veci (objednávka kancelárskych potrieb, zapisovanie došlej a odoslanej pošty, odnášanie pošty do podateľne a z podateľne ...) vykonávajú popri svojej činnosti ľudia s vysokoškolským vzdelaním </w:t>
      </w:r>
    </w:p>
    <w:p w:rsidR="00E13FFC" w:rsidRPr="00E13FFC" w:rsidP="00E13FFC">
      <w:pPr>
        <w:jc w:val="both"/>
        <w:rPr>
          <w:bCs w:val="0"/>
          <w:lang w:eastAsia="cs-CZ"/>
        </w:rPr>
      </w:pPr>
      <w:r w:rsidRPr="00E13FFC">
        <w:rPr>
          <w:bCs w:val="0"/>
          <w:lang w:eastAsia="cs-CZ"/>
        </w:rPr>
        <w:t> </w:t>
      </w:r>
    </w:p>
    <w:p w:rsidR="00E13FFC" w:rsidRPr="00E13FFC" w:rsidP="00E13FFC">
      <w:pPr>
        <w:jc w:val="both"/>
        <w:rPr>
          <w:bCs w:val="0"/>
          <w:lang w:eastAsia="cs-CZ"/>
        </w:rPr>
      </w:pPr>
      <w:r w:rsidRPr="00E13FFC">
        <w:rPr>
          <w:bCs w:val="0"/>
          <w:lang w:eastAsia="cs-CZ"/>
        </w:rPr>
        <w:t>Akým spôsobom chcete riešiť  vyššie uvedené problémy, ktoré nastali v dôsledku vyňatia colnoprávneho a daňovoprávneho</w:t>
      </w:r>
      <w:r w:rsidRPr="00E13FFC">
        <w:rPr>
          <w:bCs w:val="0"/>
          <w:lang w:eastAsia="cs-CZ"/>
        </w:rPr>
        <w:t xml:space="preserve"> oddelenia z colnej sekcie a ich preradením na sekciu metodiky a konania. </w:t>
      </w:r>
    </w:p>
    <w:p w:rsidR="00E13FFC" w:rsidRPr="00E13FFC" w:rsidP="00E13FFC">
      <w:pPr>
        <w:jc w:val="both"/>
        <w:rPr>
          <w:bCs w:val="0"/>
          <w:lang w:eastAsia="cs-CZ"/>
        </w:rPr>
      </w:pPr>
      <w:r w:rsidRPr="00E13FFC">
        <w:rPr>
          <w:bCs w:val="0"/>
          <w:lang w:eastAsia="cs-CZ"/>
        </w:rPr>
        <w:t>Akým spôsobom je zabezpečené oboznamovanie zamestnancov s internými aktami, keď nie je vydávaný oficiálny vestník, resp. obežník ?</w:t>
      </w:r>
    </w:p>
    <w:p w:rsidR="00E13FFC" w:rsidRPr="00E13FFC" w:rsidP="00E13FFC">
      <w:pPr>
        <w:jc w:val="both"/>
        <w:rPr>
          <w:bCs w:val="0"/>
          <w:lang w:eastAsia="cs-CZ"/>
        </w:rPr>
      </w:pPr>
      <w:r w:rsidRPr="00E13FFC">
        <w:rPr>
          <w:bCs w:val="0"/>
          <w:lang w:eastAsia="cs-CZ"/>
        </w:rPr>
        <w:t> </w:t>
      </w:r>
    </w:p>
    <w:p w:rsidR="00BA492B" w:rsidP="00E13FFC">
      <w:pPr>
        <w:jc w:val="both"/>
        <w:rPr>
          <w:bCs w:val="0"/>
          <w:lang w:eastAsia="cs-CZ"/>
        </w:rPr>
      </w:pPr>
      <w:r w:rsidRPr="00E13FFC" w:rsidR="00E13FFC">
        <w:rPr>
          <w:bCs w:val="0"/>
          <w:lang w:eastAsia="cs-CZ"/>
        </w:rPr>
        <w:t xml:space="preserve"> 10.    Prečo nie je zabezpečené riadne fungovanie intranetu a dochádza k jeho odstávke aj na niekoľko </w:t>
      </w:r>
    </w:p>
    <w:p w:rsidR="00E13FFC" w:rsidP="00E13FFC">
      <w:pPr>
        <w:jc w:val="both"/>
        <w:rPr>
          <w:bCs w:val="0"/>
          <w:lang w:eastAsia="cs-CZ"/>
        </w:rPr>
      </w:pPr>
      <w:r w:rsidRPr="00E13FFC">
        <w:rPr>
          <w:bCs w:val="0"/>
          <w:lang w:eastAsia="cs-CZ"/>
        </w:rPr>
        <w:t xml:space="preserve">dní ? akým spôsobom chcete zabezpečiť, aby k týmto odstávkam nedochádzalo? Odstavenie intranetu nielen sťažuje colníkom ich prácu a prejednávanie tovaru v colnom konaní, ale môže mať nepriaznivé následky na bezpečnosť štátu, ochranu zdravia ľudí  a životné prostredie. Na intranete, ktorý slúži na interné potreby colníkov, sa nachádzajú napr. opatrenia Bezpečnostnej rady OSN, do ktorých krajín nie je možné vyviezť nebezpečné látky, metodické pokyny pre colné konanie v dôležitých oblastiach – napr. pri vývozných náhradách, ďalej zoznam škodlivého a zdraviu nebezpečného tovaru – hračiek, liekov, parfumov ...,   taktiež zoznam prijatých opatrení proti porušovaniu práv duševného vlastníctva, analýza rizika -  evidencie a informácie o rizikových osobách alebo rizikových tovaroch, ochrana životného prostredia – odpady, chemikálie, zoznam tovarov dvojakého použitia  </w:t>
      </w:r>
    </w:p>
    <w:p w:rsidR="00E13FFC" w:rsidRPr="00E13FFC" w:rsidP="00E13FFC">
      <w:pPr>
        <w:jc w:val="both"/>
        <w:rPr>
          <w:bCs w:val="0"/>
          <w:lang w:eastAsia="cs-CZ"/>
        </w:rPr>
      </w:pPr>
    </w:p>
    <w:p w:rsidR="00E13FFC" w:rsidRPr="00E13FFC" w:rsidP="00E13FFC">
      <w:pPr>
        <w:jc w:val="both"/>
        <w:rPr>
          <w:bCs w:val="0"/>
          <w:lang w:eastAsia="cs-CZ"/>
        </w:rPr>
      </w:pPr>
      <w:r w:rsidRPr="00E13FFC">
        <w:rPr>
          <w:bCs w:val="0"/>
          <w:lang w:eastAsia="cs-CZ"/>
        </w:rPr>
        <w:t>11.   Z akého dôvodu nebol daný súhlas  so získaním akreditácie na tabak pre colné laboratórium</w:t>
      </w:r>
      <w:r w:rsidRPr="00E13FFC">
        <w:rPr>
          <w:bCs w:val="0"/>
          <w:lang w:eastAsia="cs-CZ"/>
        </w:rPr>
        <w:t>. Uvedené laboratórium teraz vykonáva skúšky na tabak síce akreditovanou metódou, ale v protokole o skúške dáva N (neakreditované), z toho plynú možné  náhrady škody, nezákonne rozhodnutia št. orgánov. akým spôsobom chcete riešiť uvedený stav a kto je zaň zodpovedný?</w:t>
      </w:r>
    </w:p>
    <w:p w:rsidR="00E13FFC" w:rsidRPr="00E13FFC" w:rsidP="00E13FFC">
      <w:pPr>
        <w:jc w:val="both"/>
        <w:rPr>
          <w:bCs w:val="0"/>
          <w:lang w:eastAsia="cs-CZ"/>
        </w:rPr>
      </w:pPr>
      <w:r w:rsidRPr="00E13FFC">
        <w:rPr>
          <w:bCs w:val="0"/>
          <w:lang w:eastAsia="cs-CZ"/>
        </w:rPr>
        <w:br/>
        <w:t> </w:t>
      </w:r>
    </w:p>
    <w:p w:rsidR="00E13FFC" w:rsidP="00E13FFC">
      <w:pPr>
        <w:jc w:val="both"/>
        <w:rPr>
          <w:rFonts w:ascii="Calibri" w:eastAsia="Calibri" w:hAnsi="Calibri"/>
          <w:bCs w:val="0"/>
          <w:sz w:val="22"/>
          <w:szCs w:val="22"/>
          <w:lang w:eastAsia="en-US"/>
        </w:rPr>
      </w:pPr>
    </w:p>
    <w:p w:rsidR="00A7548A" w:rsidP="00E13FFC">
      <w:pPr>
        <w:jc w:val="both"/>
        <w:rPr>
          <w:rFonts w:ascii="Calibri" w:eastAsia="Calibri" w:hAnsi="Calibri"/>
          <w:bCs w:val="0"/>
          <w:sz w:val="22"/>
          <w:szCs w:val="22"/>
          <w:lang w:eastAsia="en-US"/>
        </w:rPr>
      </w:pPr>
    </w:p>
    <w:p w:rsidR="00A7548A" w:rsidP="00E13FFC">
      <w:pPr>
        <w:jc w:val="both"/>
        <w:rPr>
          <w:rFonts w:ascii="Calibri" w:eastAsia="Calibri" w:hAnsi="Calibri"/>
          <w:bCs w:val="0"/>
          <w:sz w:val="22"/>
          <w:szCs w:val="22"/>
          <w:lang w:eastAsia="en-US"/>
        </w:rPr>
      </w:pPr>
    </w:p>
    <w:p w:rsidR="00A7548A" w:rsidP="00E13FFC">
      <w:pPr>
        <w:jc w:val="both"/>
        <w:rPr>
          <w:rFonts w:ascii="Calibri" w:eastAsia="Calibri" w:hAnsi="Calibri"/>
          <w:bCs w:val="0"/>
          <w:sz w:val="22"/>
          <w:szCs w:val="22"/>
          <w:lang w:eastAsia="en-US"/>
        </w:rPr>
      </w:pPr>
    </w:p>
    <w:p w:rsidR="00A7548A" w:rsidP="00E13FFC">
      <w:pPr>
        <w:jc w:val="both"/>
        <w:rPr>
          <w:rFonts w:ascii="Calibri" w:eastAsia="Calibri" w:hAnsi="Calibri"/>
          <w:bCs w:val="0"/>
          <w:sz w:val="22"/>
          <w:szCs w:val="22"/>
          <w:lang w:eastAsia="en-US"/>
        </w:rPr>
      </w:pPr>
    </w:p>
    <w:p w:rsidR="00A7548A" w:rsidP="00E13FFC">
      <w:pPr>
        <w:jc w:val="both"/>
        <w:rPr>
          <w:rFonts w:ascii="Calibri" w:eastAsia="Calibri" w:hAnsi="Calibri"/>
          <w:bCs w:val="0"/>
          <w:sz w:val="22"/>
          <w:szCs w:val="22"/>
          <w:lang w:eastAsia="en-US"/>
        </w:rPr>
      </w:pPr>
    </w:p>
    <w:p w:rsidR="00A7548A" w:rsidP="00E13FFC">
      <w:pPr>
        <w:jc w:val="both"/>
        <w:rPr>
          <w:rFonts w:ascii="Calibri" w:eastAsia="Calibri" w:hAnsi="Calibri"/>
          <w:bCs w:val="0"/>
          <w:sz w:val="22"/>
          <w:szCs w:val="22"/>
          <w:lang w:eastAsia="en-US"/>
        </w:rPr>
      </w:pPr>
    </w:p>
    <w:p w:rsidR="00A7548A" w:rsidP="00E13FFC">
      <w:pPr>
        <w:jc w:val="both"/>
        <w:rPr>
          <w:rFonts w:ascii="Calibri" w:eastAsia="Calibri" w:hAnsi="Calibri"/>
          <w:bCs w:val="0"/>
          <w:sz w:val="22"/>
          <w:szCs w:val="22"/>
          <w:lang w:eastAsia="en-US"/>
        </w:rPr>
      </w:pPr>
    </w:p>
    <w:p w:rsidR="00A7548A" w:rsidP="00E13FFC">
      <w:pPr>
        <w:jc w:val="both"/>
        <w:rPr>
          <w:rFonts w:ascii="Calibri" w:eastAsia="Calibri" w:hAnsi="Calibri"/>
          <w:bCs w:val="0"/>
          <w:sz w:val="22"/>
          <w:szCs w:val="22"/>
          <w:lang w:eastAsia="en-US"/>
        </w:rPr>
      </w:pPr>
    </w:p>
    <w:p w:rsidR="00BA492B" w:rsidP="00E13FFC">
      <w:pPr>
        <w:jc w:val="both"/>
        <w:rPr>
          <w:rFonts w:ascii="Calibri" w:eastAsia="Calibri" w:hAnsi="Calibri"/>
          <w:bCs w:val="0"/>
          <w:sz w:val="22"/>
          <w:szCs w:val="22"/>
          <w:lang w:eastAsia="en-US"/>
        </w:rPr>
      </w:pPr>
    </w:p>
    <w:p w:rsidR="00BA492B" w:rsidP="00E13FFC">
      <w:pPr>
        <w:jc w:val="both"/>
        <w:rPr>
          <w:rFonts w:ascii="Calibri" w:eastAsia="Calibri" w:hAnsi="Calibri"/>
          <w:bCs w:val="0"/>
          <w:sz w:val="22"/>
          <w:szCs w:val="22"/>
          <w:lang w:eastAsia="en-US"/>
        </w:rPr>
      </w:pPr>
    </w:p>
    <w:p w:rsidR="00A7548A" w:rsidP="00E13FFC">
      <w:pPr>
        <w:jc w:val="both"/>
        <w:rPr>
          <w:rFonts w:ascii="Calibri" w:eastAsia="Calibri" w:hAnsi="Calibri"/>
          <w:bCs w:val="0"/>
          <w:sz w:val="22"/>
          <w:szCs w:val="22"/>
          <w:lang w:eastAsia="en-US"/>
        </w:rPr>
      </w:pPr>
    </w:p>
    <w:p w:rsidR="00A7548A" w:rsidRPr="00E13FFC" w:rsidP="00E13FFC">
      <w:pPr>
        <w:jc w:val="both"/>
        <w:rPr>
          <w:rFonts w:ascii="Calibri" w:eastAsia="Calibri" w:hAnsi="Calibri"/>
          <w:bCs w:val="0"/>
          <w:sz w:val="22"/>
          <w:szCs w:val="22"/>
          <w:lang w:eastAsia="en-US"/>
        </w:rPr>
      </w:pPr>
    </w:p>
    <w:p w:rsidR="00A7548A" w:rsidP="00A7548A">
      <w:pPr>
        <w:pStyle w:val="tl"/>
        <w:spacing w:line="201" w:lineRule="exact"/>
        <w:ind w:left="9"/>
        <w:jc w:val="center"/>
        <w:rPr>
          <w:rFonts w:ascii="Times New Roman" w:hAnsi="Times New Roman" w:cs="Times New Roman"/>
          <w:sz w:val="28"/>
          <w:szCs w:val="28"/>
          <w:lang w:bidi="he-IL"/>
        </w:rPr>
      </w:pPr>
      <w:r>
        <w:rPr>
          <w:rFonts w:ascii="Times New Roman" w:hAnsi="Times New Roman" w:cs="Times New Roman"/>
          <w:sz w:val="28"/>
          <w:szCs w:val="28"/>
          <w:lang w:bidi="he-IL"/>
        </w:rPr>
        <w:t>Popis požiadavky</w:t>
      </w:r>
    </w:p>
    <w:p w:rsidR="00A7548A" w:rsidP="00A7548A">
      <w:pPr>
        <w:pStyle w:val="tl"/>
        <w:spacing w:line="201" w:lineRule="exact"/>
        <w:ind w:left="9"/>
        <w:jc w:val="center"/>
        <w:rPr>
          <w:rFonts w:ascii="Times New Roman" w:hAnsi="Times New Roman" w:cs="Times New Roman"/>
          <w:lang w:bidi="he-IL"/>
        </w:rPr>
      </w:pPr>
    </w:p>
    <w:p w:rsidR="00A7548A" w:rsidP="00A7548A">
      <w:pPr>
        <w:pStyle w:val="tl"/>
        <w:spacing w:line="201" w:lineRule="exact"/>
        <w:ind w:left="9"/>
        <w:jc w:val="center"/>
        <w:rPr>
          <w:rFonts w:ascii="Times New Roman" w:hAnsi="Times New Roman" w:cs="Times New Roman"/>
          <w:lang w:bidi="he-IL"/>
        </w:rPr>
      </w:pPr>
      <w:r>
        <w:rPr>
          <w:rFonts w:ascii="Times New Roman" w:hAnsi="Times New Roman" w:cs="Times New Roman"/>
          <w:lang w:bidi="he-IL"/>
        </w:rPr>
        <w:t>Vykazuje nový IS KONS plnú funkcionalitu v týchto oblastiach?</w:t>
      </w:r>
    </w:p>
    <w:p w:rsidR="00A7548A" w:rsidP="00A7548A">
      <w:pPr>
        <w:pStyle w:val="tl"/>
        <w:spacing w:line="201" w:lineRule="exact"/>
        <w:ind w:left="9"/>
        <w:rPr>
          <w:rFonts w:ascii="Times New Roman" w:hAnsi="Times New Roman" w:cs="Times New Roman"/>
          <w:lang w:bidi="he-IL"/>
        </w:rPr>
      </w:pPr>
    </w:p>
    <w:p w:rsidR="00A7548A" w:rsidP="00A7548A">
      <w:pPr>
        <w:pStyle w:val="tl"/>
        <w:numPr>
          <w:ilvl w:val="0"/>
          <w:numId w:val="31"/>
        </w:numPr>
        <w:jc w:val="both"/>
        <w:rPr>
          <w:rFonts w:ascii="Times New Roman" w:hAnsi="Times New Roman" w:cs="Times New Roman"/>
          <w:lang w:bidi="he-IL"/>
        </w:rPr>
      </w:pPr>
      <w:r>
        <w:rPr>
          <w:rFonts w:ascii="Times New Roman" w:hAnsi="Times New Roman" w:cs="Times New Roman"/>
          <w:lang w:bidi="he-IL"/>
        </w:rPr>
        <w:t xml:space="preserve">Kompletná údajová základňa pre registráciu daňového subjektu. </w:t>
      </w:r>
    </w:p>
    <w:p w:rsidR="00A7548A" w:rsidP="00A7548A">
      <w:pPr>
        <w:pStyle w:val="tl"/>
        <w:ind w:left="720"/>
        <w:jc w:val="both"/>
        <w:rPr>
          <w:rFonts w:ascii="Times New Roman" w:hAnsi="Times New Roman" w:cs="Times New Roman"/>
          <w:lang w:bidi="he-IL"/>
        </w:rPr>
      </w:pPr>
    </w:p>
    <w:p w:rsidR="00A7548A" w:rsidP="00A7548A">
      <w:pPr>
        <w:pStyle w:val="tl"/>
        <w:numPr>
          <w:ilvl w:val="0"/>
          <w:numId w:val="31"/>
        </w:numPr>
        <w:jc w:val="both"/>
        <w:rPr>
          <w:rFonts w:ascii="Times New Roman" w:hAnsi="Times New Roman" w:cs="Times New Roman"/>
          <w:lang w:bidi="he-IL"/>
        </w:rPr>
      </w:pPr>
      <w:r>
        <w:rPr>
          <w:rFonts w:ascii="Times New Roman" w:hAnsi="Times New Roman" w:cs="Times New Roman"/>
          <w:lang w:bidi="he-IL"/>
        </w:rPr>
        <w:t xml:space="preserve">Registrácia daňového subjektu. </w:t>
      </w:r>
    </w:p>
    <w:p w:rsidR="00A7548A" w:rsidP="00A7548A">
      <w:pPr>
        <w:pStyle w:val="tl"/>
        <w:jc w:val="both"/>
        <w:rPr>
          <w:rFonts w:ascii="Times New Roman" w:hAnsi="Times New Roman" w:cs="Times New Roman"/>
          <w:lang w:bidi="he-IL"/>
        </w:rPr>
      </w:pPr>
    </w:p>
    <w:p w:rsidR="00A7548A" w:rsidP="00A7548A">
      <w:pPr>
        <w:pStyle w:val="tl"/>
        <w:numPr>
          <w:ilvl w:val="0"/>
          <w:numId w:val="31"/>
        </w:numPr>
        <w:jc w:val="both"/>
        <w:rPr>
          <w:rFonts w:ascii="Times New Roman" w:hAnsi="Times New Roman" w:cs="Times New Roman"/>
          <w:lang w:bidi="he-IL"/>
        </w:rPr>
      </w:pPr>
      <w:r>
        <w:rPr>
          <w:rFonts w:ascii="Times New Roman" w:hAnsi="Times New Roman" w:cs="Times New Roman"/>
          <w:lang w:bidi="he-IL"/>
        </w:rPr>
        <w:t xml:space="preserve">Registrácia skupiny DPH. </w:t>
      </w:r>
    </w:p>
    <w:p w:rsidR="00A7548A" w:rsidP="00A7548A">
      <w:pPr>
        <w:pStyle w:val="tl"/>
        <w:jc w:val="both"/>
        <w:rPr>
          <w:rFonts w:ascii="Times New Roman" w:hAnsi="Times New Roman" w:cs="Times New Roman"/>
          <w:lang w:bidi="he-IL"/>
        </w:rPr>
      </w:pPr>
    </w:p>
    <w:p w:rsidR="00A7548A" w:rsidP="00A7548A">
      <w:pPr>
        <w:pStyle w:val="tl"/>
        <w:numPr>
          <w:ilvl w:val="0"/>
          <w:numId w:val="31"/>
        </w:numPr>
        <w:jc w:val="both"/>
        <w:rPr>
          <w:rFonts w:ascii="Times New Roman" w:hAnsi="Times New Roman" w:cs="Times New Roman"/>
          <w:lang w:bidi="he-IL"/>
        </w:rPr>
      </w:pPr>
      <w:r>
        <w:rPr>
          <w:rFonts w:ascii="Times New Roman" w:hAnsi="Times New Roman" w:cs="Times New Roman"/>
          <w:lang w:bidi="he-IL"/>
        </w:rPr>
        <w:t xml:space="preserve">Pridelenie DKP pre pokladňu. </w:t>
      </w:r>
    </w:p>
    <w:p w:rsidR="00A7548A" w:rsidP="00A7548A">
      <w:pPr>
        <w:pStyle w:val="tl"/>
        <w:jc w:val="both"/>
        <w:rPr>
          <w:rFonts w:ascii="Times New Roman" w:hAnsi="Times New Roman" w:cs="Times New Roman"/>
          <w:lang w:bidi="he-IL"/>
        </w:rPr>
      </w:pPr>
    </w:p>
    <w:p w:rsidR="00A7548A" w:rsidP="00A7548A">
      <w:pPr>
        <w:pStyle w:val="tl"/>
        <w:numPr>
          <w:ilvl w:val="0"/>
          <w:numId w:val="31"/>
        </w:numPr>
        <w:jc w:val="both"/>
        <w:rPr>
          <w:rFonts w:ascii="Times New Roman" w:hAnsi="Times New Roman" w:cs="Times New Roman"/>
          <w:lang w:bidi="he-IL"/>
        </w:rPr>
      </w:pPr>
      <w:r>
        <w:rPr>
          <w:rFonts w:ascii="Times New Roman" w:hAnsi="Times New Roman" w:cs="Times New Roman"/>
          <w:lang w:bidi="he-IL"/>
        </w:rPr>
        <w:t xml:space="preserve">Delimitácia (presťahovanie, zmena sídla). </w:t>
      </w:r>
    </w:p>
    <w:p w:rsidR="00A7548A" w:rsidP="00A7548A">
      <w:pPr>
        <w:pStyle w:val="tl"/>
        <w:ind w:left="720"/>
        <w:jc w:val="both"/>
        <w:rPr>
          <w:rFonts w:ascii="Times New Roman" w:hAnsi="Times New Roman" w:cs="Times New Roman"/>
          <w:lang w:bidi="he-IL"/>
        </w:rPr>
      </w:pPr>
      <w:r>
        <w:rPr>
          <w:rFonts w:ascii="Times New Roman" w:hAnsi="Times New Roman" w:cs="Times New Roman"/>
          <w:lang w:bidi="he-IL"/>
        </w:rPr>
        <w:t xml:space="preserve">Presun daňového subjektu na Úrad pre vybrané daňové subjekty. </w:t>
      </w:r>
    </w:p>
    <w:p w:rsidR="00A7548A" w:rsidP="00A7548A">
      <w:pPr>
        <w:pStyle w:val="tl"/>
        <w:ind w:left="720"/>
        <w:jc w:val="both"/>
        <w:rPr>
          <w:rFonts w:ascii="Times New Roman" w:hAnsi="Times New Roman" w:cs="Times New Roman"/>
          <w:lang w:bidi="he-IL"/>
        </w:rPr>
      </w:pPr>
    </w:p>
    <w:p w:rsidR="00A7548A" w:rsidP="00A7548A">
      <w:pPr>
        <w:pStyle w:val="tl"/>
        <w:numPr>
          <w:ilvl w:val="0"/>
          <w:numId w:val="31"/>
        </w:numPr>
        <w:ind w:right="787"/>
        <w:jc w:val="both"/>
        <w:rPr>
          <w:rFonts w:ascii="Times New Roman" w:hAnsi="Times New Roman" w:cs="Times New Roman"/>
          <w:lang w:bidi="he-IL"/>
        </w:rPr>
      </w:pPr>
      <w:r>
        <w:rPr>
          <w:rFonts w:ascii="Times New Roman" w:hAnsi="Times New Roman" w:cs="Times New Roman"/>
          <w:lang w:bidi="he-IL"/>
        </w:rPr>
        <w:t xml:space="preserve">Poskytovanie registračných údajov DPH pre zasielanie do EÚ prostredníctvom systému VIES (Vat International Exchange System). </w:t>
      </w:r>
    </w:p>
    <w:p w:rsidR="00A7548A" w:rsidP="00A7548A">
      <w:pPr>
        <w:pStyle w:val="tl"/>
        <w:ind w:left="720" w:right="787"/>
        <w:jc w:val="both"/>
        <w:rPr>
          <w:rFonts w:ascii="Times New Roman" w:hAnsi="Times New Roman" w:cs="Times New Roman"/>
          <w:lang w:bidi="he-IL"/>
        </w:rPr>
      </w:pPr>
    </w:p>
    <w:p w:rsidR="00A7548A" w:rsidP="00A7548A">
      <w:pPr>
        <w:pStyle w:val="tl"/>
        <w:numPr>
          <w:ilvl w:val="0"/>
          <w:numId w:val="31"/>
        </w:numPr>
        <w:ind w:right="4"/>
        <w:jc w:val="both"/>
        <w:rPr>
          <w:rFonts w:ascii="Times New Roman" w:hAnsi="Times New Roman" w:cs="Times New Roman"/>
          <w:lang w:bidi="he-IL"/>
        </w:rPr>
      </w:pPr>
      <w:r>
        <w:rPr>
          <w:rFonts w:ascii="Times New Roman" w:hAnsi="Times New Roman" w:cs="Times New Roman"/>
          <w:lang w:bidi="he-IL"/>
        </w:rPr>
        <w:t xml:space="preserve">Poskytovanie registračných údajov pre zverejnenie platcov DPH v SR – EUVAT. </w:t>
      </w:r>
    </w:p>
    <w:p w:rsidR="00A7548A" w:rsidP="00A7548A">
      <w:pPr>
        <w:pStyle w:val="tl"/>
        <w:ind w:left="720" w:right="4"/>
        <w:jc w:val="both"/>
        <w:rPr>
          <w:rFonts w:ascii="Times New Roman" w:hAnsi="Times New Roman" w:cs="Times New Roman"/>
          <w:lang w:bidi="he-IL"/>
        </w:rPr>
      </w:pPr>
      <w:r>
        <w:rPr>
          <w:rFonts w:ascii="Times New Roman" w:hAnsi="Times New Roman" w:cs="Times New Roman"/>
          <w:lang w:bidi="he-IL"/>
        </w:rPr>
        <w:t>Zoznam DPH.</w:t>
      </w:r>
    </w:p>
    <w:p w:rsidR="00A7548A" w:rsidP="00A7548A">
      <w:pPr>
        <w:pStyle w:val="tl"/>
        <w:ind w:left="720" w:right="4"/>
        <w:jc w:val="both"/>
        <w:rPr>
          <w:rFonts w:ascii="Times New Roman" w:hAnsi="Times New Roman" w:cs="Times New Roman"/>
          <w:lang w:bidi="he-IL"/>
        </w:rPr>
      </w:pPr>
      <w:r>
        <w:rPr>
          <w:rFonts w:ascii="Times New Roman" w:hAnsi="Times New Roman" w:cs="Times New Roman"/>
          <w:lang w:bidi="he-IL"/>
        </w:rPr>
        <w:t xml:space="preserve"> </w:t>
      </w:r>
    </w:p>
    <w:p w:rsidR="00A7548A" w:rsidP="00A7548A">
      <w:pPr>
        <w:pStyle w:val="tl"/>
        <w:numPr>
          <w:ilvl w:val="0"/>
          <w:numId w:val="31"/>
        </w:numPr>
        <w:tabs>
          <w:tab w:val="left" w:pos="705"/>
        </w:tabs>
        <w:jc w:val="both"/>
        <w:rPr>
          <w:rFonts w:ascii="Times New Roman" w:hAnsi="Times New Roman" w:cs="Times New Roman"/>
          <w:lang w:bidi="he-IL"/>
        </w:rPr>
      </w:pPr>
      <w:r>
        <w:rPr>
          <w:rFonts w:ascii="Times New Roman" w:hAnsi="Times New Roman" w:cs="Times New Roman"/>
          <w:lang w:bidi="he-IL"/>
        </w:rPr>
        <w:t xml:space="preserve">Prepojenie na JKM, Živnostenský register, Obchodný register, Konkurzné súdy. </w:t>
      </w:r>
    </w:p>
    <w:p w:rsidR="00A7548A" w:rsidP="00A7548A">
      <w:pPr>
        <w:pStyle w:val="tl"/>
        <w:tabs>
          <w:tab w:val="left" w:pos="705"/>
        </w:tabs>
        <w:ind w:left="720"/>
        <w:jc w:val="both"/>
        <w:rPr>
          <w:rFonts w:ascii="Times New Roman" w:hAnsi="Times New Roman" w:cs="Times New Roman"/>
          <w:lang w:bidi="he-IL"/>
        </w:rPr>
      </w:pPr>
    </w:p>
    <w:p w:rsidR="00A7548A" w:rsidP="00A7548A">
      <w:pPr>
        <w:pStyle w:val="tl"/>
        <w:numPr>
          <w:ilvl w:val="0"/>
          <w:numId w:val="31"/>
        </w:numPr>
        <w:tabs>
          <w:tab w:val="left" w:pos="715"/>
        </w:tabs>
        <w:jc w:val="both"/>
        <w:rPr>
          <w:rFonts w:ascii="Times New Roman" w:hAnsi="Times New Roman" w:cs="Times New Roman"/>
          <w:lang w:bidi="he-IL"/>
        </w:rPr>
      </w:pPr>
      <w:r>
        <w:rPr>
          <w:rFonts w:ascii="Times New Roman" w:hAnsi="Times New Roman" w:cs="Times New Roman"/>
          <w:lang w:bidi="he-IL"/>
        </w:rPr>
        <w:t xml:space="preserve">Kompletná údajová základňa potrebná pre správu daní, kontroly, exekúcie. </w:t>
      </w:r>
    </w:p>
    <w:p w:rsidR="00A7548A" w:rsidP="00A7548A">
      <w:pPr>
        <w:pStyle w:val="tl"/>
        <w:tabs>
          <w:tab w:val="left" w:pos="715"/>
        </w:tabs>
        <w:jc w:val="both"/>
        <w:rPr>
          <w:rFonts w:ascii="Times New Roman" w:hAnsi="Times New Roman" w:cs="Times New Roman"/>
          <w:lang w:bidi="he-IL"/>
        </w:rPr>
      </w:pPr>
    </w:p>
    <w:p w:rsidR="00A7548A" w:rsidP="00A7548A">
      <w:pPr>
        <w:pStyle w:val="tl"/>
        <w:numPr>
          <w:ilvl w:val="0"/>
          <w:numId w:val="31"/>
        </w:numPr>
        <w:ind w:right="134"/>
        <w:jc w:val="both"/>
        <w:rPr>
          <w:rFonts w:ascii="Times New Roman" w:hAnsi="Times New Roman" w:cs="Times New Roman"/>
          <w:lang w:bidi="he-IL"/>
        </w:rPr>
      </w:pPr>
      <w:r>
        <w:rPr>
          <w:rFonts w:ascii="Times New Roman" w:hAnsi="Times New Roman" w:cs="Times New Roman"/>
          <w:lang w:bidi="he-IL"/>
        </w:rPr>
        <w:t xml:space="preserve">Komplexné spracovanie riadnych a dodatočných daňových priznaní FO, PO, DPH, MV a ostatné dane aj za zdaňovacie obdobia za roky 2004-2012 (Internet, skenovanie, správa daní) vrátane vyrubenia predpisov a preddavkov z daňových priznaní. </w:t>
      </w:r>
    </w:p>
    <w:p w:rsidR="00A7548A" w:rsidP="00A7548A">
      <w:pPr>
        <w:pStyle w:val="tl"/>
        <w:jc w:val="both"/>
        <w:rPr>
          <w:rFonts w:ascii="Times New Roman" w:hAnsi="Times New Roman" w:cs="Times New Roman"/>
          <w:lang w:bidi="he-IL"/>
        </w:rPr>
      </w:pPr>
    </w:p>
    <w:p w:rsidR="00A7548A" w:rsidP="00A7548A">
      <w:pPr>
        <w:pStyle w:val="tl"/>
        <w:numPr>
          <w:ilvl w:val="0"/>
          <w:numId w:val="31"/>
        </w:numPr>
        <w:jc w:val="both"/>
        <w:rPr>
          <w:rFonts w:ascii="Times New Roman" w:hAnsi="Times New Roman" w:cs="Times New Roman"/>
          <w:lang w:bidi="he-IL"/>
        </w:rPr>
      </w:pPr>
      <w:r>
        <w:rPr>
          <w:rFonts w:ascii="Times New Roman" w:hAnsi="Times New Roman" w:cs="Times New Roman"/>
          <w:lang w:bidi="he-IL"/>
        </w:rPr>
        <w:t>Spracovanie nadmerných odpočtov DPH za roky 2004 -2012.</w:t>
      </w:r>
    </w:p>
    <w:p w:rsidR="00A7548A" w:rsidP="00A7548A">
      <w:pPr>
        <w:pStyle w:val="tl"/>
        <w:jc w:val="both"/>
        <w:rPr>
          <w:rFonts w:ascii="Times New Roman" w:hAnsi="Times New Roman" w:cs="Times New Roman"/>
          <w:lang w:bidi="he-IL"/>
        </w:rPr>
      </w:pPr>
      <w:r>
        <w:rPr>
          <w:rFonts w:ascii="Times New Roman" w:hAnsi="Times New Roman" w:cs="Times New Roman"/>
          <w:lang w:bidi="he-IL"/>
        </w:rPr>
        <w:t xml:space="preserve">            Overenie splnenia podmienok pri nároku na vrátenie, započítanie, overenie úhrady   </w:t>
      </w:r>
    </w:p>
    <w:p w:rsidR="00A7548A" w:rsidP="00A7548A">
      <w:pPr>
        <w:pStyle w:val="tl"/>
        <w:jc w:val="both"/>
        <w:rPr>
          <w:rFonts w:ascii="Times New Roman" w:hAnsi="Times New Roman" w:cs="Times New Roman"/>
          <w:lang w:bidi="he-IL"/>
        </w:rPr>
      </w:pPr>
      <w:r>
        <w:rPr>
          <w:rFonts w:ascii="Times New Roman" w:hAnsi="Times New Roman" w:cs="Times New Roman"/>
          <w:lang w:bidi="he-IL"/>
        </w:rPr>
        <w:t xml:space="preserve">            vrátane skupín DPH. </w:t>
      </w:r>
    </w:p>
    <w:p w:rsidR="00A7548A" w:rsidP="00A7548A">
      <w:pPr>
        <w:pStyle w:val="tl"/>
        <w:ind w:right="91"/>
        <w:jc w:val="both"/>
        <w:rPr>
          <w:rFonts w:ascii="Times New Roman" w:hAnsi="Times New Roman" w:cs="Times New Roman"/>
          <w:lang w:bidi="he-IL"/>
        </w:rPr>
      </w:pPr>
    </w:p>
    <w:p w:rsidR="00A7548A" w:rsidP="00A7548A">
      <w:pPr>
        <w:pStyle w:val="tl"/>
        <w:numPr>
          <w:ilvl w:val="0"/>
          <w:numId w:val="31"/>
        </w:numPr>
        <w:ind w:right="350"/>
        <w:jc w:val="both"/>
        <w:rPr>
          <w:rFonts w:ascii="Times New Roman" w:hAnsi="Times New Roman" w:cs="Times New Roman"/>
          <w:lang w:bidi="he-IL"/>
        </w:rPr>
      </w:pPr>
      <w:r>
        <w:rPr>
          <w:rFonts w:ascii="Times New Roman" w:hAnsi="Times New Roman" w:cs="Times New Roman"/>
          <w:lang w:bidi="he-IL"/>
        </w:rPr>
        <w:t>Prehľad stavu predpisová platieb u subjektov, párovanie úhrad v súlade s legislatívou, odklady, splátky, úľavy, odpustenia, štátna pomoc.</w:t>
      </w:r>
    </w:p>
    <w:p w:rsidR="00A7548A" w:rsidP="00A7548A">
      <w:pPr>
        <w:pStyle w:val="tl"/>
        <w:ind w:left="720" w:right="350"/>
        <w:jc w:val="both"/>
        <w:rPr>
          <w:rFonts w:ascii="Times New Roman" w:hAnsi="Times New Roman" w:cs="Times New Roman"/>
          <w:lang w:bidi="he-IL"/>
        </w:rPr>
      </w:pPr>
      <w:r>
        <w:rPr>
          <w:rFonts w:ascii="Times New Roman" w:hAnsi="Times New Roman" w:cs="Times New Roman"/>
          <w:lang w:bidi="he-IL"/>
        </w:rPr>
        <w:t xml:space="preserve"> </w:t>
      </w:r>
    </w:p>
    <w:p w:rsidR="00A7548A" w:rsidP="00A7548A">
      <w:pPr>
        <w:pStyle w:val="tl"/>
        <w:numPr>
          <w:ilvl w:val="0"/>
          <w:numId w:val="31"/>
        </w:numPr>
        <w:tabs>
          <w:tab w:val="left" w:pos="762"/>
        </w:tabs>
        <w:jc w:val="both"/>
        <w:rPr>
          <w:rFonts w:ascii="Times New Roman" w:hAnsi="Times New Roman" w:cs="Times New Roman"/>
          <w:lang w:bidi="he-IL"/>
        </w:rPr>
      </w:pPr>
      <w:r>
        <w:rPr>
          <w:rFonts w:ascii="Times New Roman" w:hAnsi="Times New Roman" w:cs="Times New Roman"/>
          <w:lang w:bidi="he-IL"/>
        </w:rPr>
        <w:t>Prehľad o stave nedoplatkov a preplatkov daňového subjektu.</w:t>
      </w:r>
    </w:p>
    <w:p w:rsidR="00A7548A" w:rsidP="00A7548A">
      <w:pPr>
        <w:pStyle w:val="tl"/>
        <w:tabs>
          <w:tab w:val="left" w:pos="762"/>
        </w:tabs>
        <w:jc w:val="both"/>
        <w:rPr>
          <w:rFonts w:ascii="Times New Roman" w:hAnsi="Times New Roman" w:cs="Times New Roman"/>
          <w:lang w:bidi="he-IL"/>
        </w:rPr>
      </w:pPr>
      <w:r>
        <w:rPr>
          <w:rFonts w:ascii="Times New Roman" w:hAnsi="Times New Roman" w:cs="Times New Roman"/>
          <w:lang w:bidi="he-IL"/>
        </w:rPr>
        <w:t xml:space="preserve"> </w:t>
      </w:r>
    </w:p>
    <w:p w:rsidR="00A7548A" w:rsidP="00A7548A">
      <w:pPr>
        <w:pStyle w:val="tl"/>
        <w:numPr>
          <w:ilvl w:val="0"/>
          <w:numId w:val="31"/>
        </w:numPr>
        <w:jc w:val="both"/>
        <w:rPr>
          <w:rFonts w:ascii="Times New Roman" w:hAnsi="Times New Roman" w:cs="Times New Roman"/>
          <w:lang w:bidi="he-IL"/>
        </w:rPr>
      </w:pPr>
      <w:r>
        <w:rPr>
          <w:rFonts w:ascii="Times New Roman" w:hAnsi="Times New Roman" w:cs="Times New Roman"/>
          <w:lang w:bidi="he-IL"/>
        </w:rPr>
        <w:t>Preúčtovanie preplatkov a nedoplatkov (vystavenie a spracovanie platobných poukazov).</w:t>
      </w:r>
    </w:p>
    <w:p w:rsidR="00A7548A" w:rsidP="00A7548A">
      <w:pPr>
        <w:pStyle w:val="tl"/>
        <w:jc w:val="both"/>
        <w:rPr>
          <w:rFonts w:ascii="Times New Roman" w:hAnsi="Times New Roman" w:cs="Times New Roman"/>
          <w:lang w:bidi="he-IL"/>
        </w:rPr>
      </w:pPr>
      <w:r>
        <w:rPr>
          <w:rFonts w:ascii="Times New Roman" w:hAnsi="Times New Roman" w:cs="Times New Roman"/>
          <w:lang w:bidi="he-IL"/>
        </w:rPr>
        <w:t xml:space="preserve"> </w:t>
      </w:r>
    </w:p>
    <w:p w:rsidR="00A7548A" w:rsidP="00A7548A">
      <w:pPr>
        <w:pStyle w:val="tl"/>
        <w:numPr>
          <w:ilvl w:val="0"/>
          <w:numId w:val="31"/>
        </w:numPr>
        <w:jc w:val="both"/>
        <w:rPr>
          <w:rFonts w:ascii="Times New Roman" w:hAnsi="Times New Roman" w:cs="Times New Roman"/>
          <w:lang w:bidi="he-IL"/>
        </w:rPr>
      </w:pPr>
      <w:r>
        <w:rPr>
          <w:rFonts w:ascii="Times New Roman" w:hAnsi="Times New Roman" w:cs="Times New Roman"/>
          <w:lang w:bidi="he-IL"/>
        </w:rPr>
        <w:t>Sankcionovanie daňových subjektov z dôvodu nesplnenia povinnosti (sankčný úrok/penále).</w:t>
      </w:r>
    </w:p>
    <w:p w:rsidR="00A7548A" w:rsidP="00A7548A">
      <w:pPr>
        <w:pStyle w:val="tl"/>
        <w:jc w:val="both"/>
        <w:rPr>
          <w:rFonts w:ascii="Times New Roman" w:hAnsi="Times New Roman" w:cs="Times New Roman"/>
          <w:lang w:bidi="he-IL"/>
        </w:rPr>
      </w:pPr>
      <w:r>
        <w:rPr>
          <w:rFonts w:ascii="Times New Roman" w:hAnsi="Times New Roman" w:cs="Times New Roman"/>
          <w:lang w:bidi="he-IL"/>
        </w:rPr>
        <w:t xml:space="preserve"> </w:t>
      </w:r>
    </w:p>
    <w:p w:rsidR="00A7548A" w:rsidP="00A7548A">
      <w:pPr>
        <w:pStyle w:val="tl"/>
        <w:numPr>
          <w:ilvl w:val="0"/>
          <w:numId w:val="31"/>
        </w:numPr>
        <w:ind w:right="225"/>
        <w:jc w:val="both"/>
        <w:rPr>
          <w:rFonts w:ascii="Times New Roman" w:hAnsi="Times New Roman" w:cs="Times New Roman"/>
          <w:lang w:bidi="he-IL"/>
        </w:rPr>
      </w:pPr>
      <w:r>
        <w:rPr>
          <w:rFonts w:ascii="Times New Roman" w:hAnsi="Times New Roman" w:cs="Times New Roman"/>
          <w:lang w:bidi="he-IL"/>
        </w:rPr>
        <w:t>Komunikácia so Štátnou pokladnicou a Slovenskou poštou, spracovanie prevodných príkazov, spracovanie bankových výpisov (staré aj nové účty).</w:t>
      </w:r>
    </w:p>
    <w:p w:rsidR="00A7548A" w:rsidP="00A7548A">
      <w:pPr>
        <w:pStyle w:val="tl"/>
        <w:ind w:right="225"/>
        <w:jc w:val="both"/>
        <w:rPr>
          <w:rFonts w:ascii="Times New Roman" w:hAnsi="Times New Roman" w:cs="Times New Roman"/>
          <w:lang w:bidi="he-IL"/>
        </w:rPr>
      </w:pPr>
      <w:r>
        <w:rPr>
          <w:rFonts w:ascii="Times New Roman" w:hAnsi="Times New Roman" w:cs="Times New Roman"/>
          <w:lang w:bidi="he-IL"/>
        </w:rPr>
        <w:t xml:space="preserve"> </w:t>
      </w:r>
    </w:p>
    <w:p w:rsidR="00A7548A" w:rsidP="00A7548A">
      <w:pPr>
        <w:pStyle w:val="tl"/>
        <w:numPr>
          <w:ilvl w:val="0"/>
          <w:numId w:val="31"/>
        </w:numPr>
        <w:ind w:right="350"/>
        <w:jc w:val="both"/>
        <w:rPr>
          <w:rFonts w:ascii="Times New Roman" w:hAnsi="Times New Roman" w:cs="Times New Roman"/>
          <w:lang w:bidi="he-IL"/>
        </w:rPr>
      </w:pPr>
      <w:r>
        <w:rPr>
          <w:rFonts w:ascii="Times New Roman" w:hAnsi="Times New Roman" w:cs="Times New Roman"/>
          <w:lang w:bidi="he-IL"/>
        </w:rPr>
        <w:t>Spracovanie daňových kontrol- oznámenie o začatí kontroly, dohranie protokolov, dorubov resp. vratiek.</w:t>
      </w:r>
    </w:p>
    <w:p w:rsidR="00A7548A" w:rsidP="00A7548A">
      <w:pPr>
        <w:pStyle w:val="tl"/>
        <w:ind w:right="350"/>
        <w:jc w:val="both"/>
        <w:rPr>
          <w:rFonts w:ascii="Times New Roman" w:hAnsi="Times New Roman" w:cs="Times New Roman"/>
          <w:lang w:bidi="he-IL"/>
        </w:rPr>
      </w:pPr>
      <w:r>
        <w:rPr>
          <w:rFonts w:ascii="Times New Roman" w:hAnsi="Times New Roman" w:cs="Times New Roman"/>
          <w:lang w:bidi="he-IL"/>
        </w:rPr>
        <w:t xml:space="preserve"> </w:t>
      </w:r>
    </w:p>
    <w:p w:rsidR="00A7548A" w:rsidP="00A7548A">
      <w:pPr>
        <w:pStyle w:val="tl"/>
        <w:numPr>
          <w:ilvl w:val="0"/>
          <w:numId w:val="31"/>
        </w:numPr>
        <w:tabs>
          <w:tab w:val="left" w:pos="62"/>
          <w:tab w:val="left" w:pos="811"/>
        </w:tabs>
        <w:jc w:val="both"/>
        <w:rPr>
          <w:rFonts w:ascii="Times New Roman" w:hAnsi="Times New Roman" w:cs="Times New Roman"/>
          <w:lang w:bidi="he-IL"/>
        </w:rPr>
      </w:pPr>
      <w:r>
        <w:rPr>
          <w:rFonts w:ascii="Times New Roman" w:hAnsi="Times New Roman" w:cs="Times New Roman"/>
          <w:lang w:bidi="he-IL"/>
        </w:rPr>
        <w:t>Daňové exekúcie - odstúpenie nedoplatkov, exekučné príkazy, dražby.</w:t>
      </w:r>
    </w:p>
    <w:p w:rsidR="00A7548A" w:rsidP="00A7548A">
      <w:pPr>
        <w:pStyle w:val="tl"/>
        <w:tabs>
          <w:tab w:val="left" w:pos="62"/>
          <w:tab w:val="left" w:pos="811"/>
        </w:tabs>
        <w:jc w:val="both"/>
        <w:rPr>
          <w:rFonts w:ascii="Times New Roman" w:hAnsi="Times New Roman" w:cs="Times New Roman"/>
          <w:lang w:bidi="he-IL"/>
        </w:rPr>
      </w:pPr>
    </w:p>
    <w:p w:rsidR="00A7548A" w:rsidP="00A7548A">
      <w:pPr>
        <w:pStyle w:val="tl"/>
        <w:numPr>
          <w:ilvl w:val="0"/>
          <w:numId w:val="31"/>
        </w:numPr>
        <w:tabs>
          <w:tab w:val="left" w:pos="67"/>
          <w:tab w:val="left" w:pos="709"/>
        </w:tabs>
        <w:jc w:val="both"/>
        <w:rPr>
          <w:rFonts w:ascii="Times New Roman" w:hAnsi="Times New Roman" w:cs="Times New Roman"/>
          <w:lang w:bidi="he-IL"/>
        </w:rPr>
      </w:pPr>
      <w:r>
        <w:rPr>
          <w:rFonts w:ascii="Times New Roman" w:hAnsi="Times New Roman" w:cs="Times New Roman"/>
          <w:lang w:bidi="he-IL"/>
        </w:rPr>
        <w:t>Štátny dozor.</w:t>
      </w:r>
    </w:p>
    <w:p w:rsidR="00A7548A" w:rsidP="00A7548A">
      <w:pPr>
        <w:pStyle w:val="tl"/>
        <w:tabs>
          <w:tab w:val="left" w:pos="67"/>
          <w:tab w:val="left" w:pos="709"/>
        </w:tabs>
        <w:jc w:val="both"/>
        <w:rPr>
          <w:rFonts w:ascii="Times New Roman" w:hAnsi="Times New Roman" w:cs="Times New Roman"/>
          <w:lang w:bidi="he-IL"/>
        </w:rPr>
      </w:pPr>
      <w:r>
        <w:rPr>
          <w:rFonts w:ascii="Times New Roman" w:hAnsi="Times New Roman" w:cs="Times New Roman"/>
          <w:lang w:bidi="he-IL"/>
        </w:rPr>
        <w:t xml:space="preserve"> </w:t>
      </w:r>
    </w:p>
    <w:p w:rsidR="00A7548A" w:rsidP="00A7548A">
      <w:pPr>
        <w:pStyle w:val="tl"/>
        <w:numPr>
          <w:ilvl w:val="0"/>
          <w:numId w:val="31"/>
        </w:numPr>
        <w:tabs>
          <w:tab w:val="left" w:pos="733"/>
        </w:tabs>
        <w:jc w:val="both"/>
        <w:rPr>
          <w:rFonts w:ascii="Times New Roman" w:hAnsi="Times New Roman" w:cs="Times New Roman"/>
          <w:lang w:bidi="he-IL"/>
        </w:rPr>
      </w:pPr>
      <w:r>
        <w:rPr>
          <w:rFonts w:ascii="Times New Roman" w:hAnsi="Times New Roman" w:cs="Times New Roman"/>
          <w:lang w:bidi="he-IL"/>
        </w:rPr>
        <w:t>Správa pokút a poplatkov.</w:t>
      </w:r>
    </w:p>
    <w:p w:rsidR="00A7548A" w:rsidP="00A7548A">
      <w:pPr>
        <w:pStyle w:val="tl"/>
        <w:tabs>
          <w:tab w:val="left" w:pos="733"/>
        </w:tabs>
        <w:jc w:val="both"/>
        <w:rPr>
          <w:rFonts w:ascii="Times New Roman" w:hAnsi="Times New Roman" w:cs="Times New Roman"/>
          <w:lang w:bidi="he-IL"/>
        </w:rPr>
      </w:pPr>
      <w:r>
        <w:rPr>
          <w:rFonts w:ascii="Times New Roman" w:hAnsi="Times New Roman" w:cs="Times New Roman"/>
          <w:lang w:bidi="he-IL"/>
        </w:rPr>
        <w:t xml:space="preserve"> </w:t>
      </w:r>
    </w:p>
    <w:p w:rsidR="00A7548A" w:rsidP="00A7548A">
      <w:pPr>
        <w:pStyle w:val="tl"/>
        <w:numPr>
          <w:ilvl w:val="0"/>
          <w:numId w:val="31"/>
        </w:numPr>
        <w:ind w:right="4"/>
        <w:jc w:val="both"/>
        <w:rPr>
          <w:rFonts w:ascii="Times New Roman" w:hAnsi="Times New Roman" w:cs="Times New Roman"/>
          <w:lang w:bidi="he-IL"/>
        </w:rPr>
      </w:pPr>
      <w:r>
        <w:rPr>
          <w:rFonts w:ascii="Times New Roman" w:hAnsi="Times New Roman" w:cs="Times New Roman"/>
          <w:lang w:bidi="he-IL"/>
        </w:rPr>
        <w:t xml:space="preserve">VIES - poskytovanie údajov zo súhrnných výkazov pre odoslanie do EÚ. </w:t>
      </w:r>
    </w:p>
    <w:p w:rsidR="00A7548A" w:rsidP="00A7548A">
      <w:pPr>
        <w:pStyle w:val="tl"/>
        <w:ind w:right="4"/>
        <w:jc w:val="both"/>
        <w:rPr>
          <w:rFonts w:ascii="Times New Roman" w:hAnsi="Times New Roman" w:cs="Times New Roman"/>
          <w:lang w:bidi="he-IL"/>
        </w:rPr>
      </w:pPr>
      <w:r>
        <w:rPr>
          <w:rFonts w:ascii="Times New Roman" w:hAnsi="Times New Roman" w:cs="Times New Roman"/>
          <w:sz w:val="22"/>
          <w:szCs w:val="22"/>
          <w:lang w:bidi="he-IL"/>
        </w:rPr>
        <w:t xml:space="preserve">        </w:t>
      </w:r>
      <w:r>
        <w:rPr>
          <w:rFonts w:ascii="Times New Roman" w:hAnsi="Times New Roman" w:cs="Times New Roman"/>
          <w:lang w:bidi="he-IL"/>
        </w:rPr>
        <w:t>(potrebné zaslať na konci mesiaca, v ktorom boli dané SV podané - nie sú prvýkrát od roku</w:t>
      </w:r>
    </w:p>
    <w:p w:rsidR="00A7548A" w:rsidP="00A7548A">
      <w:pPr>
        <w:pStyle w:val="tl"/>
        <w:ind w:right="4"/>
        <w:jc w:val="both"/>
        <w:rPr>
          <w:rFonts w:ascii="Times New Roman" w:hAnsi="Times New Roman" w:cs="Times New Roman"/>
          <w:lang w:bidi="he-IL"/>
        </w:rPr>
      </w:pPr>
      <w:r>
        <w:rPr>
          <w:rFonts w:ascii="Times New Roman" w:hAnsi="Times New Roman" w:cs="Times New Roman"/>
          <w:lang w:bidi="he-IL"/>
        </w:rPr>
        <w:t xml:space="preserve">        2004 odoslané).</w:t>
      </w:r>
    </w:p>
    <w:p w:rsidR="00A7548A" w:rsidP="00A7548A">
      <w:pPr>
        <w:pStyle w:val="tl"/>
        <w:ind w:right="4"/>
        <w:jc w:val="both"/>
        <w:rPr>
          <w:rFonts w:ascii="Times New Roman" w:hAnsi="Times New Roman" w:cs="Times New Roman"/>
          <w:lang w:bidi="he-IL"/>
        </w:rPr>
      </w:pPr>
      <w:r>
        <w:rPr>
          <w:rFonts w:ascii="Times New Roman" w:hAnsi="Times New Roman" w:cs="Times New Roman"/>
          <w:lang w:bidi="he-IL"/>
        </w:rPr>
        <w:t xml:space="preserve"> </w:t>
      </w:r>
    </w:p>
    <w:p w:rsidR="00A7548A" w:rsidP="00A7548A">
      <w:pPr>
        <w:pStyle w:val="tl"/>
        <w:numPr>
          <w:ilvl w:val="0"/>
          <w:numId w:val="31"/>
        </w:numPr>
        <w:ind w:right="4"/>
        <w:jc w:val="both"/>
        <w:rPr>
          <w:rFonts w:ascii="Times New Roman" w:hAnsi="Times New Roman" w:cs="Times New Roman"/>
          <w:lang w:bidi="he-IL"/>
        </w:rPr>
      </w:pPr>
      <w:r>
        <w:rPr>
          <w:rFonts w:ascii="Times New Roman" w:hAnsi="Times New Roman" w:cs="Times New Roman"/>
          <w:lang w:bidi="he-IL"/>
        </w:rPr>
        <w:t>VREF (VAT REFUND)- Overenie splnenia podmienok zo žiadosti pre vrátenie DPH z iného členského štátu EÚ daňovníkovi zo SR (automatické resp. miestne zisťovanie) a zabezpečenie odoslania žiadosti do príslušných členských štátov.</w:t>
      </w:r>
    </w:p>
    <w:p w:rsidR="00A7548A" w:rsidP="00A7548A">
      <w:pPr>
        <w:pStyle w:val="tl"/>
        <w:ind w:left="720" w:right="4"/>
        <w:jc w:val="both"/>
        <w:rPr>
          <w:rFonts w:ascii="Times New Roman" w:hAnsi="Times New Roman" w:cs="Times New Roman"/>
          <w:lang w:bidi="he-IL"/>
        </w:rPr>
      </w:pPr>
      <w:r>
        <w:rPr>
          <w:rFonts w:ascii="Times New Roman" w:hAnsi="Times New Roman" w:cs="Times New Roman"/>
          <w:lang w:bidi="he-IL"/>
        </w:rPr>
        <w:t xml:space="preserve"> </w:t>
      </w:r>
    </w:p>
    <w:p w:rsidR="00A7548A" w:rsidP="00A7548A">
      <w:pPr>
        <w:pStyle w:val="tl"/>
        <w:numPr>
          <w:ilvl w:val="0"/>
          <w:numId w:val="31"/>
        </w:numPr>
        <w:jc w:val="both"/>
        <w:rPr>
          <w:rFonts w:ascii="Times New Roman" w:hAnsi="Times New Roman" w:cs="Times New Roman"/>
          <w:lang w:bidi="he-IL"/>
        </w:rPr>
      </w:pPr>
      <w:r>
        <w:rPr>
          <w:rFonts w:ascii="Times New Roman" w:hAnsi="Times New Roman" w:cs="Times New Roman"/>
          <w:lang w:bidi="he-IL"/>
        </w:rPr>
        <w:t xml:space="preserve">Spracovanie došlých žiadosti na vrátenie DPH (VREF) z iných členských štátov s realizáciou platobného poukazu na vrátenie do zahraničia. </w:t>
      </w:r>
    </w:p>
    <w:p w:rsidR="00A7548A" w:rsidP="00A7548A">
      <w:pPr>
        <w:pStyle w:val="tl"/>
        <w:ind w:left="6480"/>
        <w:jc w:val="both"/>
        <w:rPr>
          <w:rFonts w:ascii="Times New Roman" w:hAnsi="Times New Roman" w:cs="Times New Roman"/>
          <w:w w:val="126"/>
          <w:lang w:bidi="he-IL"/>
        </w:rPr>
      </w:pPr>
      <w:r>
        <w:rPr>
          <w:rFonts w:ascii="Times New Roman" w:hAnsi="Times New Roman" w:cs="Times New Roman"/>
          <w:w w:val="126"/>
          <w:lang w:bidi="he-IL"/>
        </w:rPr>
        <w:t xml:space="preserve"> </w:t>
      </w:r>
    </w:p>
    <w:p w:rsidR="00A7548A" w:rsidP="00A7548A">
      <w:pPr>
        <w:pStyle w:val="tl"/>
        <w:numPr>
          <w:ilvl w:val="0"/>
          <w:numId w:val="31"/>
        </w:numPr>
        <w:tabs>
          <w:tab w:val="left" w:pos="124"/>
          <w:tab w:val="left" w:pos="873"/>
        </w:tabs>
        <w:jc w:val="both"/>
        <w:rPr>
          <w:rFonts w:ascii="Times New Roman" w:hAnsi="Times New Roman" w:cs="Times New Roman"/>
          <w:lang w:bidi="he-IL"/>
        </w:rPr>
      </w:pPr>
      <w:r>
        <w:rPr>
          <w:rFonts w:ascii="Times New Roman" w:hAnsi="Times New Roman" w:cs="Times New Roman"/>
          <w:lang w:bidi="he-IL"/>
        </w:rPr>
        <w:t xml:space="preserve">Poskytovanie údajov iným systémom - ISK, DWH, eTax, VREF, VIES </w:t>
      </w:r>
    </w:p>
    <w:p w:rsidR="00A7548A" w:rsidP="00A7548A">
      <w:pPr>
        <w:pStyle w:val="tl"/>
        <w:numPr>
          <w:ilvl w:val="0"/>
          <w:numId w:val="31"/>
        </w:numPr>
        <w:tabs>
          <w:tab w:val="left" w:pos="129"/>
          <w:tab w:val="left" w:pos="873"/>
        </w:tabs>
        <w:jc w:val="both"/>
        <w:rPr>
          <w:sz w:val="25"/>
          <w:szCs w:val="25"/>
          <w:lang w:bidi="he-IL"/>
        </w:rPr>
      </w:pPr>
      <w:r>
        <w:rPr>
          <w:rFonts w:ascii="Times New Roman" w:hAnsi="Times New Roman" w:cs="Times New Roman"/>
          <w:lang w:bidi="he-IL"/>
        </w:rPr>
        <w:t xml:space="preserve">Spracovanie kompletnej daňovej agendy do 31.12.2011 </w:t>
      </w:r>
    </w:p>
    <w:p w:rsidR="00E13FFC" w:rsidP="00E13FFC">
      <w:pPr>
        <w:jc w:val="both"/>
      </w:pPr>
    </w:p>
    <w:p w:rsidR="00E13FFC" w:rsidP="00E13FFC">
      <w:pPr>
        <w:jc w:val="both"/>
      </w:pPr>
    </w:p>
    <w:p w:rsidR="00BA492B" w:rsidP="00E13FFC">
      <w:pPr>
        <w:jc w:val="both"/>
      </w:pPr>
    </w:p>
    <w:p w:rsidR="00BA492B" w:rsidP="00E13FFC">
      <w:pPr>
        <w:jc w:val="both"/>
      </w:pPr>
    </w:p>
    <w:p w:rsidR="00BA492B" w:rsidP="00E13FFC">
      <w:pPr>
        <w:jc w:val="both"/>
      </w:pPr>
    </w:p>
    <w:p w:rsidR="00BA492B" w:rsidP="00E13FFC">
      <w:pPr>
        <w:jc w:val="both"/>
      </w:pPr>
    </w:p>
    <w:p w:rsidR="00BA492B" w:rsidP="00E13FFC">
      <w:pPr>
        <w:jc w:val="both"/>
      </w:pPr>
    </w:p>
    <w:p w:rsidR="00BA492B" w:rsidP="00E13FFC">
      <w:pPr>
        <w:jc w:val="both"/>
      </w:pPr>
    </w:p>
    <w:p w:rsidR="00BA492B" w:rsidP="00E13FFC">
      <w:pPr>
        <w:jc w:val="both"/>
      </w:pPr>
    </w:p>
    <w:p w:rsidR="00BA492B" w:rsidP="00E13FFC">
      <w:pPr>
        <w:jc w:val="both"/>
      </w:pPr>
    </w:p>
    <w:p w:rsidR="00BA492B" w:rsidP="00E13FFC">
      <w:pPr>
        <w:jc w:val="both"/>
      </w:pPr>
    </w:p>
    <w:p w:rsidR="00BA492B" w:rsidP="00E13FFC">
      <w:pPr>
        <w:jc w:val="both"/>
      </w:pPr>
    </w:p>
    <w:p w:rsidR="00BA492B" w:rsidP="00E13FFC">
      <w:pPr>
        <w:jc w:val="both"/>
      </w:pPr>
    </w:p>
    <w:p w:rsidR="00BA492B" w:rsidP="00E13FFC">
      <w:pPr>
        <w:jc w:val="both"/>
      </w:pPr>
    </w:p>
    <w:p w:rsidR="00BA492B" w:rsidP="00E13FFC">
      <w:pPr>
        <w:jc w:val="both"/>
      </w:pPr>
    </w:p>
    <w:p w:rsidR="00BA492B" w:rsidP="00E13FFC">
      <w:pPr>
        <w:jc w:val="both"/>
      </w:pPr>
    </w:p>
    <w:p w:rsidR="00BA492B" w:rsidP="00E13FFC">
      <w:pPr>
        <w:jc w:val="both"/>
      </w:pPr>
    </w:p>
    <w:p w:rsidR="00BA492B" w:rsidP="00E13FFC">
      <w:pPr>
        <w:jc w:val="both"/>
      </w:pPr>
    </w:p>
    <w:p w:rsidR="00BA492B" w:rsidP="00E13FFC">
      <w:pPr>
        <w:jc w:val="both"/>
      </w:pPr>
    </w:p>
    <w:p w:rsidR="00BA492B" w:rsidP="00E13FFC">
      <w:pPr>
        <w:jc w:val="both"/>
      </w:pPr>
    </w:p>
    <w:p w:rsidR="00BA492B" w:rsidP="00E13FFC">
      <w:pPr>
        <w:jc w:val="both"/>
      </w:pPr>
    </w:p>
    <w:p w:rsidR="00BA492B" w:rsidP="00E13FFC">
      <w:pPr>
        <w:jc w:val="both"/>
      </w:pPr>
    </w:p>
    <w:p w:rsidR="00BA492B" w:rsidP="00E13FFC">
      <w:pPr>
        <w:jc w:val="both"/>
      </w:pPr>
    </w:p>
    <w:p w:rsidR="00BA492B" w:rsidP="00E13FFC">
      <w:pPr>
        <w:jc w:val="both"/>
      </w:pPr>
    </w:p>
    <w:p w:rsidR="00BA492B" w:rsidP="00E13FFC">
      <w:pPr>
        <w:jc w:val="both"/>
      </w:pPr>
    </w:p>
    <w:p w:rsidR="00BA492B" w:rsidP="00E13FFC">
      <w:pPr>
        <w:jc w:val="both"/>
      </w:pPr>
    </w:p>
    <w:p w:rsidR="00BA492B" w:rsidP="00E13FFC">
      <w:pPr>
        <w:jc w:val="both"/>
      </w:pPr>
    </w:p>
    <w:p w:rsidR="00BA492B" w:rsidP="00E13FFC">
      <w:pPr>
        <w:jc w:val="both"/>
      </w:pPr>
    </w:p>
    <w:p w:rsidR="00BA492B" w:rsidP="00E13FFC">
      <w:pPr>
        <w:jc w:val="both"/>
      </w:pPr>
    </w:p>
    <w:p w:rsidR="00BA492B" w:rsidP="00E13FFC">
      <w:pPr>
        <w:jc w:val="both"/>
      </w:pPr>
    </w:p>
    <w:p w:rsidR="00BA492B" w:rsidP="00E13FFC">
      <w:pPr>
        <w:jc w:val="both"/>
      </w:pPr>
    </w:p>
    <w:p w:rsidR="00BA492B" w:rsidP="00E13FFC">
      <w:pPr>
        <w:jc w:val="both"/>
      </w:pPr>
    </w:p>
    <w:p w:rsidR="00BA492B" w:rsidP="00E13FFC">
      <w:pPr>
        <w:jc w:val="both"/>
      </w:pPr>
    </w:p>
    <w:p w:rsidR="00BA492B" w:rsidP="00E13FFC">
      <w:pPr>
        <w:jc w:val="both"/>
      </w:pPr>
    </w:p>
    <w:p w:rsidR="00BA492B" w:rsidP="00E13FFC">
      <w:pPr>
        <w:jc w:val="both"/>
      </w:pPr>
    </w:p>
    <w:p w:rsidR="00BA492B" w:rsidP="00E13FFC">
      <w:pPr>
        <w:jc w:val="both"/>
      </w:pPr>
    </w:p>
    <w:p w:rsidR="00BA492B" w:rsidP="00E13FFC">
      <w:pPr>
        <w:jc w:val="both"/>
      </w:pPr>
    </w:p>
    <w:p w:rsidR="00BA492B" w:rsidP="00E13FFC">
      <w:pPr>
        <w:jc w:val="both"/>
      </w:pPr>
    </w:p>
    <w:p w:rsidR="00BA492B" w:rsidP="00E13FFC">
      <w:pPr>
        <w:jc w:val="both"/>
      </w:pPr>
    </w:p>
    <w:p w:rsidR="00BA492B" w:rsidP="00E13FFC">
      <w:pPr>
        <w:jc w:val="both"/>
      </w:pPr>
    </w:p>
    <w:p w:rsidR="00BA492B" w:rsidP="00E13FFC">
      <w:pPr>
        <w:jc w:val="both"/>
      </w:pPr>
    </w:p>
    <w:p w:rsidR="00BA492B" w:rsidP="00E13FFC">
      <w:pPr>
        <w:jc w:val="both"/>
      </w:pPr>
    </w:p>
    <w:p w:rsidR="00BE7117" w:rsidRPr="00BE7117" w:rsidP="00E13FFC">
      <w:pPr>
        <w:jc w:val="both"/>
        <w:rPr>
          <w:b/>
          <w:u w:val="single"/>
        </w:rPr>
      </w:pPr>
      <w:r w:rsidRPr="00BE7117">
        <w:rPr>
          <w:b/>
          <w:u w:val="single"/>
        </w:rPr>
        <w:t xml:space="preserve">Zmena (skrátené znenie) </w:t>
        <w:tab/>
        <w:t xml:space="preserve">          Dopad </w:t>
        <w:tab/>
        <w:t xml:space="preserve">                                          Otvorená otázka</w:t>
      </w:r>
    </w:p>
    <w:p w:rsidR="00BE7117" w:rsidRPr="00BE7117" w:rsidP="00E13FFC">
      <w:pPr>
        <w:jc w:val="both"/>
        <w:rPr>
          <w:b/>
        </w:rPr>
      </w:pPr>
    </w:p>
    <w:p w:rsidR="00BE7117" w:rsidP="00E13FFC">
      <w:pPr>
        <w:jc w:val="both"/>
      </w:pPr>
    </w:p>
    <w:tbl>
      <w:tblPr>
        <w:tblStyle w:val="TableNormal"/>
        <w:tblW w:w="10546" w:type="dxa"/>
        <w:tblInd w:w="5" w:type="dxa"/>
        <w:tblLayout w:type="fixed"/>
        <w:tblCellMar>
          <w:left w:w="0" w:type="dxa"/>
          <w:right w:w="0" w:type="dxa"/>
        </w:tblCellMar>
        <w:tblLook w:val="0000"/>
      </w:tblPr>
      <w:tblGrid>
        <w:gridCol w:w="3114"/>
        <w:gridCol w:w="3544"/>
        <w:gridCol w:w="2451"/>
        <w:gridCol w:w="1417"/>
        <w:gridCol w:w="20"/>
      </w:tblGrid>
      <w:tr w:rsidTr="00BE7117">
        <w:tblPrEx>
          <w:tblW w:w="10546" w:type="dxa"/>
          <w:tblInd w:w="5" w:type="dxa"/>
          <w:tblLayout w:type="fixed"/>
          <w:tblCellMar>
            <w:left w:w="0" w:type="dxa"/>
            <w:right w:w="0" w:type="dxa"/>
          </w:tblCellMar>
          <w:tblLook w:val="0000"/>
        </w:tblPrEx>
        <w:trPr>
          <w:trHeight w:val="305"/>
        </w:trPr>
        <w:tc>
          <w:tcPr>
            <w:tcW w:w="3114" w:type="dxa"/>
          </w:tcPr>
          <w:p w:rsidR="00BE7117" w:rsidP="00BE7117">
            <w:pPr>
              <w:pStyle w:val="tl"/>
              <w:ind w:left="119"/>
              <w:rPr>
                <w:rFonts w:ascii="Times New Roman" w:hAnsi="Times New Roman" w:cs="Times New Roman"/>
                <w:sz w:val="22"/>
                <w:szCs w:val="22"/>
                <w:lang w:bidi="he-IL"/>
              </w:rPr>
            </w:pPr>
            <w:r w:rsidRPr="00BE7117">
              <w:rPr>
                <w:rFonts w:ascii="Times New Roman" w:hAnsi="Times New Roman" w:cs="Times New Roman"/>
                <w:sz w:val="22"/>
                <w:szCs w:val="22"/>
                <w:lang w:bidi="he-IL"/>
              </w:rPr>
              <w:t xml:space="preserve">Bod 6.1. ... povinnosť </w:t>
            </w:r>
          </w:p>
          <w:p w:rsidR="00BE7117" w:rsidRPr="00BE7117" w:rsidP="00BE7117">
            <w:pPr>
              <w:pStyle w:val="tl"/>
              <w:ind w:left="119"/>
              <w:rPr>
                <w:rFonts w:ascii="Times New Roman" w:hAnsi="Times New Roman" w:cs="Times New Roman"/>
                <w:sz w:val="22"/>
                <w:szCs w:val="22"/>
                <w:lang w:bidi="he-IL"/>
              </w:rPr>
            </w:pPr>
            <w:r w:rsidRPr="00BE7117">
              <w:rPr>
                <w:rFonts w:ascii="Times New Roman" w:hAnsi="Times New Roman" w:cs="Times New Roman"/>
                <w:sz w:val="22"/>
                <w:szCs w:val="22"/>
                <w:lang w:bidi="he-IL"/>
              </w:rPr>
              <w:t xml:space="preserve">informovať </w:t>
            </w:r>
          </w:p>
        </w:tc>
        <w:tc>
          <w:tcPr>
            <w:tcW w:w="3544" w:type="dxa"/>
          </w:tcPr>
          <w:p w:rsidR="00BE7117" w:rsidRPr="00BE7117" w:rsidP="00BE7117">
            <w:pPr>
              <w:pStyle w:val="tl"/>
              <w:ind w:left="113"/>
              <w:rPr>
                <w:rFonts w:ascii="Times New Roman" w:hAnsi="Times New Roman" w:cs="Times New Roman"/>
                <w:sz w:val="22"/>
                <w:szCs w:val="22"/>
                <w:lang w:bidi="he-IL"/>
              </w:rPr>
            </w:pPr>
            <w:r w:rsidRPr="00BE7117">
              <w:rPr>
                <w:rFonts w:ascii="Times New Roman" w:hAnsi="Times New Roman" w:cs="Times New Roman"/>
                <w:sz w:val="22"/>
                <w:szCs w:val="22"/>
                <w:lang w:bidi="he-IL"/>
              </w:rPr>
              <w:t xml:space="preserve">MF musí nahlásiť do 1.11.2011 </w:t>
            </w:r>
          </w:p>
        </w:tc>
        <w:tc>
          <w:tcPr>
            <w:tcW w:w="3888" w:type="dxa"/>
            <w:gridSpan w:val="3"/>
          </w:tcPr>
          <w:p w:rsidR="00BE7117" w:rsidP="00BE7117">
            <w:pPr>
              <w:pStyle w:val="tl"/>
              <w:spacing w:line="360" w:lineRule="auto"/>
              <w:ind w:left="96"/>
              <w:rPr>
                <w:rFonts w:ascii="Times New Roman" w:hAnsi="Times New Roman" w:cs="Times New Roman"/>
                <w:b/>
                <w:lang w:bidi="he-IL"/>
              </w:rPr>
            </w:pPr>
            <w:r w:rsidRPr="00BE7117">
              <w:rPr>
                <w:rFonts w:ascii="Times New Roman" w:hAnsi="Times New Roman" w:cs="Times New Roman"/>
                <w:b/>
                <w:lang w:bidi="he-IL"/>
              </w:rPr>
              <w:t xml:space="preserve">Oznámilo MF </w:t>
            </w:r>
          </w:p>
          <w:p w:rsidR="00BE7117" w:rsidRPr="00BE7117" w:rsidP="00BE7117">
            <w:pPr>
              <w:pStyle w:val="tl"/>
              <w:spacing w:line="360" w:lineRule="auto"/>
              <w:ind w:left="96"/>
              <w:rPr>
                <w:rFonts w:ascii="Times New Roman" w:hAnsi="Times New Roman" w:cs="Times New Roman"/>
                <w:b/>
                <w:lang w:bidi="he-IL"/>
              </w:rPr>
            </w:pPr>
            <w:r w:rsidRPr="00BE7117">
              <w:rPr>
                <w:rFonts w:ascii="Times New Roman" w:hAnsi="Times New Roman" w:cs="Times New Roman"/>
                <w:b/>
                <w:lang w:bidi="he-IL"/>
              </w:rPr>
              <w:t xml:space="preserve">nezabezpečenie </w:t>
            </w:r>
          </w:p>
        </w:tc>
      </w:tr>
      <w:tr w:rsidTr="00BE7117">
        <w:tblPrEx>
          <w:tblW w:w="10546" w:type="dxa"/>
          <w:tblInd w:w="5" w:type="dxa"/>
          <w:tblLayout w:type="fixed"/>
          <w:tblCellMar>
            <w:left w:w="0" w:type="dxa"/>
            <w:right w:w="0" w:type="dxa"/>
          </w:tblCellMar>
          <w:tblLook w:val="0000"/>
        </w:tblPrEx>
        <w:trPr>
          <w:gridAfter w:val="1"/>
          <w:wAfter w:w="20" w:type="dxa"/>
          <w:trHeight w:val="171"/>
        </w:trPr>
        <w:tc>
          <w:tcPr>
            <w:tcW w:w="3114" w:type="dxa"/>
          </w:tcPr>
          <w:p w:rsidR="00BE7117" w:rsidRPr="00BE7117" w:rsidP="00BE7117">
            <w:pPr>
              <w:pStyle w:val="tl"/>
              <w:ind w:left="119"/>
              <w:rPr>
                <w:rFonts w:ascii="Times New Roman" w:hAnsi="Times New Roman" w:cs="Times New Roman"/>
                <w:sz w:val="22"/>
                <w:szCs w:val="22"/>
                <w:lang w:bidi="he-IL"/>
              </w:rPr>
            </w:pPr>
            <w:r w:rsidRPr="00BE7117">
              <w:rPr>
                <w:rFonts w:ascii="Times New Roman" w:hAnsi="Times New Roman" w:cs="Times New Roman"/>
                <w:sz w:val="22"/>
                <w:szCs w:val="22"/>
                <w:lang w:bidi="he-IL"/>
              </w:rPr>
              <w:t xml:space="preserve">o prípadnom nezabezpečení </w:t>
            </w:r>
          </w:p>
        </w:tc>
        <w:tc>
          <w:tcPr>
            <w:tcW w:w="3544" w:type="dxa"/>
          </w:tcPr>
          <w:p w:rsidR="00BE7117" w:rsidRPr="00BE7117" w:rsidP="00BE7117">
            <w:pPr>
              <w:pStyle w:val="tl"/>
              <w:ind w:left="113"/>
              <w:rPr>
                <w:rFonts w:ascii="Times New Roman" w:hAnsi="Times New Roman" w:cs="Times New Roman"/>
                <w:sz w:val="22"/>
                <w:szCs w:val="22"/>
                <w:lang w:bidi="he-IL"/>
              </w:rPr>
            </w:pPr>
            <w:r w:rsidRPr="00BE7117">
              <w:rPr>
                <w:rFonts w:ascii="Times New Roman" w:hAnsi="Times New Roman" w:cs="Times New Roman"/>
                <w:sz w:val="22"/>
                <w:szCs w:val="22"/>
                <w:lang w:bidi="he-IL"/>
              </w:rPr>
              <w:t xml:space="preserve">prípadné nezabezpečenie </w:t>
            </w:r>
          </w:p>
        </w:tc>
        <w:tc>
          <w:tcPr>
            <w:tcW w:w="3868" w:type="dxa"/>
            <w:gridSpan w:val="2"/>
          </w:tcPr>
          <w:p w:rsidR="00BE7117" w:rsidRPr="00BE7117" w:rsidP="00BE7117">
            <w:pPr>
              <w:pStyle w:val="tl"/>
              <w:spacing w:line="360" w:lineRule="auto"/>
              <w:ind w:left="91"/>
              <w:rPr>
                <w:rFonts w:ascii="Times New Roman" w:hAnsi="Times New Roman" w:cs="Times New Roman"/>
                <w:b/>
                <w:lang w:bidi="he-IL"/>
              </w:rPr>
            </w:pPr>
            <w:r w:rsidRPr="00BE7117">
              <w:rPr>
                <w:rFonts w:ascii="Times New Roman" w:hAnsi="Times New Roman" w:cs="Times New Roman"/>
                <w:b/>
                <w:lang w:bidi="he-IL"/>
              </w:rPr>
              <w:t xml:space="preserve">financovania? </w:t>
            </w:r>
          </w:p>
        </w:tc>
      </w:tr>
      <w:tr w:rsidTr="00BE7117">
        <w:tblPrEx>
          <w:tblW w:w="10546" w:type="dxa"/>
          <w:tblInd w:w="5" w:type="dxa"/>
          <w:tblLayout w:type="fixed"/>
          <w:tblCellMar>
            <w:left w:w="0" w:type="dxa"/>
            <w:right w:w="0" w:type="dxa"/>
          </w:tblCellMar>
          <w:tblLook w:val="0000"/>
        </w:tblPrEx>
        <w:trPr>
          <w:gridAfter w:val="2"/>
          <w:wAfter w:w="1437" w:type="dxa"/>
          <w:trHeight w:val="289"/>
        </w:trPr>
        <w:tc>
          <w:tcPr>
            <w:tcW w:w="3114" w:type="dxa"/>
          </w:tcPr>
          <w:p w:rsidR="00BE7117" w:rsidRPr="00BE7117" w:rsidP="00BE7117">
            <w:pPr>
              <w:pStyle w:val="tl"/>
              <w:ind w:left="119"/>
              <w:rPr>
                <w:rFonts w:ascii="Times New Roman" w:hAnsi="Times New Roman" w:cs="Times New Roman"/>
                <w:sz w:val="22"/>
                <w:szCs w:val="22"/>
                <w:lang w:bidi="he-IL"/>
              </w:rPr>
            </w:pPr>
            <w:r w:rsidRPr="00BE7117">
              <w:rPr>
                <w:rFonts w:ascii="Times New Roman" w:hAnsi="Times New Roman" w:cs="Times New Roman"/>
                <w:sz w:val="22"/>
                <w:szCs w:val="22"/>
                <w:lang w:bidi="he-IL"/>
              </w:rPr>
              <w:t xml:space="preserve">financovania projektu. </w:t>
            </w:r>
          </w:p>
        </w:tc>
        <w:tc>
          <w:tcPr>
            <w:tcW w:w="3544" w:type="dxa"/>
          </w:tcPr>
          <w:p w:rsidR="00BE7117" w:rsidRPr="00BE7117" w:rsidP="00BE7117">
            <w:pPr>
              <w:pStyle w:val="tl"/>
              <w:ind w:left="113"/>
              <w:rPr>
                <w:rFonts w:ascii="Times New Roman" w:hAnsi="Times New Roman" w:cs="Times New Roman"/>
                <w:sz w:val="22"/>
                <w:szCs w:val="22"/>
                <w:lang w:bidi="he-IL"/>
              </w:rPr>
            </w:pPr>
            <w:r w:rsidRPr="00BE7117">
              <w:rPr>
                <w:rFonts w:ascii="Times New Roman" w:hAnsi="Times New Roman" w:cs="Times New Roman"/>
                <w:sz w:val="22"/>
                <w:szCs w:val="22"/>
                <w:lang w:bidi="he-IL"/>
              </w:rPr>
              <w:t xml:space="preserve">financovania. Objednávateľ </w:t>
            </w:r>
          </w:p>
        </w:tc>
        <w:tc>
          <w:tcPr>
            <w:tcW w:w="2451" w:type="dxa"/>
          </w:tcPr>
          <w:p w:rsidR="00BE7117" w:rsidRPr="00405D1C" w:rsidP="00BE7117">
            <w:pPr>
              <w:pStyle w:val="tl"/>
              <w:spacing w:line="360" w:lineRule="auto"/>
              <w:rPr>
                <w:rFonts w:ascii="Times New Roman" w:hAnsi="Times New Roman" w:cs="Times New Roman"/>
                <w:lang w:bidi="he-IL"/>
              </w:rPr>
            </w:pPr>
          </w:p>
        </w:tc>
      </w:tr>
      <w:tr w:rsidTr="00BE7117">
        <w:tblPrEx>
          <w:tblW w:w="10546" w:type="dxa"/>
          <w:tblInd w:w="5" w:type="dxa"/>
          <w:tblLayout w:type="fixed"/>
          <w:tblCellMar>
            <w:left w:w="0" w:type="dxa"/>
            <w:right w:w="0" w:type="dxa"/>
          </w:tblCellMar>
          <w:tblLook w:val="0000"/>
        </w:tblPrEx>
        <w:trPr>
          <w:gridAfter w:val="2"/>
          <w:wAfter w:w="1437" w:type="dxa"/>
          <w:trHeight w:val="279"/>
        </w:trPr>
        <w:tc>
          <w:tcPr>
            <w:tcW w:w="3114" w:type="dxa"/>
          </w:tcPr>
          <w:p w:rsidR="00BE7117" w:rsidRPr="00BE7117" w:rsidP="00160830">
            <w:pPr>
              <w:pStyle w:val="tl"/>
              <w:rPr>
                <w:rFonts w:ascii="Times New Roman" w:hAnsi="Times New Roman" w:cs="Times New Roman"/>
                <w:sz w:val="22"/>
                <w:szCs w:val="22"/>
              </w:rPr>
            </w:pPr>
          </w:p>
        </w:tc>
        <w:tc>
          <w:tcPr>
            <w:tcW w:w="3544" w:type="dxa"/>
          </w:tcPr>
          <w:p w:rsidR="00BE7117" w:rsidRPr="00BE7117" w:rsidP="00BE7117">
            <w:pPr>
              <w:pStyle w:val="tl"/>
              <w:ind w:left="113"/>
              <w:rPr>
                <w:rFonts w:ascii="Times New Roman" w:hAnsi="Times New Roman" w:cs="Times New Roman"/>
                <w:sz w:val="22"/>
                <w:szCs w:val="22"/>
                <w:lang w:bidi="he-IL"/>
              </w:rPr>
            </w:pPr>
            <w:r w:rsidRPr="00BE7117">
              <w:rPr>
                <w:rFonts w:ascii="Times New Roman" w:hAnsi="Times New Roman" w:cs="Times New Roman"/>
                <w:sz w:val="22"/>
                <w:szCs w:val="22"/>
                <w:lang w:bidi="he-IL"/>
              </w:rPr>
              <w:t xml:space="preserve">potom nebude povinný odobrať </w:t>
            </w:r>
          </w:p>
        </w:tc>
        <w:tc>
          <w:tcPr>
            <w:tcW w:w="2451" w:type="dxa"/>
          </w:tcPr>
          <w:p w:rsidR="00BE7117" w:rsidRPr="00405D1C" w:rsidP="00160830">
            <w:pPr>
              <w:pStyle w:val="tl"/>
              <w:rPr>
                <w:rFonts w:ascii="Times New Roman" w:hAnsi="Times New Roman" w:cs="Times New Roman"/>
                <w:lang w:bidi="he-IL"/>
              </w:rPr>
            </w:pPr>
          </w:p>
        </w:tc>
      </w:tr>
      <w:tr w:rsidTr="00BE7117">
        <w:tblPrEx>
          <w:tblW w:w="10546" w:type="dxa"/>
          <w:tblInd w:w="5" w:type="dxa"/>
          <w:tblLayout w:type="fixed"/>
          <w:tblCellMar>
            <w:left w:w="0" w:type="dxa"/>
            <w:right w:w="0" w:type="dxa"/>
          </w:tblCellMar>
          <w:tblLook w:val="0000"/>
        </w:tblPrEx>
        <w:trPr>
          <w:gridAfter w:val="2"/>
          <w:wAfter w:w="1437" w:type="dxa"/>
          <w:trHeight w:val="283"/>
        </w:trPr>
        <w:tc>
          <w:tcPr>
            <w:tcW w:w="3114" w:type="dxa"/>
          </w:tcPr>
          <w:p w:rsidR="00BE7117" w:rsidRPr="00BE7117" w:rsidP="00160830">
            <w:pPr>
              <w:pStyle w:val="tl"/>
              <w:rPr>
                <w:rFonts w:ascii="Times New Roman" w:hAnsi="Times New Roman" w:cs="Times New Roman"/>
                <w:sz w:val="22"/>
                <w:szCs w:val="22"/>
              </w:rPr>
            </w:pPr>
          </w:p>
        </w:tc>
        <w:tc>
          <w:tcPr>
            <w:tcW w:w="3544" w:type="dxa"/>
          </w:tcPr>
          <w:p w:rsidR="00BE7117" w:rsidRPr="00BE7117" w:rsidP="00BE7117">
            <w:pPr>
              <w:pStyle w:val="tl"/>
              <w:ind w:left="113"/>
              <w:rPr>
                <w:rFonts w:ascii="Times New Roman" w:hAnsi="Times New Roman" w:cs="Times New Roman"/>
                <w:sz w:val="22"/>
                <w:szCs w:val="22"/>
                <w:lang w:bidi="he-IL"/>
              </w:rPr>
            </w:pPr>
            <w:r w:rsidRPr="00BE7117">
              <w:rPr>
                <w:rFonts w:ascii="Times New Roman" w:hAnsi="Times New Roman" w:cs="Times New Roman"/>
                <w:sz w:val="22"/>
                <w:szCs w:val="22"/>
                <w:lang w:bidi="he-IL"/>
              </w:rPr>
              <w:t xml:space="preserve">plnenia podľa zmluvy. </w:t>
            </w:r>
          </w:p>
        </w:tc>
        <w:tc>
          <w:tcPr>
            <w:tcW w:w="2451" w:type="dxa"/>
          </w:tcPr>
          <w:p w:rsidR="00BE7117" w:rsidRPr="00405D1C" w:rsidP="00160830">
            <w:pPr>
              <w:pStyle w:val="tl"/>
              <w:rPr>
                <w:rFonts w:ascii="Times New Roman" w:hAnsi="Times New Roman" w:cs="Times New Roman"/>
                <w:lang w:bidi="he-IL"/>
              </w:rPr>
            </w:pPr>
          </w:p>
        </w:tc>
      </w:tr>
      <w:tr w:rsidTr="00BE7117">
        <w:tblPrEx>
          <w:tblW w:w="10546" w:type="dxa"/>
          <w:tblInd w:w="5" w:type="dxa"/>
          <w:tblLayout w:type="fixed"/>
          <w:tblCellMar>
            <w:left w:w="0" w:type="dxa"/>
            <w:right w:w="0" w:type="dxa"/>
          </w:tblCellMar>
          <w:tblLook w:val="0000"/>
        </w:tblPrEx>
        <w:trPr>
          <w:gridAfter w:val="2"/>
          <w:wAfter w:w="1437" w:type="dxa"/>
          <w:trHeight w:val="287"/>
        </w:trPr>
        <w:tc>
          <w:tcPr>
            <w:tcW w:w="3114" w:type="dxa"/>
          </w:tcPr>
          <w:p w:rsidR="00BE7117" w:rsidRPr="00BE7117" w:rsidP="00160830">
            <w:pPr>
              <w:pStyle w:val="tl"/>
              <w:rPr>
                <w:rFonts w:ascii="Times New Roman" w:hAnsi="Times New Roman" w:cs="Times New Roman"/>
                <w:sz w:val="22"/>
                <w:szCs w:val="22"/>
              </w:rPr>
            </w:pPr>
          </w:p>
        </w:tc>
        <w:tc>
          <w:tcPr>
            <w:tcW w:w="3544" w:type="dxa"/>
          </w:tcPr>
          <w:p w:rsidR="00BE7117" w:rsidRPr="00BE7117" w:rsidP="00BE7117">
            <w:pPr>
              <w:pStyle w:val="tl"/>
              <w:ind w:left="113"/>
              <w:rPr>
                <w:rFonts w:ascii="Times New Roman" w:hAnsi="Times New Roman" w:cs="Times New Roman"/>
                <w:sz w:val="22"/>
                <w:szCs w:val="22"/>
                <w:lang w:bidi="he-IL"/>
              </w:rPr>
            </w:pPr>
            <w:r w:rsidRPr="00BE7117">
              <w:rPr>
                <w:rFonts w:ascii="Times New Roman" w:hAnsi="Times New Roman" w:cs="Times New Roman"/>
                <w:sz w:val="22"/>
                <w:szCs w:val="22"/>
                <w:lang w:bidi="he-IL"/>
              </w:rPr>
              <w:t xml:space="preserve">Ak tak neurobí, MF je povinné </w:t>
            </w:r>
          </w:p>
        </w:tc>
        <w:tc>
          <w:tcPr>
            <w:tcW w:w="2451" w:type="dxa"/>
          </w:tcPr>
          <w:p w:rsidR="00BE7117" w:rsidRPr="00405D1C" w:rsidP="00160830">
            <w:pPr>
              <w:pStyle w:val="tl"/>
              <w:rPr>
                <w:rFonts w:ascii="Times New Roman" w:hAnsi="Times New Roman" w:cs="Times New Roman"/>
                <w:lang w:bidi="he-IL"/>
              </w:rPr>
            </w:pPr>
          </w:p>
        </w:tc>
      </w:tr>
      <w:tr w:rsidTr="00BE7117">
        <w:tblPrEx>
          <w:tblW w:w="10546" w:type="dxa"/>
          <w:tblInd w:w="5" w:type="dxa"/>
          <w:tblLayout w:type="fixed"/>
          <w:tblCellMar>
            <w:left w:w="0" w:type="dxa"/>
            <w:right w:w="0" w:type="dxa"/>
          </w:tblCellMar>
          <w:tblLook w:val="0000"/>
        </w:tblPrEx>
        <w:trPr>
          <w:gridAfter w:val="2"/>
          <w:wAfter w:w="1437" w:type="dxa"/>
          <w:trHeight w:val="277"/>
        </w:trPr>
        <w:tc>
          <w:tcPr>
            <w:tcW w:w="3114" w:type="dxa"/>
          </w:tcPr>
          <w:p w:rsidR="00BE7117" w:rsidRPr="00BE7117" w:rsidP="00160830">
            <w:pPr>
              <w:pStyle w:val="tl"/>
              <w:rPr>
                <w:rFonts w:ascii="Times New Roman" w:hAnsi="Times New Roman" w:cs="Times New Roman"/>
                <w:sz w:val="22"/>
                <w:szCs w:val="22"/>
              </w:rPr>
            </w:pPr>
          </w:p>
        </w:tc>
        <w:tc>
          <w:tcPr>
            <w:tcW w:w="3544" w:type="dxa"/>
          </w:tcPr>
          <w:p w:rsidR="00BE7117" w:rsidRPr="00BE7117" w:rsidP="00BE7117">
            <w:pPr>
              <w:pStyle w:val="tl"/>
              <w:ind w:left="113"/>
              <w:rPr>
                <w:rFonts w:ascii="Times New Roman" w:hAnsi="Times New Roman" w:cs="Times New Roman"/>
                <w:sz w:val="22"/>
                <w:szCs w:val="22"/>
                <w:lang w:bidi="he-IL"/>
              </w:rPr>
            </w:pPr>
            <w:r w:rsidRPr="00BE7117">
              <w:rPr>
                <w:rFonts w:ascii="Times New Roman" w:hAnsi="Times New Roman" w:cs="Times New Roman"/>
                <w:sz w:val="22"/>
                <w:szCs w:val="22"/>
                <w:lang w:bidi="he-IL"/>
              </w:rPr>
              <w:t xml:space="preserve">odobrať plnenia. </w:t>
            </w:r>
          </w:p>
        </w:tc>
        <w:tc>
          <w:tcPr>
            <w:tcW w:w="2451" w:type="dxa"/>
          </w:tcPr>
          <w:p w:rsidR="00BE7117" w:rsidRPr="00405D1C" w:rsidP="00160830">
            <w:pPr>
              <w:pStyle w:val="tl"/>
              <w:rPr>
                <w:rFonts w:ascii="Times New Roman" w:hAnsi="Times New Roman" w:cs="Times New Roman"/>
                <w:lang w:bidi="he-IL"/>
              </w:rPr>
            </w:pPr>
          </w:p>
        </w:tc>
      </w:tr>
      <w:tr w:rsidTr="00BE7117">
        <w:tblPrEx>
          <w:tblW w:w="10546" w:type="dxa"/>
          <w:tblInd w:w="5" w:type="dxa"/>
          <w:tblLayout w:type="fixed"/>
          <w:tblCellMar>
            <w:left w:w="0" w:type="dxa"/>
            <w:right w:w="0" w:type="dxa"/>
          </w:tblCellMar>
          <w:tblLook w:val="0000"/>
        </w:tblPrEx>
        <w:trPr>
          <w:gridAfter w:val="2"/>
          <w:wAfter w:w="1437" w:type="dxa"/>
          <w:trHeight w:val="295"/>
        </w:trPr>
        <w:tc>
          <w:tcPr>
            <w:tcW w:w="3114" w:type="dxa"/>
          </w:tcPr>
          <w:p w:rsidR="00BE7117" w:rsidRPr="00BE7117" w:rsidP="00160830">
            <w:pPr>
              <w:pStyle w:val="tl"/>
              <w:rPr>
                <w:rFonts w:ascii="Times New Roman" w:hAnsi="Times New Roman" w:cs="Times New Roman"/>
                <w:sz w:val="22"/>
                <w:szCs w:val="22"/>
              </w:rPr>
            </w:pPr>
          </w:p>
        </w:tc>
        <w:tc>
          <w:tcPr>
            <w:tcW w:w="3544" w:type="dxa"/>
          </w:tcPr>
          <w:p w:rsidR="00BE7117" w:rsidRPr="00BE7117" w:rsidP="00BE7117">
            <w:pPr>
              <w:pStyle w:val="tl"/>
              <w:ind w:left="113"/>
              <w:rPr>
                <w:rFonts w:ascii="Times New Roman" w:hAnsi="Times New Roman" w:cs="Times New Roman"/>
                <w:sz w:val="22"/>
                <w:szCs w:val="22"/>
                <w:lang w:bidi="he-IL"/>
              </w:rPr>
            </w:pPr>
            <w:r w:rsidRPr="00BE7117">
              <w:rPr>
                <w:rFonts w:ascii="Times New Roman" w:hAnsi="Times New Roman" w:cs="Times New Roman"/>
                <w:sz w:val="22"/>
                <w:szCs w:val="22"/>
                <w:lang w:bidi="he-IL"/>
              </w:rPr>
              <w:t xml:space="preserve">Poskytovateľ  bude mať nárok na </w:t>
            </w:r>
          </w:p>
        </w:tc>
        <w:tc>
          <w:tcPr>
            <w:tcW w:w="2451" w:type="dxa"/>
          </w:tcPr>
          <w:p w:rsidR="00BE7117" w:rsidRPr="00405D1C" w:rsidP="00160830">
            <w:pPr>
              <w:pStyle w:val="tl"/>
              <w:rPr>
                <w:rFonts w:ascii="Times New Roman" w:hAnsi="Times New Roman" w:cs="Times New Roman"/>
                <w:lang w:bidi="he-IL"/>
              </w:rPr>
            </w:pPr>
          </w:p>
        </w:tc>
      </w:tr>
      <w:tr w:rsidTr="00BE7117">
        <w:tblPrEx>
          <w:tblW w:w="10546" w:type="dxa"/>
          <w:tblInd w:w="5" w:type="dxa"/>
          <w:tblLayout w:type="fixed"/>
          <w:tblCellMar>
            <w:left w:w="0" w:type="dxa"/>
            <w:right w:w="0" w:type="dxa"/>
          </w:tblCellMar>
          <w:tblLook w:val="0000"/>
        </w:tblPrEx>
        <w:trPr>
          <w:gridAfter w:val="2"/>
          <w:wAfter w:w="1437" w:type="dxa"/>
          <w:trHeight w:val="271"/>
        </w:trPr>
        <w:tc>
          <w:tcPr>
            <w:tcW w:w="3114" w:type="dxa"/>
          </w:tcPr>
          <w:p w:rsidR="00BE7117" w:rsidRPr="00BE7117" w:rsidP="00160830">
            <w:pPr>
              <w:pStyle w:val="tl"/>
              <w:rPr>
                <w:rFonts w:ascii="Times New Roman" w:hAnsi="Times New Roman" w:cs="Times New Roman"/>
                <w:sz w:val="22"/>
                <w:szCs w:val="22"/>
              </w:rPr>
            </w:pPr>
          </w:p>
        </w:tc>
        <w:tc>
          <w:tcPr>
            <w:tcW w:w="3544" w:type="dxa"/>
          </w:tcPr>
          <w:p w:rsidR="00BE7117" w:rsidRPr="00BE7117" w:rsidP="00BE7117">
            <w:pPr>
              <w:pStyle w:val="tl"/>
              <w:ind w:left="113"/>
              <w:rPr>
                <w:rFonts w:ascii="Times New Roman" w:hAnsi="Times New Roman" w:cs="Times New Roman"/>
                <w:sz w:val="22"/>
                <w:szCs w:val="22"/>
                <w:lang w:bidi="he-IL"/>
              </w:rPr>
            </w:pPr>
            <w:r w:rsidRPr="00BE7117">
              <w:rPr>
                <w:rFonts w:ascii="Times New Roman" w:hAnsi="Times New Roman" w:cs="Times New Roman"/>
                <w:sz w:val="22"/>
                <w:szCs w:val="22"/>
                <w:lang w:bidi="he-IL"/>
              </w:rPr>
              <w:t xml:space="preserve">náhradu ušlého zisku do výšky </w:t>
            </w:r>
          </w:p>
        </w:tc>
        <w:tc>
          <w:tcPr>
            <w:tcW w:w="2451" w:type="dxa"/>
          </w:tcPr>
          <w:p w:rsidR="00BE7117" w:rsidRPr="00405D1C" w:rsidP="00160830">
            <w:pPr>
              <w:pStyle w:val="tl"/>
              <w:rPr>
                <w:rFonts w:ascii="Times New Roman" w:hAnsi="Times New Roman" w:cs="Times New Roman"/>
                <w:lang w:bidi="he-IL"/>
              </w:rPr>
            </w:pPr>
          </w:p>
        </w:tc>
      </w:tr>
      <w:tr w:rsidTr="00BE7117">
        <w:tblPrEx>
          <w:tblW w:w="10546" w:type="dxa"/>
          <w:tblInd w:w="5" w:type="dxa"/>
          <w:tblLayout w:type="fixed"/>
          <w:tblCellMar>
            <w:left w:w="0" w:type="dxa"/>
            <w:right w:w="0" w:type="dxa"/>
          </w:tblCellMar>
          <w:tblLook w:val="0000"/>
        </w:tblPrEx>
        <w:trPr>
          <w:gridAfter w:val="2"/>
          <w:wAfter w:w="1437" w:type="dxa"/>
          <w:trHeight w:val="552"/>
        </w:trPr>
        <w:tc>
          <w:tcPr>
            <w:tcW w:w="3114" w:type="dxa"/>
          </w:tcPr>
          <w:p w:rsidR="00BE7117" w:rsidRPr="00BE7117" w:rsidP="00160830">
            <w:pPr>
              <w:pStyle w:val="tl"/>
              <w:rPr>
                <w:rFonts w:ascii="Times New Roman" w:hAnsi="Times New Roman" w:cs="Times New Roman"/>
                <w:sz w:val="22"/>
                <w:szCs w:val="22"/>
              </w:rPr>
            </w:pPr>
          </w:p>
          <w:p w:rsidR="00BE7117" w:rsidRPr="00BE7117" w:rsidP="00160830">
            <w:pPr>
              <w:pStyle w:val="tl"/>
              <w:rPr>
                <w:rFonts w:ascii="Times New Roman" w:hAnsi="Times New Roman" w:cs="Times New Roman"/>
                <w:sz w:val="22"/>
                <w:szCs w:val="22"/>
              </w:rPr>
            </w:pPr>
          </w:p>
          <w:p w:rsidR="00BE7117" w:rsidRPr="00BE7117" w:rsidP="00160830">
            <w:pPr>
              <w:pStyle w:val="tl"/>
              <w:rPr>
                <w:rFonts w:ascii="Times New Roman" w:hAnsi="Times New Roman" w:cs="Times New Roman"/>
                <w:sz w:val="22"/>
                <w:szCs w:val="22"/>
              </w:rPr>
            </w:pPr>
          </w:p>
        </w:tc>
        <w:tc>
          <w:tcPr>
            <w:tcW w:w="3544" w:type="dxa"/>
          </w:tcPr>
          <w:p w:rsidR="00BE7117" w:rsidRPr="00BE7117" w:rsidP="00BE7117">
            <w:pPr>
              <w:pStyle w:val="tl"/>
              <w:ind w:left="113"/>
              <w:rPr>
                <w:rFonts w:ascii="Times New Roman" w:hAnsi="Times New Roman" w:cs="Times New Roman"/>
                <w:sz w:val="22"/>
                <w:szCs w:val="22"/>
                <w:lang w:bidi="he-IL"/>
              </w:rPr>
            </w:pPr>
            <w:r w:rsidRPr="00BE7117">
              <w:rPr>
                <w:rFonts w:ascii="Times New Roman" w:hAnsi="Times New Roman" w:cs="Times New Roman"/>
                <w:sz w:val="22"/>
                <w:szCs w:val="22"/>
                <w:lang w:bidi="he-IL"/>
              </w:rPr>
              <w:t xml:space="preserve">zmluvy. </w:t>
            </w:r>
          </w:p>
          <w:p w:rsidR="00BE7117" w:rsidRPr="00BE7117" w:rsidP="00BE7117">
            <w:pPr>
              <w:pStyle w:val="tl"/>
              <w:ind w:left="113"/>
              <w:rPr>
                <w:rFonts w:ascii="Times New Roman" w:hAnsi="Times New Roman" w:cs="Times New Roman"/>
                <w:sz w:val="22"/>
                <w:szCs w:val="22"/>
                <w:lang w:bidi="he-IL"/>
              </w:rPr>
            </w:pPr>
          </w:p>
        </w:tc>
        <w:tc>
          <w:tcPr>
            <w:tcW w:w="2451" w:type="dxa"/>
          </w:tcPr>
          <w:p w:rsidR="00BE7117" w:rsidRPr="00405D1C" w:rsidP="00160830">
            <w:pPr>
              <w:pStyle w:val="tl"/>
              <w:rPr>
                <w:rFonts w:ascii="Times New Roman" w:hAnsi="Times New Roman" w:cs="Times New Roman"/>
                <w:lang w:bidi="he-IL"/>
              </w:rPr>
            </w:pPr>
          </w:p>
        </w:tc>
      </w:tr>
      <w:tr w:rsidTr="00BE7117">
        <w:tblPrEx>
          <w:tblW w:w="10546" w:type="dxa"/>
          <w:tblInd w:w="5" w:type="dxa"/>
          <w:tblLayout w:type="fixed"/>
          <w:tblCellMar>
            <w:left w:w="0" w:type="dxa"/>
            <w:right w:w="0" w:type="dxa"/>
          </w:tblCellMar>
          <w:tblLook w:val="0000"/>
        </w:tblPrEx>
        <w:trPr>
          <w:gridAfter w:val="2"/>
          <w:wAfter w:w="1437" w:type="dxa"/>
          <w:trHeight w:val="365"/>
        </w:trPr>
        <w:tc>
          <w:tcPr>
            <w:tcW w:w="3114" w:type="dxa"/>
          </w:tcPr>
          <w:p w:rsidR="00BE7117" w:rsidRPr="00BE7117" w:rsidP="00BE7117">
            <w:pPr>
              <w:pStyle w:val="tl"/>
              <w:rPr>
                <w:rFonts w:ascii="Times New Roman" w:hAnsi="Times New Roman" w:cs="Times New Roman"/>
                <w:sz w:val="22"/>
                <w:szCs w:val="22"/>
              </w:rPr>
            </w:pPr>
            <w:r w:rsidRPr="00BE7117">
              <w:rPr>
                <w:rFonts w:ascii="Times New Roman" w:hAnsi="Times New Roman" w:cs="Times New Roman"/>
                <w:sz w:val="22"/>
                <w:szCs w:val="22"/>
              </w:rPr>
              <w:t>Bod 6.2 ... objednávateľ</w:t>
            </w:r>
          </w:p>
          <w:p w:rsidR="00BE7117" w:rsidRPr="00BE7117" w:rsidP="00BE7117">
            <w:pPr>
              <w:pStyle w:val="tl"/>
              <w:rPr>
                <w:rFonts w:ascii="Times New Roman" w:hAnsi="Times New Roman" w:cs="Times New Roman"/>
                <w:sz w:val="22"/>
                <w:szCs w:val="22"/>
              </w:rPr>
            </w:pPr>
            <w:r w:rsidRPr="00BE7117">
              <w:rPr>
                <w:rFonts w:ascii="Times New Roman" w:hAnsi="Times New Roman" w:cs="Times New Roman"/>
                <w:sz w:val="22"/>
                <w:szCs w:val="22"/>
              </w:rPr>
              <w:t xml:space="preserve">nie je </w:t>
            </w:r>
          </w:p>
        </w:tc>
        <w:tc>
          <w:tcPr>
            <w:tcW w:w="3544" w:type="dxa"/>
          </w:tcPr>
          <w:p w:rsidR="00BE7117" w:rsidRPr="00BE7117" w:rsidP="00BE7117">
            <w:pPr>
              <w:pStyle w:val="tl"/>
              <w:rPr>
                <w:rFonts w:ascii="Times New Roman" w:hAnsi="Times New Roman" w:cs="Times New Roman"/>
                <w:sz w:val="22"/>
                <w:szCs w:val="22"/>
                <w:lang w:bidi="he-IL"/>
              </w:rPr>
            </w:pPr>
            <w:r w:rsidRPr="00BE7117">
              <w:rPr>
                <w:rFonts w:ascii="Times New Roman" w:hAnsi="Times New Roman" w:cs="Times New Roman"/>
                <w:sz w:val="22"/>
                <w:szCs w:val="22"/>
                <w:lang w:bidi="he-IL"/>
              </w:rPr>
              <w:t xml:space="preserve">Prakticky sa jedná o exkluzivitu </w:t>
            </w:r>
          </w:p>
        </w:tc>
        <w:tc>
          <w:tcPr>
            <w:tcW w:w="2451" w:type="dxa"/>
          </w:tcPr>
          <w:p w:rsidR="00BE7117" w:rsidRPr="00BE7117" w:rsidP="00BE7117">
            <w:pPr>
              <w:pStyle w:val="tl"/>
              <w:rPr>
                <w:rFonts w:ascii="Times New Roman" w:hAnsi="Times New Roman" w:cs="Times New Roman"/>
                <w:b/>
                <w:lang w:bidi="he-IL"/>
              </w:rPr>
            </w:pPr>
            <w:r w:rsidRPr="00BE7117">
              <w:rPr>
                <w:rFonts w:ascii="Times New Roman" w:hAnsi="Times New Roman" w:cs="Times New Roman"/>
                <w:b/>
                <w:lang w:bidi="he-IL"/>
              </w:rPr>
              <w:t xml:space="preserve">Prečo sa takéto ustanovenie </w:t>
            </w:r>
          </w:p>
        </w:tc>
      </w:tr>
      <w:tr w:rsidTr="00BE7117">
        <w:tblPrEx>
          <w:tblW w:w="10546" w:type="dxa"/>
          <w:tblInd w:w="5" w:type="dxa"/>
          <w:tblLayout w:type="fixed"/>
          <w:tblCellMar>
            <w:left w:w="0" w:type="dxa"/>
            <w:right w:w="0" w:type="dxa"/>
          </w:tblCellMar>
          <w:tblLook w:val="0000"/>
        </w:tblPrEx>
        <w:trPr>
          <w:gridAfter w:val="2"/>
          <w:wAfter w:w="1437" w:type="dxa"/>
          <w:trHeight w:val="386"/>
        </w:trPr>
        <w:tc>
          <w:tcPr>
            <w:tcW w:w="3114" w:type="dxa"/>
          </w:tcPr>
          <w:p w:rsidR="00BE7117" w:rsidRPr="00BE7117" w:rsidP="00BE7117">
            <w:pPr>
              <w:pStyle w:val="tl"/>
              <w:rPr>
                <w:rFonts w:ascii="Times New Roman" w:hAnsi="Times New Roman" w:cs="Times New Roman"/>
                <w:sz w:val="22"/>
                <w:szCs w:val="22"/>
              </w:rPr>
            </w:pPr>
            <w:r w:rsidRPr="00BE7117">
              <w:rPr>
                <w:rFonts w:ascii="Times New Roman" w:hAnsi="Times New Roman" w:cs="Times New Roman"/>
                <w:sz w:val="22"/>
                <w:szCs w:val="22"/>
              </w:rPr>
              <w:t xml:space="preserve">oprávnený akékoľvek  </w:t>
            </w:r>
          </w:p>
          <w:p w:rsidR="00BE7117" w:rsidRPr="00BE7117" w:rsidP="00BE7117">
            <w:pPr>
              <w:pStyle w:val="tl"/>
              <w:rPr>
                <w:rFonts w:ascii="Times New Roman" w:hAnsi="Times New Roman" w:cs="Times New Roman"/>
                <w:sz w:val="22"/>
                <w:szCs w:val="22"/>
              </w:rPr>
            </w:pPr>
            <w:r w:rsidRPr="00BE7117">
              <w:rPr>
                <w:rFonts w:ascii="Times New Roman" w:hAnsi="Times New Roman" w:cs="Times New Roman"/>
                <w:sz w:val="22"/>
                <w:szCs w:val="22"/>
              </w:rPr>
              <w:t xml:space="preserve">plnenia </w:t>
            </w:r>
          </w:p>
        </w:tc>
        <w:tc>
          <w:tcPr>
            <w:tcW w:w="3544" w:type="dxa"/>
          </w:tcPr>
          <w:p w:rsidR="00BE7117" w:rsidRPr="00BE7117" w:rsidP="00BE7117">
            <w:pPr>
              <w:pStyle w:val="tl"/>
              <w:rPr>
                <w:rFonts w:ascii="Times New Roman" w:hAnsi="Times New Roman" w:cs="Times New Roman"/>
                <w:sz w:val="22"/>
                <w:szCs w:val="22"/>
                <w:lang w:bidi="he-IL"/>
              </w:rPr>
            </w:pPr>
            <w:r w:rsidRPr="00BE7117">
              <w:rPr>
                <w:rFonts w:ascii="Times New Roman" w:hAnsi="Times New Roman" w:cs="Times New Roman"/>
                <w:sz w:val="22"/>
                <w:szCs w:val="22"/>
                <w:lang w:bidi="he-IL"/>
              </w:rPr>
              <w:t xml:space="preserve">dodávateľa bez podmienky. Je to </w:t>
            </w:r>
          </w:p>
        </w:tc>
        <w:tc>
          <w:tcPr>
            <w:tcW w:w="2451" w:type="dxa"/>
          </w:tcPr>
          <w:p w:rsidR="00BE7117" w:rsidRPr="00BE7117" w:rsidP="00BE7117">
            <w:pPr>
              <w:pStyle w:val="tl"/>
              <w:rPr>
                <w:rFonts w:ascii="Times New Roman" w:hAnsi="Times New Roman" w:cs="Times New Roman"/>
                <w:b/>
                <w:lang w:bidi="he-IL"/>
              </w:rPr>
            </w:pPr>
            <w:r w:rsidRPr="00BE7117">
              <w:rPr>
                <w:rFonts w:ascii="Times New Roman" w:hAnsi="Times New Roman" w:cs="Times New Roman"/>
                <w:b/>
                <w:lang w:bidi="he-IL"/>
              </w:rPr>
              <w:t xml:space="preserve">dohodlo? </w:t>
            </w:r>
          </w:p>
        </w:tc>
      </w:tr>
      <w:tr w:rsidTr="00BE7117">
        <w:tblPrEx>
          <w:tblW w:w="10546" w:type="dxa"/>
          <w:tblInd w:w="5" w:type="dxa"/>
          <w:tblLayout w:type="fixed"/>
          <w:tblCellMar>
            <w:left w:w="0" w:type="dxa"/>
            <w:right w:w="0" w:type="dxa"/>
          </w:tblCellMar>
          <w:tblLook w:val="0000"/>
        </w:tblPrEx>
        <w:trPr>
          <w:gridAfter w:val="2"/>
          <w:wAfter w:w="1437" w:type="dxa"/>
          <w:trHeight w:val="299"/>
        </w:trPr>
        <w:tc>
          <w:tcPr>
            <w:tcW w:w="3114" w:type="dxa"/>
          </w:tcPr>
          <w:p w:rsidR="00BE7117" w:rsidRPr="00BE7117" w:rsidP="00BE7117">
            <w:pPr>
              <w:pStyle w:val="tl"/>
              <w:rPr>
                <w:rFonts w:ascii="Times New Roman" w:hAnsi="Times New Roman" w:cs="Times New Roman"/>
                <w:sz w:val="22"/>
                <w:szCs w:val="22"/>
              </w:rPr>
            </w:pPr>
            <w:r w:rsidRPr="00BE7117">
              <w:rPr>
                <w:rFonts w:ascii="Times New Roman" w:hAnsi="Times New Roman" w:cs="Times New Roman"/>
                <w:sz w:val="22"/>
                <w:szCs w:val="22"/>
              </w:rPr>
              <w:t xml:space="preserve">zadať tretej osobe. </w:t>
            </w:r>
          </w:p>
        </w:tc>
        <w:tc>
          <w:tcPr>
            <w:tcW w:w="3544" w:type="dxa"/>
          </w:tcPr>
          <w:p w:rsidR="00BE7117" w:rsidRPr="00BE7117" w:rsidP="00BE7117">
            <w:pPr>
              <w:pStyle w:val="tl"/>
              <w:rPr>
                <w:rFonts w:ascii="Times New Roman" w:hAnsi="Times New Roman" w:cs="Times New Roman"/>
                <w:sz w:val="22"/>
                <w:szCs w:val="22"/>
                <w:lang w:bidi="he-IL"/>
              </w:rPr>
            </w:pPr>
            <w:r w:rsidRPr="00BE7117">
              <w:rPr>
                <w:rFonts w:ascii="Times New Roman" w:hAnsi="Times New Roman" w:cs="Times New Roman"/>
                <w:sz w:val="22"/>
                <w:szCs w:val="22"/>
                <w:lang w:bidi="he-IL"/>
              </w:rPr>
              <w:t xml:space="preserve">poníženie práv jednej zmluvnej </w:t>
            </w:r>
          </w:p>
        </w:tc>
        <w:tc>
          <w:tcPr>
            <w:tcW w:w="2451" w:type="dxa"/>
          </w:tcPr>
          <w:p w:rsidR="00BE7117" w:rsidRPr="00405D1C" w:rsidP="00BE7117">
            <w:pPr>
              <w:pStyle w:val="tl"/>
              <w:rPr>
                <w:rFonts w:ascii="Times New Roman" w:hAnsi="Times New Roman" w:cs="Times New Roman"/>
                <w:lang w:bidi="he-IL"/>
              </w:rPr>
            </w:pPr>
          </w:p>
        </w:tc>
      </w:tr>
      <w:tr w:rsidTr="00BE7117">
        <w:tblPrEx>
          <w:tblW w:w="10546" w:type="dxa"/>
          <w:tblInd w:w="5" w:type="dxa"/>
          <w:tblLayout w:type="fixed"/>
          <w:tblCellMar>
            <w:left w:w="0" w:type="dxa"/>
            <w:right w:w="0" w:type="dxa"/>
          </w:tblCellMar>
          <w:tblLook w:val="0000"/>
        </w:tblPrEx>
        <w:trPr>
          <w:gridAfter w:val="2"/>
          <w:wAfter w:w="1437" w:type="dxa"/>
          <w:trHeight w:val="552"/>
        </w:trPr>
        <w:tc>
          <w:tcPr>
            <w:tcW w:w="3114" w:type="dxa"/>
          </w:tcPr>
          <w:p w:rsidR="00BE7117" w:rsidRPr="00BE7117" w:rsidP="00BE7117">
            <w:pPr>
              <w:pStyle w:val="tl"/>
              <w:rPr>
                <w:rFonts w:ascii="Times New Roman" w:hAnsi="Times New Roman" w:cs="Times New Roman"/>
                <w:sz w:val="22"/>
                <w:szCs w:val="22"/>
              </w:rPr>
            </w:pPr>
          </w:p>
          <w:p w:rsidR="00BE7117" w:rsidRPr="00BE7117" w:rsidP="00BE7117">
            <w:pPr>
              <w:pStyle w:val="tl"/>
              <w:rPr>
                <w:rFonts w:ascii="Times New Roman" w:hAnsi="Times New Roman" w:cs="Times New Roman"/>
                <w:sz w:val="22"/>
                <w:szCs w:val="22"/>
              </w:rPr>
            </w:pPr>
          </w:p>
          <w:p w:rsidR="00BE7117" w:rsidRPr="00BE7117" w:rsidP="00BE7117">
            <w:pPr>
              <w:pStyle w:val="tl"/>
              <w:rPr>
                <w:rFonts w:ascii="Times New Roman" w:hAnsi="Times New Roman" w:cs="Times New Roman"/>
                <w:sz w:val="22"/>
                <w:szCs w:val="22"/>
              </w:rPr>
            </w:pPr>
          </w:p>
        </w:tc>
        <w:tc>
          <w:tcPr>
            <w:tcW w:w="3544" w:type="dxa"/>
          </w:tcPr>
          <w:p w:rsidR="00BE7117" w:rsidRPr="00BE7117" w:rsidP="00BE7117">
            <w:pPr>
              <w:pStyle w:val="tl"/>
              <w:rPr>
                <w:rFonts w:ascii="Times New Roman" w:hAnsi="Times New Roman" w:cs="Times New Roman"/>
                <w:sz w:val="22"/>
                <w:szCs w:val="22"/>
                <w:lang w:bidi="he-IL"/>
              </w:rPr>
            </w:pPr>
            <w:r w:rsidRPr="00BE7117">
              <w:rPr>
                <w:rFonts w:ascii="Times New Roman" w:hAnsi="Times New Roman" w:cs="Times New Roman"/>
                <w:sz w:val="22"/>
                <w:szCs w:val="22"/>
                <w:lang w:bidi="he-IL"/>
              </w:rPr>
              <w:t xml:space="preserve">strany - objednávateľa. </w:t>
            </w:r>
          </w:p>
        </w:tc>
        <w:tc>
          <w:tcPr>
            <w:tcW w:w="2451" w:type="dxa"/>
          </w:tcPr>
          <w:p w:rsidR="00BE7117" w:rsidRPr="00405D1C" w:rsidP="00BE7117">
            <w:pPr>
              <w:pStyle w:val="tl"/>
              <w:rPr>
                <w:rFonts w:ascii="Times New Roman" w:hAnsi="Times New Roman" w:cs="Times New Roman"/>
                <w:lang w:bidi="he-IL"/>
              </w:rPr>
            </w:pPr>
          </w:p>
        </w:tc>
      </w:tr>
    </w:tbl>
    <w:p w:rsidR="00BE7117" w:rsidRPr="00BE7117" w:rsidP="00BE7117">
      <w:pPr>
        <w:jc w:val="both"/>
        <w:rPr>
          <w:sz w:val="22"/>
          <w:szCs w:val="22"/>
        </w:rPr>
      </w:pPr>
      <w:r w:rsidRPr="00BE7117">
        <w:rPr>
          <w:sz w:val="22"/>
          <w:szCs w:val="22"/>
        </w:rPr>
        <w:t xml:space="preserve">Príloha 5, Dodatku 2, článok 3 </w:t>
        <w:tab/>
      </w:r>
      <w:r>
        <w:rPr>
          <w:sz w:val="22"/>
          <w:szCs w:val="22"/>
        </w:rPr>
        <w:t xml:space="preserve">    </w:t>
      </w:r>
      <w:r w:rsidRPr="00BE7117">
        <w:rPr>
          <w:sz w:val="22"/>
          <w:szCs w:val="22"/>
        </w:rPr>
        <w:t xml:space="preserve">Poskytovateľ sa de facto stal </w:t>
        <w:tab/>
        <w:t xml:space="preserve">      </w:t>
      </w:r>
      <w:r>
        <w:rPr>
          <w:sz w:val="22"/>
          <w:szCs w:val="22"/>
        </w:rPr>
        <w:t xml:space="preserve">         </w:t>
      </w:r>
      <w:r w:rsidRPr="00BA492B">
        <w:rPr>
          <w:b/>
          <w:sz w:val="22"/>
          <w:szCs w:val="22"/>
        </w:rPr>
        <w:t>Prečo sa takéto ustanovenie</w:t>
      </w:r>
      <w:r w:rsidRPr="00BE7117">
        <w:rPr>
          <w:sz w:val="22"/>
          <w:szCs w:val="22"/>
        </w:rPr>
        <w:t xml:space="preserve"> </w:t>
      </w:r>
    </w:p>
    <w:p w:rsidR="00BE7117" w:rsidRPr="00BE7117" w:rsidP="00BE7117">
      <w:pPr>
        <w:jc w:val="both"/>
        <w:rPr>
          <w:sz w:val="22"/>
          <w:szCs w:val="22"/>
        </w:rPr>
      </w:pPr>
      <w:r w:rsidRPr="00BE7117">
        <w:rPr>
          <w:sz w:val="22"/>
          <w:szCs w:val="22"/>
        </w:rPr>
        <w:t xml:space="preserve">Odchýlne od pôvodného znenia </w:t>
      </w:r>
      <w:r>
        <w:rPr>
          <w:sz w:val="22"/>
          <w:szCs w:val="22"/>
        </w:rPr>
        <w:t xml:space="preserve"> </w:t>
      </w:r>
      <w:r w:rsidRPr="00BE7117">
        <w:rPr>
          <w:sz w:val="22"/>
          <w:szCs w:val="22"/>
        </w:rPr>
        <w:t xml:space="preserve">agentúrou pre sprostredkovanie </w:t>
        <w:tab/>
      </w:r>
      <w:r>
        <w:rPr>
          <w:sz w:val="22"/>
          <w:szCs w:val="22"/>
        </w:rPr>
        <w:t xml:space="preserve">     </w:t>
      </w:r>
      <w:r w:rsidRPr="00BA492B">
        <w:rPr>
          <w:b/>
          <w:sz w:val="22"/>
          <w:szCs w:val="22"/>
        </w:rPr>
        <w:t>dohodlo?</w:t>
      </w:r>
      <w:r w:rsidRPr="00BE7117">
        <w:rPr>
          <w:sz w:val="22"/>
          <w:szCs w:val="22"/>
        </w:rPr>
        <w:t xml:space="preserve"> </w:t>
      </w:r>
    </w:p>
    <w:p w:rsidR="00BE7117" w:rsidRPr="00BE7117" w:rsidP="00BE7117">
      <w:pPr>
        <w:jc w:val="both"/>
        <w:rPr>
          <w:sz w:val="22"/>
          <w:szCs w:val="22"/>
        </w:rPr>
      </w:pPr>
      <w:r w:rsidRPr="00BE7117">
        <w:rPr>
          <w:sz w:val="22"/>
          <w:szCs w:val="22"/>
        </w:rPr>
        <w:t xml:space="preserve">zmluvy bolo dojednané, že </w:t>
        <w:tab/>
        <w:t xml:space="preserve">     špecialistov. </w:t>
        <w:tab/>
      </w:r>
      <w:r w:rsidR="00BA492B">
        <w:rPr>
          <w:sz w:val="22"/>
          <w:szCs w:val="22"/>
        </w:rPr>
        <w:t xml:space="preserve">                             </w:t>
      </w:r>
      <w:r w:rsidRPr="00BA492B">
        <w:rPr>
          <w:b/>
          <w:sz w:val="22"/>
          <w:szCs w:val="22"/>
        </w:rPr>
        <w:t>Prečo sa ustúpilo od akejkoľvek</w:t>
      </w:r>
      <w:r w:rsidRPr="00BE7117">
        <w:rPr>
          <w:sz w:val="22"/>
          <w:szCs w:val="22"/>
        </w:rPr>
        <w:t xml:space="preserve"> </w:t>
      </w:r>
    </w:p>
    <w:p w:rsidR="00BE7117" w:rsidRPr="00BE7117" w:rsidP="00BE7117">
      <w:pPr>
        <w:jc w:val="both"/>
        <w:rPr>
          <w:sz w:val="22"/>
          <w:szCs w:val="22"/>
        </w:rPr>
      </w:pPr>
      <w:r w:rsidRPr="00BE7117">
        <w:rPr>
          <w:sz w:val="22"/>
          <w:szCs w:val="22"/>
        </w:rPr>
        <w:t xml:space="preserve">poskytovateľ zodpovedá              Nenesie akúkoľvek zodpovednosť </w:t>
        <w:tab/>
      </w:r>
      <w:r w:rsidR="00BA492B">
        <w:rPr>
          <w:sz w:val="22"/>
          <w:szCs w:val="22"/>
        </w:rPr>
        <w:t xml:space="preserve">    </w:t>
      </w:r>
      <w:r w:rsidRPr="00BA492B">
        <w:rPr>
          <w:b/>
          <w:sz w:val="22"/>
          <w:szCs w:val="22"/>
        </w:rPr>
        <w:t>zodpovednosti IBM za k</w:t>
      </w:r>
      <w:r w:rsidR="00BA492B">
        <w:rPr>
          <w:b/>
          <w:sz w:val="22"/>
          <w:szCs w:val="22"/>
        </w:rPr>
        <w:t>valitu,</w:t>
      </w:r>
      <w:r w:rsidRPr="00BE7117">
        <w:rPr>
          <w:sz w:val="22"/>
          <w:szCs w:val="22"/>
        </w:rPr>
        <w:t xml:space="preserve"> </w:t>
      </w:r>
    </w:p>
    <w:p w:rsidR="00BE7117" w:rsidRPr="00BE7117" w:rsidP="00BA492B">
      <w:pPr>
        <w:rPr>
          <w:sz w:val="22"/>
          <w:szCs w:val="22"/>
        </w:rPr>
      </w:pPr>
      <w:r w:rsidRPr="00BE7117">
        <w:rPr>
          <w:sz w:val="22"/>
          <w:szCs w:val="22"/>
        </w:rPr>
        <w:t xml:space="preserve">„výlučne </w:t>
      </w:r>
      <w:r w:rsidR="00BA492B">
        <w:rPr>
          <w:sz w:val="22"/>
          <w:szCs w:val="22"/>
        </w:rPr>
        <w:t xml:space="preserve">za odbornú starostlivosť  </w:t>
      </w:r>
      <w:r w:rsidRPr="00BE7117">
        <w:rPr>
          <w:sz w:val="22"/>
          <w:szCs w:val="22"/>
        </w:rPr>
        <w:t xml:space="preserve">za plnenia, kvalitu, záruku a pod. </w:t>
        <w:tab/>
      </w:r>
      <w:r w:rsidR="00BA492B">
        <w:rPr>
          <w:sz w:val="22"/>
          <w:szCs w:val="22"/>
        </w:rPr>
        <w:t xml:space="preserve">      </w:t>
      </w:r>
      <w:r w:rsidRPr="00BA492B">
        <w:rPr>
          <w:b/>
          <w:sz w:val="22"/>
          <w:szCs w:val="22"/>
        </w:rPr>
        <w:t>rozsah a prevedenie služ</w:t>
      </w:r>
      <w:r w:rsidR="00BA492B">
        <w:rPr>
          <w:b/>
          <w:sz w:val="22"/>
          <w:szCs w:val="22"/>
        </w:rPr>
        <w:t>ieb?</w:t>
      </w:r>
    </w:p>
    <w:p w:rsidR="00BA492B" w:rsidP="00BE7117">
      <w:pPr>
        <w:jc w:val="both"/>
        <w:rPr>
          <w:sz w:val="22"/>
          <w:szCs w:val="22"/>
        </w:rPr>
      </w:pPr>
      <w:r w:rsidRPr="00BE7117" w:rsidR="00BE7117">
        <w:rPr>
          <w:sz w:val="22"/>
          <w:szCs w:val="22"/>
        </w:rPr>
        <w:t xml:space="preserve">pri výbere alokovaných </w:t>
      </w:r>
    </w:p>
    <w:p w:rsidR="00BE7117" w:rsidP="00BE7117">
      <w:pPr>
        <w:jc w:val="both"/>
      </w:pPr>
      <w:r w:rsidRPr="00BE7117">
        <w:rPr>
          <w:sz w:val="22"/>
          <w:szCs w:val="22"/>
        </w:rPr>
        <w:t>špecialistov“.</w:t>
      </w:r>
      <w:r>
        <w:t xml:space="preserve"> </w:t>
        <w:tab/>
        <w:tab/>
      </w:r>
    </w:p>
    <w:p w:rsidR="00BA492B" w:rsidP="00BE7117">
      <w:pPr>
        <w:jc w:val="both"/>
      </w:pPr>
    </w:p>
    <w:p w:rsidR="00BA492B" w:rsidP="00BE7117">
      <w:pPr>
        <w:jc w:val="both"/>
      </w:pPr>
    </w:p>
    <w:p w:rsidR="00BA492B" w:rsidRPr="00BA492B" w:rsidP="00BA492B">
      <w:pPr>
        <w:jc w:val="both"/>
        <w:rPr>
          <w:b/>
        </w:rPr>
      </w:pPr>
      <w:r>
        <w:t xml:space="preserve">Príloha 3, Dodatku 2 </w:t>
        <w:tab/>
        <w:t xml:space="preserve">                  V dodatku bolo dohodnuté len </w:t>
        <w:tab/>
        <w:t xml:space="preserve">                 </w:t>
      </w:r>
      <w:r w:rsidRPr="00BA492B">
        <w:rPr>
          <w:b/>
        </w:rPr>
        <w:t>Je to pravda?</w:t>
      </w:r>
    </w:p>
    <w:p w:rsidR="00BA492B" w:rsidP="00BA492B">
      <w:pPr>
        <w:jc w:val="both"/>
      </w:pPr>
      <w:r>
        <w:t xml:space="preserve">... doplnenie štruktúrovaného       doplnenie ceny a nových položiek </w:t>
        <w:tab/>
      </w:r>
    </w:p>
    <w:p w:rsidR="00BA492B" w:rsidP="00BA492B">
      <w:pPr>
        <w:jc w:val="both"/>
      </w:pPr>
      <w:r>
        <w:t xml:space="preserve">rozpočtu. </w:t>
        <w:tab/>
        <w:t xml:space="preserve">                               v cenovej štruktúre, </w:t>
        <w:tab/>
      </w:r>
    </w:p>
    <w:p w:rsidR="00BA492B" w:rsidP="00BA492B">
      <w:pPr>
        <w:jc w:val="both"/>
      </w:pPr>
      <w:r>
        <w:tab/>
        <w:t xml:space="preserve">                                          Zníženie cien u ostatných položiek </w:t>
        <w:tab/>
      </w:r>
    </w:p>
    <w:p w:rsidR="00BA492B" w:rsidP="00BA492B">
      <w:pPr>
        <w:jc w:val="both"/>
      </w:pPr>
      <w:r>
        <w:tab/>
        <w:t xml:space="preserve">                                          nenastalo a platia pôvodné ceny. </w:t>
        <w:tab/>
      </w:r>
    </w:p>
    <w:p w:rsidR="00BA492B" w:rsidP="00BA492B">
      <w:pPr>
        <w:jc w:val="both"/>
      </w:pPr>
      <w:r>
        <w:tab/>
        <w:t xml:space="preserve">                                          Celkovo sa zmluva ani nenavýši1a </w:t>
        <w:tab/>
      </w:r>
    </w:p>
    <w:p w:rsidR="00BA492B" w:rsidP="00BA492B">
      <w:pPr>
        <w:jc w:val="both"/>
      </w:pPr>
      <w:r>
        <w:tab/>
        <w:t xml:space="preserve">                                          ani neznížila. Stále platí cena 78</w:t>
        <w:tab/>
      </w:r>
    </w:p>
    <w:p w:rsidR="00BA492B" w:rsidP="00BA492B">
      <w:pPr>
        <w:jc w:val="both"/>
      </w:pPr>
      <w:r>
        <w:tab/>
        <w:t xml:space="preserve">                                          mil. Euro bez DPH. </w:t>
        <w:tab/>
      </w:r>
    </w:p>
    <w:p w:rsidR="00C62636" w:rsidP="00BA492B">
      <w:pPr>
        <w:jc w:val="both"/>
      </w:pPr>
    </w:p>
    <w:p w:rsidR="00C62636" w:rsidP="00BA492B">
      <w:pPr>
        <w:jc w:val="both"/>
      </w:pPr>
    </w:p>
    <w:p w:rsidR="00C62636" w:rsidP="00BA492B">
      <w:pPr>
        <w:jc w:val="both"/>
      </w:pPr>
    </w:p>
    <w:p w:rsidR="00C62636" w:rsidP="00BA492B">
      <w:pPr>
        <w:jc w:val="both"/>
      </w:pPr>
    </w:p>
    <w:p w:rsidR="00C62636" w:rsidP="00BA492B">
      <w:pPr>
        <w:jc w:val="both"/>
      </w:pPr>
    </w:p>
    <w:p w:rsidR="00C62636" w:rsidP="00BA492B">
      <w:pPr>
        <w:jc w:val="both"/>
      </w:pPr>
    </w:p>
    <w:p w:rsidR="00C62636" w:rsidP="00BA492B">
      <w:pPr>
        <w:jc w:val="both"/>
      </w:pPr>
    </w:p>
    <w:p w:rsidR="00C62636" w:rsidP="00BA492B">
      <w:pPr>
        <w:jc w:val="both"/>
      </w:pPr>
    </w:p>
    <w:p w:rsidR="00C62636" w:rsidP="00BA492B">
      <w:pPr>
        <w:jc w:val="both"/>
      </w:pPr>
    </w:p>
    <w:p w:rsidR="00C62636" w:rsidP="00BA492B">
      <w:pPr>
        <w:jc w:val="both"/>
      </w:pPr>
    </w:p>
    <w:p w:rsidR="00C62636" w:rsidP="00BA492B">
      <w:pPr>
        <w:jc w:val="both"/>
      </w:pPr>
    </w:p>
    <w:p w:rsidR="00C62636" w:rsidP="00BA492B">
      <w:pPr>
        <w:jc w:val="both"/>
      </w:pPr>
    </w:p>
    <w:p w:rsidR="00C62636" w:rsidP="00BA492B">
      <w:pPr>
        <w:jc w:val="both"/>
      </w:pPr>
    </w:p>
    <w:p w:rsidR="00C62636" w:rsidRPr="00C62636" w:rsidP="00C62636">
      <w:pPr>
        <w:widowControl w:val="0"/>
        <w:autoSpaceDE w:val="0"/>
        <w:autoSpaceDN w:val="0"/>
        <w:adjustRightInd w:val="0"/>
        <w:rPr>
          <w:rFonts w:ascii="Arial" w:hAnsi="Arial" w:cs="Arial"/>
          <w:bCs w:val="0"/>
          <w:sz w:val="2"/>
          <w:szCs w:val="2"/>
        </w:rPr>
      </w:pPr>
    </w:p>
    <w:p w:rsidR="00C62636" w:rsidRPr="00C62636" w:rsidP="00C62636">
      <w:pPr>
        <w:widowControl w:val="0"/>
        <w:numPr>
          <w:ilvl w:val="0"/>
          <w:numId w:val="32"/>
        </w:numPr>
        <w:autoSpaceDE w:val="0"/>
        <w:autoSpaceDN w:val="0"/>
        <w:adjustRightInd w:val="0"/>
        <w:spacing w:line="276" w:lineRule="auto"/>
        <w:rPr>
          <w:bCs w:val="0"/>
          <w:w w:val="92"/>
          <w:lang w:bidi="he-IL"/>
        </w:rPr>
      </w:pPr>
      <w:r w:rsidRPr="00C62636">
        <w:rPr>
          <w:bCs w:val="0"/>
          <w:w w:val="92"/>
          <w:lang w:bidi="he-IL"/>
        </w:rPr>
        <w:t>Koľko sa presne minulo zatial na systém KONS?</w:t>
      </w:r>
    </w:p>
    <w:p w:rsidR="00C62636" w:rsidRPr="00C62636" w:rsidP="00C62636">
      <w:pPr>
        <w:widowControl w:val="0"/>
        <w:autoSpaceDE w:val="0"/>
        <w:autoSpaceDN w:val="0"/>
        <w:adjustRightInd w:val="0"/>
        <w:ind w:left="9"/>
        <w:rPr>
          <w:bCs w:val="0"/>
          <w:w w:val="200"/>
          <w:lang w:bidi="he-IL"/>
        </w:rPr>
      </w:pPr>
    </w:p>
    <w:p w:rsidR="00C62636" w:rsidRPr="00C62636" w:rsidP="00C62636">
      <w:pPr>
        <w:widowControl w:val="0"/>
        <w:numPr>
          <w:ilvl w:val="0"/>
          <w:numId w:val="32"/>
        </w:numPr>
        <w:autoSpaceDE w:val="0"/>
        <w:autoSpaceDN w:val="0"/>
        <w:adjustRightInd w:val="0"/>
        <w:spacing w:line="276" w:lineRule="auto"/>
        <w:rPr>
          <w:bCs w:val="0"/>
          <w:lang w:bidi="he-IL"/>
        </w:rPr>
      </w:pPr>
      <w:r w:rsidRPr="00C62636">
        <w:rPr>
          <w:bCs w:val="0"/>
          <w:lang w:bidi="he-IL"/>
        </w:rPr>
        <w:t xml:space="preserve">Kolko sa zatial minulo podla zmluvy IBM? </w:t>
      </w:r>
    </w:p>
    <w:p w:rsidR="00C62636" w:rsidRPr="00C62636" w:rsidP="00C62636">
      <w:pPr>
        <w:widowControl w:val="0"/>
        <w:autoSpaceDE w:val="0"/>
        <w:autoSpaceDN w:val="0"/>
        <w:adjustRightInd w:val="0"/>
        <w:ind w:left="4"/>
        <w:rPr>
          <w:bCs w:val="0"/>
          <w:lang w:bidi="he-IL"/>
        </w:rPr>
      </w:pPr>
    </w:p>
    <w:p w:rsidR="00C62636" w:rsidRPr="00C62636" w:rsidP="00C62636">
      <w:pPr>
        <w:widowControl w:val="0"/>
        <w:numPr>
          <w:ilvl w:val="0"/>
          <w:numId w:val="32"/>
        </w:numPr>
        <w:autoSpaceDE w:val="0"/>
        <w:autoSpaceDN w:val="0"/>
        <w:adjustRightInd w:val="0"/>
        <w:spacing w:line="276" w:lineRule="auto"/>
        <w:rPr>
          <w:bCs w:val="0"/>
          <w:lang w:bidi="he-IL"/>
        </w:rPr>
      </w:pPr>
      <w:r w:rsidRPr="00C62636">
        <w:rPr>
          <w:bCs w:val="0"/>
          <w:lang w:bidi="he-IL"/>
        </w:rPr>
        <w:t>Koľko stál nákup nového HW v súvislosti s nasadením IS KONS?</w:t>
      </w:r>
    </w:p>
    <w:p w:rsidR="00C62636" w:rsidRPr="00C62636" w:rsidP="00C62636">
      <w:pPr>
        <w:widowControl w:val="0"/>
        <w:autoSpaceDE w:val="0"/>
        <w:autoSpaceDN w:val="0"/>
        <w:adjustRightInd w:val="0"/>
        <w:ind w:left="4"/>
        <w:rPr>
          <w:bCs w:val="0"/>
          <w:lang w:bidi="he-IL"/>
        </w:rPr>
      </w:pPr>
    </w:p>
    <w:p w:rsidR="00C62636" w:rsidRPr="00C62636" w:rsidP="00C62636">
      <w:pPr>
        <w:widowControl w:val="0"/>
        <w:numPr>
          <w:ilvl w:val="0"/>
          <w:numId w:val="32"/>
        </w:numPr>
        <w:autoSpaceDE w:val="0"/>
        <w:autoSpaceDN w:val="0"/>
        <w:adjustRightInd w:val="0"/>
        <w:spacing w:after="200" w:line="276" w:lineRule="auto"/>
        <w:rPr>
          <w:bCs w:val="0"/>
          <w:lang w:bidi="he-IL"/>
        </w:rPr>
      </w:pPr>
      <w:r w:rsidRPr="00C62636">
        <w:rPr>
          <w:bCs w:val="0"/>
          <w:lang w:bidi="he-IL"/>
        </w:rPr>
        <w:t xml:space="preserve">Môžete objasniť, na akej zmluvnej báze a vakom rozsahu v EUR FR SR kontrahovalo dodávateľov systémov EZU (Elektronický zber údajov), PKI (Elektronický Identifikátor) a AIS (Administratívny informačný systém)? vieme, že tieto systémy doteraz neboli riadne odovzdané a fakturované zákazníkovi. </w:t>
      </w:r>
    </w:p>
    <w:p w:rsidR="00C62636" w:rsidRPr="00C62636" w:rsidP="00C62636">
      <w:pPr>
        <w:widowControl w:val="0"/>
        <w:autoSpaceDE w:val="0"/>
        <w:autoSpaceDN w:val="0"/>
        <w:adjustRightInd w:val="0"/>
        <w:ind w:left="364"/>
        <w:rPr>
          <w:bCs w:val="0"/>
          <w:w w:val="200"/>
          <w:lang w:bidi="he-IL"/>
        </w:rPr>
      </w:pPr>
    </w:p>
    <w:p w:rsidR="00C62636" w:rsidRPr="00C62636" w:rsidP="00C62636">
      <w:pPr>
        <w:widowControl w:val="0"/>
        <w:numPr>
          <w:ilvl w:val="0"/>
          <w:numId w:val="32"/>
        </w:numPr>
        <w:autoSpaceDE w:val="0"/>
        <w:autoSpaceDN w:val="0"/>
        <w:adjustRightInd w:val="0"/>
        <w:spacing w:after="200" w:line="276" w:lineRule="auto"/>
        <w:ind w:right="432"/>
        <w:rPr>
          <w:bCs w:val="0"/>
          <w:lang w:bidi="he-IL"/>
        </w:rPr>
      </w:pPr>
      <w:r w:rsidRPr="00C62636">
        <w:rPr>
          <w:bCs w:val="0"/>
          <w:lang w:bidi="he-IL"/>
        </w:rPr>
        <w:t xml:space="preserve">Podľa dostupných informácii spoločnosť' Bank Pro Soft v prudkom rozpore so znením dodatku č. 2 zmluvy medzi IBM a FR SR, resp. jeho príloh, narába s produkčnými dátami/údajmi o daňových subjektoch, pričom túto kompetenciu má v zmysle platnej legislatívy výlučne FR SR? ako to viete vysvetliť? aké kroky ste podnikli na odstránenie tohto vážneho stavu? </w:t>
      </w:r>
    </w:p>
    <w:p w:rsidR="00C62636" w:rsidRPr="00C62636" w:rsidP="00C62636">
      <w:pPr>
        <w:ind w:left="708"/>
        <w:rPr>
          <w:bCs w:val="0"/>
          <w:sz w:val="22"/>
          <w:szCs w:val="22"/>
          <w:lang w:bidi="he-IL"/>
        </w:rPr>
      </w:pPr>
    </w:p>
    <w:p w:rsidR="00C62636" w:rsidRPr="00C62636" w:rsidP="00C62636">
      <w:pPr>
        <w:widowControl w:val="0"/>
        <w:numPr>
          <w:ilvl w:val="0"/>
          <w:numId w:val="32"/>
        </w:numPr>
        <w:autoSpaceDE w:val="0"/>
        <w:autoSpaceDN w:val="0"/>
        <w:adjustRightInd w:val="0"/>
        <w:spacing w:after="200" w:line="276" w:lineRule="auto"/>
        <w:ind w:right="432"/>
        <w:rPr>
          <w:bCs w:val="0"/>
          <w:lang w:bidi="he-IL"/>
        </w:rPr>
      </w:pPr>
      <w:r w:rsidRPr="00C62636">
        <w:rPr>
          <w:bCs w:val="0"/>
          <w:lang w:bidi="he-IL"/>
        </w:rPr>
        <w:t xml:space="preserve">Akým spôsobom a na aké obdobie je zabezpečená prevádzková podpora informačných systémov KONS  IS, EZU, AIS a PKI? aké garancie kvality a dostupnosti má FR SR z týchto zmlúv? na stránke </w:t>
      </w:r>
      <w:hyperlink r:id="rId4" w:history="1">
        <w:r w:rsidRPr="00C62636">
          <w:rPr>
            <w:bCs w:val="0"/>
            <w:u w:val="single"/>
            <w:lang w:bidi="he-IL"/>
          </w:rPr>
          <w:t>www.financnasprava.sk</w:t>
        </w:r>
      </w:hyperlink>
      <w:r w:rsidRPr="00C62636">
        <w:rPr>
          <w:bCs w:val="0"/>
          <w:lang w:bidi="he-IL"/>
        </w:rPr>
        <w:t xml:space="preserve"> ani na stránke </w:t>
      </w:r>
      <w:hyperlink r:id="rId5" w:history="1">
        <w:r w:rsidRPr="00C62636">
          <w:rPr>
            <w:bCs w:val="0"/>
            <w:u w:val="single"/>
            <w:lang w:bidi="he-IL"/>
          </w:rPr>
          <w:t>www.crz.gov.sk</w:t>
        </w:r>
      </w:hyperlink>
      <w:r w:rsidRPr="00C62636">
        <w:rPr>
          <w:bCs w:val="0"/>
          <w:lang w:bidi="he-IL"/>
        </w:rPr>
        <w:t xml:space="preserve"> takéto zmluvy neexistujú </w:t>
      </w:r>
    </w:p>
    <w:p w:rsidR="00C62636" w:rsidRPr="00C62636" w:rsidP="00C62636">
      <w:pPr>
        <w:ind w:left="708"/>
        <w:rPr>
          <w:bCs w:val="0"/>
          <w:sz w:val="22"/>
          <w:szCs w:val="22"/>
          <w:lang w:bidi="he-IL"/>
        </w:rPr>
      </w:pPr>
    </w:p>
    <w:p w:rsidR="00C62636" w:rsidRPr="00C62636" w:rsidP="00C62636">
      <w:pPr>
        <w:widowControl w:val="0"/>
        <w:numPr>
          <w:ilvl w:val="0"/>
          <w:numId w:val="32"/>
        </w:numPr>
        <w:autoSpaceDE w:val="0"/>
        <w:autoSpaceDN w:val="0"/>
        <w:adjustRightInd w:val="0"/>
        <w:spacing w:after="200" w:line="276" w:lineRule="auto"/>
        <w:ind w:right="432"/>
        <w:rPr>
          <w:bCs w:val="0"/>
          <w:lang w:bidi="he-IL"/>
        </w:rPr>
      </w:pPr>
      <w:r w:rsidRPr="00C62636">
        <w:rPr>
          <w:bCs w:val="0"/>
          <w:lang w:bidi="he-IL"/>
        </w:rPr>
        <w:t xml:space="preserve">Prečo FR SR neiniciovalo doteraz ďalší posun účinnosti par. 14 daňového poriadku vo veci povinnosti elektronického doručovania podaní  po 01. 04. 2012 keď FR SR nemá istotu ani pri spracovaní štandardizovaných dokumentov (priznania), nieto ešte neštandardizovaných podaní (rozhodnutia, oznámenia, žiadosti a pod.)? nepovažujete za riskantné, že kvôli technickým problémom proces po 01. 04. 2012 nebude zvládnutý? </w:t>
      </w:r>
    </w:p>
    <w:p w:rsidR="00C62636" w:rsidRPr="00C62636" w:rsidP="00C62636">
      <w:pPr>
        <w:ind w:left="708"/>
        <w:rPr>
          <w:bCs w:val="0"/>
          <w:sz w:val="22"/>
          <w:szCs w:val="22"/>
          <w:lang w:bidi="he-IL"/>
        </w:rPr>
      </w:pPr>
    </w:p>
    <w:p w:rsidR="00C62636" w:rsidRPr="00C62636" w:rsidP="00C62636">
      <w:pPr>
        <w:widowControl w:val="0"/>
        <w:numPr>
          <w:ilvl w:val="0"/>
          <w:numId w:val="32"/>
        </w:numPr>
        <w:autoSpaceDE w:val="0"/>
        <w:autoSpaceDN w:val="0"/>
        <w:adjustRightInd w:val="0"/>
        <w:spacing w:after="200" w:line="276" w:lineRule="auto"/>
        <w:ind w:right="432"/>
        <w:rPr>
          <w:bCs w:val="0"/>
          <w:lang w:bidi="he-IL"/>
        </w:rPr>
      </w:pPr>
      <w:r w:rsidRPr="00C62636">
        <w:rPr>
          <w:bCs w:val="0"/>
          <w:lang w:bidi="he-IL"/>
        </w:rPr>
        <w:t xml:space="preserve">Ako je Kompetenčné centrum fin. operácií pripravené na zvládnutie spracovania priznaní k dani z príjmu a následne spracovanie preplatkov v 04/2011? je systém KONS IS pripravený na operácie v </w:t>
      </w:r>
    </w:p>
    <w:p w:rsidR="00C62636" w:rsidRPr="00C62636" w:rsidP="00C62636">
      <w:pPr>
        <w:widowControl w:val="0"/>
        <w:autoSpaceDE w:val="0"/>
        <w:autoSpaceDN w:val="0"/>
        <w:adjustRightInd w:val="0"/>
        <w:ind w:left="364"/>
        <w:rPr>
          <w:bCs w:val="0"/>
          <w:lang w:bidi="he-IL"/>
        </w:rPr>
      </w:pPr>
      <w:r w:rsidRPr="00C62636">
        <w:rPr>
          <w:bCs w:val="0"/>
          <w:lang w:bidi="he-IL"/>
        </w:rPr>
        <w:t>počtoch niekoľkých 10ok tisíc?</w:t>
      </w:r>
    </w:p>
    <w:p w:rsidR="00C62636" w:rsidRPr="00C62636" w:rsidP="00C62636">
      <w:pPr>
        <w:widowControl w:val="0"/>
        <w:autoSpaceDE w:val="0"/>
        <w:autoSpaceDN w:val="0"/>
        <w:adjustRightInd w:val="0"/>
        <w:ind w:left="364"/>
        <w:rPr>
          <w:bCs w:val="0"/>
          <w:lang w:bidi="he-IL"/>
        </w:rPr>
      </w:pPr>
      <w:r w:rsidRPr="00C62636">
        <w:rPr>
          <w:bCs w:val="0"/>
          <w:lang w:bidi="he-IL"/>
        </w:rPr>
        <w:t xml:space="preserve"> </w:t>
      </w:r>
    </w:p>
    <w:p w:rsidR="00C62636" w:rsidRPr="00C62636" w:rsidP="00C62636">
      <w:pPr>
        <w:widowControl w:val="0"/>
        <w:numPr>
          <w:ilvl w:val="0"/>
          <w:numId w:val="32"/>
        </w:numPr>
        <w:autoSpaceDE w:val="0"/>
        <w:autoSpaceDN w:val="0"/>
        <w:adjustRightInd w:val="0"/>
        <w:spacing w:after="200" w:line="276" w:lineRule="auto"/>
        <w:ind w:right="62"/>
        <w:rPr>
          <w:bCs w:val="0"/>
          <w:lang w:bidi="he-IL"/>
        </w:rPr>
      </w:pPr>
      <w:r w:rsidRPr="00C62636">
        <w:rPr>
          <w:bCs w:val="0"/>
          <w:lang w:bidi="he-IL"/>
        </w:rPr>
        <w:t xml:space="preserve">Existuje vzájomne odsúhlasený harmonogram ďalších prác pri dobudovaní systému KONS IS medzi Bank Pro Soft a FR SR, resp. KCFO, ktorý je odsúhlasený aj užívateľmi (správcovia a registrátori, </w:t>
      </w:r>
    </w:p>
    <w:p w:rsidR="00C62636" w:rsidRPr="00C62636" w:rsidP="00C62636">
      <w:pPr>
        <w:widowControl w:val="0"/>
        <w:autoSpaceDE w:val="0"/>
        <w:autoSpaceDN w:val="0"/>
        <w:adjustRightInd w:val="0"/>
        <w:ind w:left="364"/>
        <w:rPr>
          <w:bCs w:val="0"/>
          <w:lang w:bidi="he-IL"/>
        </w:rPr>
      </w:pPr>
      <w:r w:rsidRPr="00C62636">
        <w:rPr>
          <w:bCs w:val="0"/>
          <w:lang w:bidi="he-IL"/>
        </w:rPr>
        <w:t xml:space="preserve">účtovníci štátnych príjmov) na úrovni odborných garantov? môžete tento prezentovať? </w:t>
      </w:r>
    </w:p>
    <w:p w:rsidR="00C62636" w:rsidRPr="00C62636" w:rsidP="00C62636">
      <w:pPr>
        <w:widowControl w:val="0"/>
        <w:autoSpaceDE w:val="0"/>
        <w:autoSpaceDN w:val="0"/>
        <w:adjustRightInd w:val="0"/>
        <w:ind w:left="364"/>
        <w:rPr>
          <w:bCs w:val="0"/>
          <w:lang w:bidi="he-IL"/>
        </w:rPr>
      </w:pPr>
    </w:p>
    <w:p w:rsidR="00C62636" w:rsidRPr="00C62636" w:rsidP="00C62636">
      <w:pPr>
        <w:widowControl w:val="0"/>
        <w:numPr>
          <w:ilvl w:val="0"/>
          <w:numId w:val="32"/>
        </w:numPr>
        <w:autoSpaceDE w:val="0"/>
        <w:autoSpaceDN w:val="0"/>
        <w:adjustRightInd w:val="0"/>
        <w:spacing w:after="200" w:line="276" w:lineRule="auto"/>
        <w:ind w:right="4"/>
        <w:rPr>
          <w:bCs w:val="0"/>
          <w:lang w:bidi="he-IL"/>
        </w:rPr>
      </w:pPr>
      <w:r w:rsidRPr="00C62636">
        <w:rPr>
          <w:bCs w:val="0"/>
          <w:lang w:bidi="he-IL"/>
        </w:rPr>
        <w:t xml:space="preserve">Aké konkrétne opatrenia ste prijali na odstránenie nedostatkov v spracovaní nadmerných odpočtov na DPH voči tuzemským subjektom a tiež zahraničným subjektom? </w:t>
      </w:r>
    </w:p>
    <w:p w:rsidR="00C62636" w:rsidP="00BA492B">
      <w:pPr>
        <w:jc w:val="both"/>
      </w:pPr>
    </w:p>
    <w:sectPr w:rsidSect="00BA492B">
      <w:footerReference w:type="even" r:id="rId6"/>
      <w:footerReference w:type="default" r:id="rId7"/>
      <w:pgSz w:w="11906" w:h="16838"/>
      <w:pgMar w:top="899" w:right="566" w:bottom="899"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5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AA2"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C4AA2"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AA2"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2636">
      <w:rPr>
        <w:rStyle w:val="PageNumber"/>
        <w:noProof/>
      </w:rPr>
      <w:t>6</w:t>
    </w:r>
    <w:r>
      <w:rPr>
        <w:rStyle w:val="PageNumber"/>
      </w:rPr>
      <w:fldChar w:fldCharType="end"/>
    </w:r>
  </w:p>
  <w:p w:rsidR="00EC4AA2"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2CA5"/>
    <w:multiLevelType w:val="hybridMultilevel"/>
    <w:tmpl w:val="4F724662"/>
    <w:lvl w:ilvl="0">
      <w:start w:val="1"/>
      <w:numFmt w:val="decimal"/>
      <w:lvlText w:val="%1."/>
      <w:lvlJc w:val="left"/>
      <w:pPr>
        <w:tabs>
          <w:tab w:val="num" w:pos="901"/>
        </w:tabs>
        <w:ind w:left="901" w:hanging="360"/>
      </w:pPr>
    </w:lvl>
    <w:lvl w:ilvl="1" w:tentative="1">
      <w:start w:val="1"/>
      <w:numFmt w:val="lowerLetter"/>
      <w:lvlText w:val="%2."/>
      <w:lvlJc w:val="left"/>
      <w:pPr>
        <w:tabs>
          <w:tab w:val="num" w:pos="1621"/>
        </w:tabs>
        <w:ind w:left="1621" w:hanging="360"/>
      </w:pPr>
    </w:lvl>
    <w:lvl w:ilvl="2" w:tentative="1">
      <w:start w:val="1"/>
      <w:numFmt w:val="lowerRoman"/>
      <w:lvlText w:val="%3."/>
      <w:lvlJc w:val="right"/>
      <w:pPr>
        <w:tabs>
          <w:tab w:val="num" w:pos="2341"/>
        </w:tabs>
        <w:ind w:left="2341" w:hanging="180"/>
      </w:pPr>
    </w:lvl>
    <w:lvl w:ilvl="3" w:tentative="1">
      <w:start w:val="1"/>
      <w:numFmt w:val="decimal"/>
      <w:lvlText w:val="%4."/>
      <w:lvlJc w:val="left"/>
      <w:pPr>
        <w:tabs>
          <w:tab w:val="num" w:pos="3061"/>
        </w:tabs>
        <w:ind w:left="3061" w:hanging="360"/>
      </w:pPr>
    </w:lvl>
    <w:lvl w:ilvl="4" w:tentative="1">
      <w:start w:val="1"/>
      <w:numFmt w:val="lowerLetter"/>
      <w:lvlText w:val="%5."/>
      <w:lvlJc w:val="left"/>
      <w:pPr>
        <w:tabs>
          <w:tab w:val="num" w:pos="3781"/>
        </w:tabs>
        <w:ind w:left="3781" w:hanging="360"/>
      </w:pPr>
    </w:lvl>
    <w:lvl w:ilvl="5" w:tentative="1">
      <w:start w:val="1"/>
      <w:numFmt w:val="lowerRoman"/>
      <w:lvlText w:val="%6."/>
      <w:lvlJc w:val="right"/>
      <w:pPr>
        <w:tabs>
          <w:tab w:val="num" w:pos="4501"/>
        </w:tabs>
        <w:ind w:left="4501" w:hanging="180"/>
      </w:pPr>
    </w:lvl>
    <w:lvl w:ilvl="6" w:tentative="1">
      <w:start w:val="1"/>
      <w:numFmt w:val="decimal"/>
      <w:lvlText w:val="%7."/>
      <w:lvlJc w:val="left"/>
      <w:pPr>
        <w:tabs>
          <w:tab w:val="num" w:pos="5221"/>
        </w:tabs>
        <w:ind w:left="5221" w:hanging="360"/>
      </w:pPr>
    </w:lvl>
    <w:lvl w:ilvl="7" w:tentative="1">
      <w:start w:val="1"/>
      <w:numFmt w:val="lowerLetter"/>
      <w:lvlText w:val="%8."/>
      <w:lvlJc w:val="left"/>
      <w:pPr>
        <w:tabs>
          <w:tab w:val="num" w:pos="5941"/>
        </w:tabs>
        <w:ind w:left="5941" w:hanging="360"/>
      </w:pPr>
    </w:lvl>
    <w:lvl w:ilvl="8" w:tentative="1">
      <w:start w:val="1"/>
      <w:numFmt w:val="lowerRoman"/>
      <w:lvlText w:val="%9."/>
      <w:lvlJc w:val="right"/>
      <w:pPr>
        <w:tabs>
          <w:tab w:val="num" w:pos="6661"/>
        </w:tabs>
        <w:ind w:left="6661" w:hanging="180"/>
      </w:pPr>
    </w:lvl>
  </w:abstractNum>
  <w:abstractNum w:abstractNumId="1">
    <w:nsid w:val="0ECF40AB"/>
    <w:multiLevelType w:val="hybridMultilevel"/>
    <w:tmpl w:val="D97877CC"/>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0036DE8"/>
    <w:multiLevelType w:val="hybridMultilevel"/>
    <w:tmpl w:val="5EA40DE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4D0302C"/>
    <w:multiLevelType w:val="hybridMultilevel"/>
    <w:tmpl w:val="0DA4BFAE"/>
    <w:lvl w:ilvl="0">
      <w:start w:val="1"/>
      <w:numFmt w:val="decimal"/>
      <w:lvlText w:val="%1."/>
      <w:lvlJc w:val="left"/>
      <w:pPr>
        <w:tabs>
          <w:tab w:val="num" w:pos="720"/>
        </w:tabs>
        <w:ind w:left="720" w:hanging="360"/>
      </w:pPr>
      <w:rPr>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i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8B57DB7"/>
    <w:multiLevelType w:val="hybridMultilevel"/>
    <w:tmpl w:val="73B685D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A211376"/>
    <w:multiLevelType w:val="hybridMultilevel"/>
    <w:tmpl w:val="B908D9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B75142B"/>
    <w:multiLevelType w:val="hybridMultilevel"/>
    <w:tmpl w:val="615EBEE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C757A70"/>
    <w:multiLevelType w:val="hybridMultilevel"/>
    <w:tmpl w:val="EB8AAD20"/>
    <w:lvl w:ilvl="0">
      <w:start w:val="1"/>
      <w:numFmt w:val="upperLetter"/>
      <w:lvlText w:val="%1."/>
      <w:lvlJc w:val="left"/>
      <w:pPr>
        <w:ind w:left="36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0D40E4"/>
    <w:multiLevelType w:val="hybridMultilevel"/>
    <w:tmpl w:val="1BDAF7EE"/>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4440F99"/>
    <w:multiLevelType w:val="hybridMultilevel"/>
    <w:tmpl w:val="C4161004"/>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5EE436A"/>
    <w:multiLevelType w:val="hybridMultilevel"/>
    <w:tmpl w:val="69F661D4"/>
    <w:lvl w:ilvl="0">
      <w:start w:val="1"/>
      <w:numFmt w:val="upperLetter"/>
      <w:lvlText w:val="%1."/>
      <w:lvlJc w:val="left"/>
      <w:pPr>
        <w:tabs>
          <w:tab w:val="num" w:pos="1440"/>
        </w:tabs>
        <w:ind w:left="1440" w:hanging="360"/>
      </w:pPr>
    </w:lvl>
    <w:lvl w:ilvl="1">
      <w:start w:val="1"/>
      <w:numFmt w:val="decimal"/>
      <w:lvlText w:val="%2."/>
      <w:lvlJc w:val="left"/>
      <w:pPr>
        <w:tabs>
          <w:tab w:val="num" w:pos="390"/>
        </w:tabs>
        <w:ind w:left="39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550"/>
        </w:tabs>
        <w:ind w:left="2550" w:hanging="360"/>
      </w:pPr>
    </w:lvl>
    <w:lvl w:ilvl="5">
      <w:start w:val="1"/>
      <w:numFmt w:val="decimal"/>
      <w:lvlText w:val="%6."/>
      <w:lvlJc w:val="left"/>
      <w:pPr>
        <w:tabs>
          <w:tab w:val="num" w:pos="3270"/>
        </w:tabs>
        <w:ind w:left="3270" w:hanging="360"/>
      </w:pPr>
    </w:lvl>
    <w:lvl w:ilvl="6">
      <w:start w:val="1"/>
      <w:numFmt w:val="decimal"/>
      <w:lvlText w:val="%7."/>
      <w:lvlJc w:val="left"/>
      <w:pPr>
        <w:tabs>
          <w:tab w:val="num" w:pos="3990"/>
        </w:tabs>
        <w:ind w:left="3990" w:hanging="360"/>
      </w:pPr>
    </w:lvl>
    <w:lvl w:ilvl="7">
      <w:start w:val="1"/>
      <w:numFmt w:val="decimal"/>
      <w:lvlText w:val="%8."/>
      <w:lvlJc w:val="left"/>
      <w:pPr>
        <w:tabs>
          <w:tab w:val="num" w:pos="4710"/>
        </w:tabs>
        <w:ind w:left="4710" w:hanging="360"/>
      </w:pPr>
    </w:lvl>
    <w:lvl w:ilvl="8">
      <w:start w:val="1"/>
      <w:numFmt w:val="decimal"/>
      <w:lvlText w:val="%9."/>
      <w:lvlJc w:val="left"/>
      <w:pPr>
        <w:tabs>
          <w:tab w:val="num" w:pos="5430"/>
        </w:tabs>
        <w:ind w:left="5430" w:hanging="360"/>
      </w:pPr>
    </w:lvl>
  </w:abstractNum>
  <w:abstractNum w:abstractNumId="11">
    <w:nsid w:val="2AD91230"/>
    <w:multiLevelType w:val="hybridMultilevel"/>
    <w:tmpl w:val="738656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ED94F03"/>
    <w:multiLevelType w:val="hybridMultilevel"/>
    <w:tmpl w:val="BFEEA1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6F27F11"/>
    <w:multiLevelType w:val="hybridMultilevel"/>
    <w:tmpl w:val="C902E4B2"/>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9010058"/>
    <w:multiLevelType w:val="hybridMultilevel"/>
    <w:tmpl w:val="DCDA1432"/>
    <w:lvl w:ilvl="0">
      <w:start w:val="1"/>
      <w:numFmt w:val="upp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5">
    <w:nsid w:val="56997125"/>
    <w:multiLevelType w:val="hybridMultilevel"/>
    <w:tmpl w:val="DB2014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9944D8F"/>
    <w:multiLevelType w:val="hybridMultilevel"/>
    <w:tmpl w:val="BFCEE23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9D68EE"/>
    <w:multiLevelType w:val="hybridMultilevel"/>
    <w:tmpl w:val="ED92BBDC"/>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BF47926"/>
    <w:multiLevelType w:val="hybridMultilevel"/>
    <w:tmpl w:val="D6E2296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5C8811BC"/>
    <w:multiLevelType w:val="hybridMultilevel"/>
    <w:tmpl w:val="F62479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2604DD7"/>
    <w:multiLevelType w:val="hybridMultilevel"/>
    <w:tmpl w:val="E9A8732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27A224D"/>
    <w:multiLevelType w:val="hybridMultilevel"/>
    <w:tmpl w:val="B39E32A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4234EC3"/>
    <w:multiLevelType w:val="hybridMultilevel"/>
    <w:tmpl w:val="A1D294D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nsid w:val="66FB7FD9"/>
    <w:multiLevelType w:val="multilevel"/>
    <w:tmpl w:val="1B1A2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9C87000"/>
    <w:multiLevelType w:val="hybridMultilevel"/>
    <w:tmpl w:val="02908A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AB856F7"/>
    <w:multiLevelType w:val="hybridMultilevel"/>
    <w:tmpl w:val="F530B9A4"/>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784B2C6F"/>
    <w:multiLevelType w:val="hybridMultilevel"/>
    <w:tmpl w:val="CB703DC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9FA4B42"/>
    <w:multiLevelType w:val="hybridMultilevel"/>
    <w:tmpl w:val="FD5ECA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AF00D57"/>
    <w:multiLevelType w:val="hybridMultilevel"/>
    <w:tmpl w:val="3CC813EC"/>
    <w:lvl w:ilvl="0">
      <w:start w:val="1"/>
      <w:numFmt w:val="lowerLetter"/>
      <w:lvlText w:val="%1)"/>
      <w:lvlJc w:val="left"/>
      <w:pPr>
        <w:tabs>
          <w:tab w:val="num" w:pos="363"/>
        </w:tabs>
        <w:ind w:left="363" w:hanging="227"/>
      </w:pPr>
      <w:rPr>
        <w:rFonts w:ascii="Arial Narrow" w:hAnsi="Arial Narrow" w:cs="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170"/>
        </w:tabs>
        <w:ind w:left="227" w:firstLine="113"/>
      </w:pPr>
      <w:rPr>
        <w:b w:val="0"/>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B7502A0"/>
    <w:multiLevelType w:val="hybridMultilevel"/>
    <w:tmpl w:val="E8AA571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D0211D3"/>
    <w:multiLevelType w:val="hybridMultilevel"/>
    <w:tmpl w:val="13E6D1A2"/>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4"/>
  </w:num>
  <w:num w:numId="5">
    <w:abstractNumId w:val="24"/>
  </w:num>
  <w:num w:numId="6">
    <w:abstractNumId w:val="5"/>
  </w:num>
  <w:num w:numId="7">
    <w:abstractNumId w:val="12"/>
  </w:num>
  <w:num w:numId="8">
    <w:abstractNumId w:val="26"/>
  </w:num>
  <w:num w:numId="9">
    <w:abstractNumId w:val="27"/>
  </w:num>
  <w:num w:numId="10">
    <w:abstractNumId w:val="1"/>
  </w:num>
  <w:num w:numId="11">
    <w:abstractNumId w:val="15"/>
  </w:num>
  <w:num w:numId="12">
    <w:abstractNumId w:val="8"/>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9"/>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9"/>
  </w:num>
  <w:num w:numId="19">
    <w:abstractNumId w:val="9"/>
  </w:num>
  <w:num w:numId="20">
    <w:abstractNumId w:val="22"/>
  </w:num>
  <w:num w:numId="21">
    <w:abstractNumId w:val="6"/>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7"/>
  </w:num>
  <w:num w:numId="25">
    <w:abstractNumId w:val="2"/>
  </w:num>
  <w:num w:numId="26">
    <w:abstractNumId w:val="14"/>
  </w:num>
  <w:num w:numId="27">
    <w:abstractNumId w:val="16"/>
  </w:num>
  <w:num w:numId="28">
    <w:abstractNumId w:val="20"/>
  </w:num>
  <w:num w:numId="29">
    <w:abstractNumId w:val="18"/>
  </w:num>
  <w:num w:numId="30">
    <w:abstractNumId w:val="23"/>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6EF"/>
    <w:rsid w:val="00006DD7"/>
    <w:rsid w:val="000107AE"/>
    <w:rsid w:val="000139BA"/>
    <w:rsid w:val="00015125"/>
    <w:rsid w:val="0002666C"/>
    <w:rsid w:val="0004001B"/>
    <w:rsid w:val="00040044"/>
    <w:rsid w:val="00041192"/>
    <w:rsid w:val="00045612"/>
    <w:rsid w:val="00045E54"/>
    <w:rsid w:val="0005173D"/>
    <w:rsid w:val="0005235B"/>
    <w:rsid w:val="00067F0B"/>
    <w:rsid w:val="0007451E"/>
    <w:rsid w:val="000826D8"/>
    <w:rsid w:val="00092341"/>
    <w:rsid w:val="00092B30"/>
    <w:rsid w:val="000A44A0"/>
    <w:rsid w:val="000A7E84"/>
    <w:rsid w:val="000B4AAD"/>
    <w:rsid w:val="000D0046"/>
    <w:rsid w:val="000D14F9"/>
    <w:rsid w:val="000D3DC1"/>
    <w:rsid w:val="000D4078"/>
    <w:rsid w:val="000E176D"/>
    <w:rsid w:val="000E58CA"/>
    <w:rsid w:val="000E5C35"/>
    <w:rsid w:val="0010647C"/>
    <w:rsid w:val="001117D7"/>
    <w:rsid w:val="0011524C"/>
    <w:rsid w:val="001212D5"/>
    <w:rsid w:val="00143F10"/>
    <w:rsid w:val="00152B22"/>
    <w:rsid w:val="00153E1E"/>
    <w:rsid w:val="001545C9"/>
    <w:rsid w:val="001559B7"/>
    <w:rsid w:val="00160830"/>
    <w:rsid w:val="001626EB"/>
    <w:rsid w:val="0016756E"/>
    <w:rsid w:val="001734EE"/>
    <w:rsid w:val="00183676"/>
    <w:rsid w:val="00184104"/>
    <w:rsid w:val="001846BB"/>
    <w:rsid w:val="001852E1"/>
    <w:rsid w:val="00192864"/>
    <w:rsid w:val="001957AD"/>
    <w:rsid w:val="001A602E"/>
    <w:rsid w:val="001B1E93"/>
    <w:rsid w:val="001B41F7"/>
    <w:rsid w:val="001C51E2"/>
    <w:rsid w:val="001C5BF3"/>
    <w:rsid w:val="001C6390"/>
    <w:rsid w:val="001D1076"/>
    <w:rsid w:val="001D5926"/>
    <w:rsid w:val="001D6BE4"/>
    <w:rsid w:val="001E6E4A"/>
    <w:rsid w:val="001E6F56"/>
    <w:rsid w:val="001F15B9"/>
    <w:rsid w:val="001F1FB7"/>
    <w:rsid w:val="00205C7B"/>
    <w:rsid w:val="00210542"/>
    <w:rsid w:val="00213659"/>
    <w:rsid w:val="00214BD9"/>
    <w:rsid w:val="00215963"/>
    <w:rsid w:val="00230FD5"/>
    <w:rsid w:val="002461A5"/>
    <w:rsid w:val="00254F23"/>
    <w:rsid w:val="00255E78"/>
    <w:rsid w:val="0026230D"/>
    <w:rsid w:val="0028499B"/>
    <w:rsid w:val="00294FAE"/>
    <w:rsid w:val="002A198C"/>
    <w:rsid w:val="002A59BC"/>
    <w:rsid w:val="002A6335"/>
    <w:rsid w:val="002A7220"/>
    <w:rsid w:val="002B6101"/>
    <w:rsid w:val="002C026F"/>
    <w:rsid w:val="002C62FF"/>
    <w:rsid w:val="002D29EA"/>
    <w:rsid w:val="002E46AB"/>
    <w:rsid w:val="00301227"/>
    <w:rsid w:val="00325E49"/>
    <w:rsid w:val="0032711D"/>
    <w:rsid w:val="003371B9"/>
    <w:rsid w:val="00342FD3"/>
    <w:rsid w:val="00347242"/>
    <w:rsid w:val="00352292"/>
    <w:rsid w:val="0035408C"/>
    <w:rsid w:val="00356336"/>
    <w:rsid w:val="003676F8"/>
    <w:rsid w:val="00370DA7"/>
    <w:rsid w:val="00371F1B"/>
    <w:rsid w:val="00373CBB"/>
    <w:rsid w:val="0038060C"/>
    <w:rsid w:val="00397CB2"/>
    <w:rsid w:val="003A4FC0"/>
    <w:rsid w:val="003B1B33"/>
    <w:rsid w:val="003C2355"/>
    <w:rsid w:val="003E4817"/>
    <w:rsid w:val="003E5C21"/>
    <w:rsid w:val="003E60B4"/>
    <w:rsid w:val="003F6F2E"/>
    <w:rsid w:val="00401691"/>
    <w:rsid w:val="00403E9B"/>
    <w:rsid w:val="00405D1C"/>
    <w:rsid w:val="00415698"/>
    <w:rsid w:val="004221A6"/>
    <w:rsid w:val="004231C1"/>
    <w:rsid w:val="004265B4"/>
    <w:rsid w:val="0043269C"/>
    <w:rsid w:val="00444BA9"/>
    <w:rsid w:val="00450C55"/>
    <w:rsid w:val="0046108E"/>
    <w:rsid w:val="00462415"/>
    <w:rsid w:val="00471DA7"/>
    <w:rsid w:val="0047332F"/>
    <w:rsid w:val="004770E8"/>
    <w:rsid w:val="00484867"/>
    <w:rsid w:val="004925DB"/>
    <w:rsid w:val="00493DCA"/>
    <w:rsid w:val="004A12F3"/>
    <w:rsid w:val="004A3E40"/>
    <w:rsid w:val="004D03C0"/>
    <w:rsid w:val="004D71D6"/>
    <w:rsid w:val="004E263D"/>
    <w:rsid w:val="004E2763"/>
    <w:rsid w:val="004E6C03"/>
    <w:rsid w:val="004F2B3E"/>
    <w:rsid w:val="004F45C8"/>
    <w:rsid w:val="00500C97"/>
    <w:rsid w:val="0050102D"/>
    <w:rsid w:val="00504177"/>
    <w:rsid w:val="00522678"/>
    <w:rsid w:val="005375F3"/>
    <w:rsid w:val="00552BE1"/>
    <w:rsid w:val="00556402"/>
    <w:rsid w:val="0057223B"/>
    <w:rsid w:val="005757C8"/>
    <w:rsid w:val="0058523A"/>
    <w:rsid w:val="005860D4"/>
    <w:rsid w:val="00587F18"/>
    <w:rsid w:val="00590FB8"/>
    <w:rsid w:val="00594981"/>
    <w:rsid w:val="00595842"/>
    <w:rsid w:val="00595B3A"/>
    <w:rsid w:val="005A244B"/>
    <w:rsid w:val="005A7352"/>
    <w:rsid w:val="005D04B9"/>
    <w:rsid w:val="005D1F0B"/>
    <w:rsid w:val="005D368F"/>
    <w:rsid w:val="005D62EB"/>
    <w:rsid w:val="005E27AA"/>
    <w:rsid w:val="005F2A14"/>
    <w:rsid w:val="00602FF8"/>
    <w:rsid w:val="006107BB"/>
    <w:rsid w:val="00611469"/>
    <w:rsid w:val="00622525"/>
    <w:rsid w:val="00624DDC"/>
    <w:rsid w:val="0063749C"/>
    <w:rsid w:val="00642D4E"/>
    <w:rsid w:val="006437A1"/>
    <w:rsid w:val="006443CB"/>
    <w:rsid w:val="0065582E"/>
    <w:rsid w:val="0066491A"/>
    <w:rsid w:val="00665A38"/>
    <w:rsid w:val="0066682E"/>
    <w:rsid w:val="00670BE9"/>
    <w:rsid w:val="006732DF"/>
    <w:rsid w:val="006A10EF"/>
    <w:rsid w:val="006A3C85"/>
    <w:rsid w:val="006A6D97"/>
    <w:rsid w:val="006C13E8"/>
    <w:rsid w:val="006D6B84"/>
    <w:rsid w:val="006E5A71"/>
    <w:rsid w:val="006F4192"/>
    <w:rsid w:val="007119E1"/>
    <w:rsid w:val="00714E4A"/>
    <w:rsid w:val="00716246"/>
    <w:rsid w:val="00716C63"/>
    <w:rsid w:val="00716D1C"/>
    <w:rsid w:val="00716FBB"/>
    <w:rsid w:val="00731798"/>
    <w:rsid w:val="00735015"/>
    <w:rsid w:val="00740E97"/>
    <w:rsid w:val="007451AB"/>
    <w:rsid w:val="0074684C"/>
    <w:rsid w:val="00753D13"/>
    <w:rsid w:val="00754367"/>
    <w:rsid w:val="0075529F"/>
    <w:rsid w:val="00766B24"/>
    <w:rsid w:val="00771DBB"/>
    <w:rsid w:val="00776A60"/>
    <w:rsid w:val="007865EF"/>
    <w:rsid w:val="00787F13"/>
    <w:rsid w:val="00791016"/>
    <w:rsid w:val="00795B9F"/>
    <w:rsid w:val="007965EB"/>
    <w:rsid w:val="007A7FC3"/>
    <w:rsid w:val="007B40ED"/>
    <w:rsid w:val="007C6EC6"/>
    <w:rsid w:val="007E168E"/>
    <w:rsid w:val="007F5430"/>
    <w:rsid w:val="00804043"/>
    <w:rsid w:val="00807FC4"/>
    <w:rsid w:val="0081158D"/>
    <w:rsid w:val="00813B4E"/>
    <w:rsid w:val="00815C0A"/>
    <w:rsid w:val="00830899"/>
    <w:rsid w:val="008458BA"/>
    <w:rsid w:val="008508F7"/>
    <w:rsid w:val="0085189B"/>
    <w:rsid w:val="008720CA"/>
    <w:rsid w:val="008769DE"/>
    <w:rsid w:val="00880343"/>
    <w:rsid w:val="00881478"/>
    <w:rsid w:val="00883651"/>
    <w:rsid w:val="0089148D"/>
    <w:rsid w:val="008A2AEF"/>
    <w:rsid w:val="008A65D4"/>
    <w:rsid w:val="008B052F"/>
    <w:rsid w:val="008C606C"/>
    <w:rsid w:val="008D037B"/>
    <w:rsid w:val="008D7D50"/>
    <w:rsid w:val="008E0724"/>
    <w:rsid w:val="008E46E2"/>
    <w:rsid w:val="008E4744"/>
    <w:rsid w:val="008E52C8"/>
    <w:rsid w:val="008F1D4B"/>
    <w:rsid w:val="008F35D7"/>
    <w:rsid w:val="00901501"/>
    <w:rsid w:val="00902EC3"/>
    <w:rsid w:val="009171A7"/>
    <w:rsid w:val="009434CE"/>
    <w:rsid w:val="00945E30"/>
    <w:rsid w:val="009534E4"/>
    <w:rsid w:val="00961FC4"/>
    <w:rsid w:val="00965D13"/>
    <w:rsid w:val="009673E9"/>
    <w:rsid w:val="00972CAE"/>
    <w:rsid w:val="00983FFA"/>
    <w:rsid w:val="00985280"/>
    <w:rsid w:val="00990B21"/>
    <w:rsid w:val="009940AF"/>
    <w:rsid w:val="00996EF0"/>
    <w:rsid w:val="009A475A"/>
    <w:rsid w:val="009A5069"/>
    <w:rsid w:val="009B1A9B"/>
    <w:rsid w:val="009B629D"/>
    <w:rsid w:val="009C5634"/>
    <w:rsid w:val="009D0655"/>
    <w:rsid w:val="009D3928"/>
    <w:rsid w:val="009E58D6"/>
    <w:rsid w:val="009E6FD9"/>
    <w:rsid w:val="009F0117"/>
    <w:rsid w:val="00A13BFD"/>
    <w:rsid w:val="00A22570"/>
    <w:rsid w:val="00A26DE4"/>
    <w:rsid w:val="00A42717"/>
    <w:rsid w:val="00A46F21"/>
    <w:rsid w:val="00A64B15"/>
    <w:rsid w:val="00A6685B"/>
    <w:rsid w:val="00A73ECD"/>
    <w:rsid w:val="00A7548A"/>
    <w:rsid w:val="00A76F2A"/>
    <w:rsid w:val="00A804A4"/>
    <w:rsid w:val="00A80718"/>
    <w:rsid w:val="00A8165F"/>
    <w:rsid w:val="00A8705A"/>
    <w:rsid w:val="00AC22E2"/>
    <w:rsid w:val="00AC65F9"/>
    <w:rsid w:val="00AC7EC3"/>
    <w:rsid w:val="00AE1F50"/>
    <w:rsid w:val="00AE3087"/>
    <w:rsid w:val="00AE69DF"/>
    <w:rsid w:val="00AF0917"/>
    <w:rsid w:val="00AF7145"/>
    <w:rsid w:val="00B16CED"/>
    <w:rsid w:val="00B614DE"/>
    <w:rsid w:val="00B64787"/>
    <w:rsid w:val="00B71E6A"/>
    <w:rsid w:val="00B774DD"/>
    <w:rsid w:val="00B87937"/>
    <w:rsid w:val="00B914F0"/>
    <w:rsid w:val="00B956AC"/>
    <w:rsid w:val="00B96135"/>
    <w:rsid w:val="00B97CFB"/>
    <w:rsid w:val="00BA1E88"/>
    <w:rsid w:val="00BA492B"/>
    <w:rsid w:val="00BB1415"/>
    <w:rsid w:val="00BB19BA"/>
    <w:rsid w:val="00BB42C8"/>
    <w:rsid w:val="00BB4DB1"/>
    <w:rsid w:val="00BB5C38"/>
    <w:rsid w:val="00BC2BF3"/>
    <w:rsid w:val="00BD1191"/>
    <w:rsid w:val="00BD172A"/>
    <w:rsid w:val="00BD37D8"/>
    <w:rsid w:val="00BD7172"/>
    <w:rsid w:val="00BE5478"/>
    <w:rsid w:val="00BE7117"/>
    <w:rsid w:val="00BE788B"/>
    <w:rsid w:val="00BF2B91"/>
    <w:rsid w:val="00C059CD"/>
    <w:rsid w:val="00C17C88"/>
    <w:rsid w:val="00C2409D"/>
    <w:rsid w:val="00C273F8"/>
    <w:rsid w:val="00C37D3C"/>
    <w:rsid w:val="00C40208"/>
    <w:rsid w:val="00C511AD"/>
    <w:rsid w:val="00C62636"/>
    <w:rsid w:val="00C637C7"/>
    <w:rsid w:val="00C74C86"/>
    <w:rsid w:val="00C81129"/>
    <w:rsid w:val="00C85101"/>
    <w:rsid w:val="00C91164"/>
    <w:rsid w:val="00C93F38"/>
    <w:rsid w:val="00CA02CA"/>
    <w:rsid w:val="00CA0E04"/>
    <w:rsid w:val="00CA4BC6"/>
    <w:rsid w:val="00CA5074"/>
    <w:rsid w:val="00CA7FA7"/>
    <w:rsid w:val="00CB45BF"/>
    <w:rsid w:val="00CB5AF6"/>
    <w:rsid w:val="00CB60CD"/>
    <w:rsid w:val="00CC021F"/>
    <w:rsid w:val="00CD3386"/>
    <w:rsid w:val="00CD5189"/>
    <w:rsid w:val="00CD56F7"/>
    <w:rsid w:val="00CD689C"/>
    <w:rsid w:val="00CE23DD"/>
    <w:rsid w:val="00CE5FA3"/>
    <w:rsid w:val="00CF0260"/>
    <w:rsid w:val="00CF1F6E"/>
    <w:rsid w:val="00CF7721"/>
    <w:rsid w:val="00D066CB"/>
    <w:rsid w:val="00D24006"/>
    <w:rsid w:val="00D248E6"/>
    <w:rsid w:val="00D3491C"/>
    <w:rsid w:val="00D43E19"/>
    <w:rsid w:val="00D51BBC"/>
    <w:rsid w:val="00D5389F"/>
    <w:rsid w:val="00D56CFD"/>
    <w:rsid w:val="00D60D33"/>
    <w:rsid w:val="00D77944"/>
    <w:rsid w:val="00D93A8F"/>
    <w:rsid w:val="00DB14FA"/>
    <w:rsid w:val="00DC342A"/>
    <w:rsid w:val="00DD72DC"/>
    <w:rsid w:val="00DE311B"/>
    <w:rsid w:val="00DF00E6"/>
    <w:rsid w:val="00DF4F09"/>
    <w:rsid w:val="00E077EC"/>
    <w:rsid w:val="00E13467"/>
    <w:rsid w:val="00E13FFC"/>
    <w:rsid w:val="00E165F4"/>
    <w:rsid w:val="00E20A99"/>
    <w:rsid w:val="00E24E2F"/>
    <w:rsid w:val="00E27648"/>
    <w:rsid w:val="00E3668B"/>
    <w:rsid w:val="00E4207A"/>
    <w:rsid w:val="00E42216"/>
    <w:rsid w:val="00E564B4"/>
    <w:rsid w:val="00E56CEF"/>
    <w:rsid w:val="00E70960"/>
    <w:rsid w:val="00E8666A"/>
    <w:rsid w:val="00E92427"/>
    <w:rsid w:val="00EA2888"/>
    <w:rsid w:val="00EA6751"/>
    <w:rsid w:val="00EA7E4D"/>
    <w:rsid w:val="00EC4AA2"/>
    <w:rsid w:val="00EC5F3F"/>
    <w:rsid w:val="00ED3C5E"/>
    <w:rsid w:val="00EE616F"/>
    <w:rsid w:val="00EF4635"/>
    <w:rsid w:val="00F00247"/>
    <w:rsid w:val="00F03B10"/>
    <w:rsid w:val="00F100E1"/>
    <w:rsid w:val="00F15963"/>
    <w:rsid w:val="00F328DE"/>
    <w:rsid w:val="00F6286E"/>
    <w:rsid w:val="00F70060"/>
    <w:rsid w:val="00F7316C"/>
    <w:rsid w:val="00F759C4"/>
    <w:rsid w:val="00F80E71"/>
    <w:rsid w:val="00F87FF3"/>
    <w:rsid w:val="00F966EF"/>
    <w:rsid w:val="00FE5514"/>
    <w:rsid w:val="00FF4581"/>
    <w:rsid w:val="00FF7D3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4"/>
      <w:szCs w:val="24"/>
      <w:lang w:val="sk-SK" w:eastAsia="sk-SK" w:bidi="ar-SA"/>
    </w:rPr>
  </w:style>
  <w:style w:type="paragraph" w:styleId="Heading1">
    <w:name w:val="heading 1"/>
    <w:basedOn w:val="Normal"/>
    <w:next w:val="Normal"/>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pPr>
      <w:ind w:left="1065"/>
      <w:jc w:val="both"/>
    </w:pPr>
    <w:rPr>
      <w:bCs w:val="0"/>
      <w:szCs w:val="20"/>
      <w:lang w:val="cs-CZ"/>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qFormat/>
    <w:rsid w:val="00092341"/>
    <w:rPr>
      <w:i/>
      <w:iCs/>
    </w:rPr>
  </w:style>
  <w:style w:type="paragraph" w:styleId="ListParagraph">
    <w:name w:val="List Paragraph"/>
    <w:basedOn w:val="Normal"/>
    <w:qFormat/>
    <w:rsid w:val="00D43E19"/>
    <w:pPr>
      <w:spacing w:after="200" w:line="276" w:lineRule="auto"/>
      <w:ind w:left="720"/>
      <w:contextualSpacing/>
    </w:pPr>
    <w:rPr>
      <w:rFonts w:ascii="Calibri" w:hAnsi="Calibri"/>
      <w:bCs w:val="0"/>
      <w:sz w:val="22"/>
      <w:szCs w:val="22"/>
    </w:rPr>
  </w:style>
  <w:style w:type="paragraph" w:customStyle="1" w:styleId="tl">
    <w:name w:val="Štýl"/>
    <w:rsid w:val="00A7548A"/>
    <w:pPr>
      <w:widowControl w:val="0"/>
      <w:autoSpaceDE w:val="0"/>
      <w:autoSpaceDN w:val="0"/>
      <w:adjustRightInd w:val="0"/>
    </w:pPr>
    <w:rPr>
      <w:rFonts w:ascii="Arial" w:hAnsi="Arial" w:cs="Arial"/>
      <w:sz w:val="24"/>
      <w:szCs w:val="24"/>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financnasprava.sk" TargetMode="External" /><Relationship Id="rId5" Type="http://schemas.openxmlformats.org/officeDocument/2006/relationships/hyperlink" Target="http://www.crz.gov.sk"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numbering" Target="numbering.xml" /><Relationship Id="rId9"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761</TotalTime>
  <Pages>7</Pages>
  <Words>2130</Words>
  <Characters>12144</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14246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Holubová, Petra</cp:lastModifiedBy>
  <cp:revision>287</cp:revision>
  <cp:lastPrinted>2011-04-14T14:45:00Z</cp:lastPrinted>
  <dcterms:created xsi:type="dcterms:W3CDTF">2003-06-05T11:59:00Z</dcterms:created>
  <dcterms:modified xsi:type="dcterms:W3CDTF">2012-02-28T09:20:00Z</dcterms:modified>
</cp:coreProperties>
</file>