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29B8" w:rsidRPr="007529B8" w:rsidP="007529B8">
      <w:pPr>
        <w:pStyle w:val="Heading1"/>
        <w:tabs>
          <w:tab w:val="left" w:pos="851"/>
        </w:tabs>
        <w:ind w:firstLine="143"/>
        <w:jc w:val="both"/>
        <w:rPr>
          <w:b/>
          <w:i w:val="0"/>
          <w:sz w:val="24"/>
        </w:rPr>
      </w:pPr>
      <w:r w:rsidRPr="007529B8">
        <w:rPr>
          <w:b/>
          <w:i w:val="0"/>
          <w:sz w:val="24"/>
        </w:rPr>
        <w:t xml:space="preserve">          ÚSTAVNOPRÁVNY VÝBOR</w:t>
      </w:r>
    </w:p>
    <w:p w:rsidR="007529B8" w:rsidP="007529B8">
      <w:pPr>
        <w:rPr>
          <w:b/>
        </w:rPr>
      </w:pPr>
      <w:r w:rsidRPr="00CD216B">
        <w:rPr>
          <w:b/>
        </w:rPr>
        <w:t>NÁRODNEJ RADY SLOVENSKEJ REPUBLIKY</w:t>
      </w:r>
    </w:p>
    <w:p w:rsidR="00877B8C" w:rsidRPr="00CD216B" w:rsidP="007529B8">
      <w:pPr>
        <w:rPr>
          <w:b/>
        </w:rPr>
      </w:pPr>
    </w:p>
    <w:p w:rsidR="007529B8" w:rsidRPr="00CD216B" w:rsidP="007529B8">
      <w:r w:rsidRPr="00CD216B">
        <w:tab/>
        <w:tab/>
        <w:tab/>
        <w:tab/>
        <w:tab/>
        <w:tab/>
        <w:tab/>
        <w:tab/>
        <w:tab/>
      </w:r>
      <w:r w:rsidR="005B59CD">
        <w:t>49</w:t>
      </w:r>
      <w:r w:rsidRPr="00CD216B">
        <w:t>. schôdza</w:t>
      </w:r>
    </w:p>
    <w:p w:rsidR="007529B8" w:rsidRPr="00CD216B" w:rsidP="007529B8">
      <w:r w:rsidRPr="00CD216B">
        <w:tab/>
        <w:tab/>
        <w:tab/>
        <w:tab/>
        <w:tab/>
        <w:tab/>
        <w:tab/>
        <w:tab/>
        <w:tab/>
        <w:t>Číslo: CRD-</w:t>
      </w:r>
      <w:r w:rsidR="005B59CD">
        <w:t>4645</w:t>
      </w:r>
      <w:r>
        <w:t>/</w:t>
      </w:r>
      <w:r w:rsidRPr="00CD216B">
        <w:t xml:space="preserve">2011 </w:t>
      </w:r>
    </w:p>
    <w:p w:rsidR="007529B8" w:rsidP="007529B8">
      <w:pPr>
        <w:jc w:val="center"/>
      </w:pPr>
    </w:p>
    <w:p w:rsidR="00877B8C" w:rsidP="007529B8">
      <w:pPr>
        <w:jc w:val="center"/>
      </w:pPr>
    </w:p>
    <w:p w:rsidR="007529B8" w:rsidRPr="00CD216B" w:rsidP="00877B8C">
      <w:pPr>
        <w:spacing w:line="360" w:lineRule="auto"/>
        <w:jc w:val="center"/>
        <w:rPr>
          <w:sz w:val="36"/>
          <w:szCs w:val="36"/>
        </w:rPr>
      </w:pPr>
      <w:r w:rsidR="00576782">
        <w:rPr>
          <w:sz w:val="36"/>
          <w:szCs w:val="36"/>
        </w:rPr>
        <w:t>35</w:t>
      </w:r>
      <w:r w:rsidR="000B4B73">
        <w:rPr>
          <w:sz w:val="36"/>
          <w:szCs w:val="36"/>
        </w:rPr>
        <w:t>1</w:t>
      </w:r>
    </w:p>
    <w:p w:rsidR="007529B8" w:rsidRPr="00CD216B" w:rsidP="00877B8C">
      <w:pPr>
        <w:spacing w:line="360" w:lineRule="auto"/>
        <w:jc w:val="center"/>
        <w:rPr>
          <w:b/>
        </w:rPr>
      </w:pPr>
      <w:r w:rsidRPr="00CD216B">
        <w:rPr>
          <w:b/>
        </w:rPr>
        <w:t>U z n e s e n i e</w:t>
      </w:r>
    </w:p>
    <w:p w:rsidR="007529B8" w:rsidRPr="00CD216B" w:rsidP="00877B8C">
      <w:pPr>
        <w:spacing w:line="360" w:lineRule="auto"/>
        <w:jc w:val="center"/>
        <w:rPr>
          <w:b/>
        </w:rPr>
      </w:pPr>
      <w:r w:rsidRPr="00CD216B">
        <w:rPr>
          <w:b/>
        </w:rPr>
        <w:t>Ústavnoprávneho výboru Národnej rady Slovenskej republiky</w:t>
      </w:r>
    </w:p>
    <w:p w:rsidR="007529B8" w:rsidRPr="00CD216B" w:rsidP="00877B8C">
      <w:pPr>
        <w:spacing w:line="360" w:lineRule="auto"/>
        <w:jc w:val="center"/>
        <w:rPr>
          <w:b/>
        </w:rPr>
      </w:pPr>
      <w:r w:rsidRPr="00CD216B">
        <w:rPr>
          <w:b/>
        </w:rPr>
        <w:t xml:space="preserve"> </w:t>
      </w:r>
      <w:r>
        <w:rPr>
          <w:b/>
        </w:rPr>
        <w:t>z</w:t>
      </w:r>
      <w:r w:rsidR="005B59CD">
        <w:rPr>
          <w:b/>
        </w:rPr>
        <w:t> 29. novembra</w:t>
      </w:r>
      <w:r w:rsidRPr="00CD216B">
        <w:rPr>
          <w:b/>
        </w:rPr>
        <w:t xml:space="preserve"> 2011</w:t>
      </w:r>
    </w:p>
    <w:p w:rsidR="007529B8" w:rsidRPr="0060628C" w:rsidP="00CC4351">
      <w:pPr>
        <w:spacing w:line="360" w:lineRule="auto"/>
        <w:jc w:val="center"/>
        <w:rPr>
          <w:b/>
        </w:rPr>
      </w:pPr>
    </w:p>
    <w:p w:rsidR="005B59CD" w:rsidRPr="0060628C" w:rsidP="0060628C">
      <w:pPr>
        <w:widowControl w:val="0"/>
        <w:spacing w:line="360" w:lineRule="auto"/>
        <w:jc w:val="both"/>
        <w:rPr>
          <w:rFonts w:cs="Arial"/>
          <w:b/>
        </w:rPr>
      </w:pPr>
      <w:r w:rsidRPr="0060628C" w:rsidR="0006058A">
        <w:t>prerokoval</w:t>
      </w:r>
      <w:r w:rsidRPr="0060628C" w:rsidR="00877B8C">
        <w:t xml:space="preserve"> </w:t>
      </w:r>
      <w:r w:rsidRPr="0060628C" w:rsidR="0060628C">
        <w:rPr>
          <w:b/>
        </w:rPr>
        <w:t xml:space="preserve">uznesenie </w:t>
      </w:r>
      <w:r w:rsidRPr="0060628C" w:rsidR="0060628C">
        <w:rPr>
          <w:rFonts w:cs="Arial"/>
          <w:b/>
        </w:rPr>
        <w:t>Národnej rady</w:t>
      </w:r>
      <w:r w:rsidRPr="0060628C" w:rsidR="0060628C">
        <w:rPr>
          <w:rFonts w:cs="Arial"/>
        </w:rPr>
        <w:t xml:space="preserve"> Slovenskej republiky z 29. novembra 2011 č. 701, ktorým žiada</w:t>
      </w:r>
      <w:r w:rsidRPr="0060628C" w:rsidR="0060628C">
        <w:rPr>
          <w:b/>
        </w:rPr>
        <w:t xml:space="preserve"> </w:t>
      </w:r>
      <w:r w:rsidRPr="0060628C" w:rsidR="0060628C">
        <w:t xml:space="preserve">Ústavnoprávny výbor Národnej rady Slovenskej republiky </w:t>
      </w:r>
      <w:r w:rsidRPr="0060628C" w:rsidR="0060628C">
        <w:rPr>
          <w:b/>
        </w:rPr>
        <w:t xml:space="preserve">o zaujatie stanoviska, </w:t>
      </w:r>
      <w:r w:rsidRPr="0060628C" w:rsidR="0060628C">
        <w:rPr>
          <w:rFonts w:cs="Arial"/>
          <w:b/>
        </w:rPr>
        <w:t xml:space="preserve">či vládny návrh zákona, </w:t>
      </w:r>
      <w:r w:rsidRPr="0060628C" w:rsidR="0060628C">
        <w:rPr>
          <w:rFonts w:cs="Arial"/>
        </w:rPr>
        <w:t xml:space="preserve">ktorým sa mení a dopĺňa zákon Slovenskej národnej rady č. 310/1992 Zb. o stavebnom sporení </w:t>
      </w:r>
      <w:r w:rsidRPr="0060628C" w:rsidR="0060628C">
        <w:rPr>
          <w:rFonts w:cs="Arial"/>
        </w:rPr>
        <w:t xml:space="preserve">v znení neskorších predpisov </w:t>
      </w:r>
      <w:r w:rsidRPr="0060628C" w:rsidR="0060628C">
        <w:rPr>
          <w:rFonts w:cs="Arial"/>
          <w:b/>
        </w:rPr>
        <w:t>(tlač 592)</w:t>
      </w:r>
      <w:r w:rsidRPr="0060628C" w:rsidR="0060628C">
        <w:rPr>
          <w:rFonts w:cs="Arial"/>
        </w:rPr>
        <w:t xml:space="preserve"> </w:t>
      </w:r>
      <w:r w:rsidRPr="0060628C" w:rsidR="0060628C">
        <w:rPr>
          <w:rFonts w:cs="Arial"/>
          <w:b/>
        </w:rPr>
        <w:t>je podaný</w:t>
      </w:r>
      <w:r w:rsidRPr="0060628C" w:rsidR="0060628C">
        <w:rPr>
          <w:rFonts w:cs="Arial"/>
        </w:rPr>
        <w:t xml:space="preserve"> na 26. schôdzu Národnej rady Slovenskej republiky </w:t>
      </w:r>
      <w:r w:rsidRPr="0060628C" w:rsidR="0060628C">
        <w:rPr>
          <w:rFonts w:cs="Arial"/>
          <w:b/>
        </w:rPr>
        <w:t>v súlade</w:t>
      </w:r>
      <w:r w:rsidRPr="0060628C" w:rsidR="0060628C">
        <w:rPr>
          <w:b/>
        </w:rPr>
        <w:t xml:space="preserve"> </w:t>
      </w:r>
      <w:r w:rsidRPr="0060628C" w:rsidR="0060628C">
        <w:rPr>
          <w:rFonts w:cs="Arial"/>
          <w:b/>
        </w:rPr>
        <w:t>s § 96 ods. 3 zákona</w:t>
      </w:r>
      <w:r w:rsidRPr="0060628C" w:rsidR="0060628C">
        <w:rPr>
          <w:rFonts w:cs="Arial"/>
        </w:rPr>
        <w:t xml:space="preserve"> Národnej rady Slovenskej republiky č. 350/1996 Z. z. </w:t>
      </w:r>
      <w:r w:rsidRPr="0060628C" w:rsidR="0060628C">
        <w:rPr>
          <w:rFonts w:cs="Arial"/>
          <w:b/>
        </w:rPr>
        <w:t>o rokovacom poriadku</w:t>
      </w:r>
      <w:r w:rsidRPr="0060628C" w:rsidR="0060628C">
        <w:rPr>
          <w:rFonts w:cs="Arial"/>
        </w:rPr>
        <w:t xml:space="preserve"> Národnej rady Slovenskej republiky v znení neskoršíc</w:t>
      </w:r>
      <w:r w:rsidRPr="0060628C" w:rsidR="0060628C">
        <w:rPr>
          <w:rFonts w:cs="Arial"/>
        </w:rPr>
        <w:t xml:space="preserve">h predpisov </w:t>
      </w:r>
    </w:p>
    <w:p w:rsidR="0006058A" w:rsidRPr="0060628C" w:rsidP="00CC4351">
      <w:pPr>
        <w:tabs>
          <w:tab w:val="left" w:pos="3780"/>
        </w:tabs>
        <w:spacing w:line="360" w:lineRule="auto"/>
        <w:jc w:val="both"/>
      </w:pPr>
    </w:p>
    <w:p w:rsidR="007529B8" w:rsidRPr="00CD216B" w:rsidP="00877B8C">
      <w:pPr>
        <w:spacing w:line="360" w:lineRule="auto"/>
        <w:jc w:val="center"/>
        <w:rPr>
          <w:b/>
        </w:rPr>
      </w:pPr>
    </w:p>
    <w:p w:rsidR="007529B8" w:rsidRPr="00CD216B" w:rsidP="00877B8C">
      <w:pPr>
        <w:pStyle w:val="Heading2"/>
        <w:spacing w:line="360" w:lineRule="auto"/>
        <w:ind w:firstLine="720"/>
      </w:pPr>
      <w:r w:rsidRPr="00CD216B">
        <w:t>Ústavnoprávny výbor Národnej rady Slovenskej republiky</w:t>
      </w:r>
    </w:p>
    <w:p w:rsidR="007529B8" w:rsidP="00877B8C">
      <w:pPr>
        <w:spacing w:line="360" w:lineRule="auto"/>
        <w:ind w:firstLine="720"/>
        <w:rPr>
          <w:lang w:val="cs-CZ"/>
        </w:rPr>
      </w:pPr>
    </w:p>
    <w:p w:rsidR="00E67847" w:rsidP="00877B8C">
      <w:pPr>
        <w:spacing w:line="360" w:lineRule="auto"/>
        <w:ind w:firstLine="720"/>
        <w:rPr>
          <w:lang w:val="cs-CZ"/>
        </w:rPr>
      </w:pPr>
    </w:p>
    <w:p w:rsidR="00E67847" w:rsidP="00E67847">
      <w:pPr>
        <w:pStyle w:val="Heading2"/>
        <w:numPr>
          <w:ilvl w:val="0"/>
          <w:numId w:val="37"/>
        </w:numPr>
        <w:tabs>
          <w:tab w:val="num" w:pos="720"/>
          <w:tab w:val="clear" w:pos="1260"/>
        </w:tabs>
        <w:spacing w:line="360" w:lineRule="auto"/>
        <w:ind w:left="1080"/>
        <w:rPr>
          <w:bCs w:val="0"/>
        </w:rPr>
      </w:pPr>
      <w:r>
        <w:rPr>
          <w:bCs w:val="0"/>
        </w:rPr>
        <w:t xml:space="preserve">s c h v a ľ u j e </w:t>
      </w:r>
    </w:p>
    <w:p w:rsidR="00E67847" w:rsidP="00E67847">
      <w:pPr>
        <w:pStyle w:val="Heading2"/>
        <w:spacing w:line="360" w:lineRule="auto"/>
        <w:ind w:left="1080" w:firstLine="0"/>
        <w:rPr>
          <w:bCs w:val="0"/>
        </w:rPr>
      </w:pPr>
    </w:p>
    <w:p w:rsidR="00C54D4A" w:rsidRPr="00E67847" w:rsidP="00E67847">
      <w:pPr>
        <w:pStyle w:val="Heading2"/>
        <w:spacing w:line="360" w:lineRule="auto"/>
        <w:ind w:left="1080" w:firstLine="0"/>
        <w:rPr>
          <w:bCs w:val="0"/>
        </w:rPr>
      </w:pPr>
      <w:r w:rsidRPr="00E67847" w:rsidR="00E67847">
        <w:rPr>
          <w:bCs w:val="0"/>
        </w:rPr>
        <w:t xml:space="preserve">stanovisko tohto znenia: </w:t>
      </w:r>
    </w:p>
    <w:p w:rsidR="00E67847" w:rsidP="00E67847"/>
    <w:p w:rsidR="00E67847" w:rsidRPr="00E67847" w:rsidP="00E67847"/>
    <w:p w:rsidR="00FD6D69" w:rsidRPr="00216E63" w:rsidP="00877B8C">
      <w:pPr>
        <w:spacing w:line="360" w:lineRule="auto"/>
        <w:ind w:firstLine="1065"/>
        <w:jc w:val="both"/>
      </w:pPr>
      <w:r w:rsidRPr="005B59CD" w:rsidR="005B59CD">
        <w:rPr>
          <w:rFonts w:cs="Arial"/>
          <w:b/>
          <w:sz w:val="22"/>
          <w:szCs w:val="22"/>
        </w:rPr>
        <w:t xml:space="preserve">vládny návrh zákona, </w:t>
      </w:r>
      <w:r w:rsidR="005B59CD">
        <w:rPr>
          <w:rFonts w:cs="Arial"/>
          <w:sz w:val="22"/>
          <w:szCs w:val="22"/>
        </w:rPr>
        <w:t>ktorým sa mení a dopĺňa zá</w:t>
      </w:r>
      <w:r w:rsidR="00216E63">
        <w:rPr>
          <w:rFonts w:cs="Arial"/>
          <w:sz w:val="22"/>
          <w:szCs w:val="22"/>
        </w:rPr>
        <w:t>kon Slovenskej národnej rady č. </w:t>
      </w:r>
      <w:r w:rsidR="005B59CD">
        <w:rPr>
          <w:rFonts w:cs="Arial"/>
          <w:sz w:val="22"/>
          <w:szCs w:val="22"/>
        </w:rPr>
        <w:t>310/1992 Zb. o stavebnom sporení v znení neskorších predp</w:t>
      </w:r>
      <w:r w:rsidR="005B59CD">
        <w:rPr>
          <w:rFonts w:cs="Arial"/>
          <w:sz w:val="22"/>
          <w:szCs w:val="22"/>
        </w:rPr>
        <w:t xml:space="preserve">isov </w:t>
      </w:r>
      <w:r w:rsidRPr="005B59CD" w:rsidR="005B59CD">
        <w:rPr>
          <w:rFonts w:cs="Arial"/>
          <w:b/>
          <w:sz w:val="22"/>
          <w:szCs w:val="22"/>
        </w:rPr>
        <w:t>(tlač 592)</w:t>
      </w:r>
      <w:r w:rsidR="005B59CD">
        <w:rPr>
          <w:rFonts w:cs="Arial"/>
          <w:sz w:val="22"/>
          <w:szCs w:val="22"/>
        </w:rPr>
        <w:t xml:space="preserve">  </w:t>
      </w:r>
      <w:r w:rsidRPr="00FD6D69">
        <w:rPr>
          <w:b/>
        </w:rPr>
        <w:t xml:space="preserve">nie je podaný </w:t>
      </w:r>
      <w:r w:rsidRPr="0060628C" w:rsidR="00E67847">
        <w:rPr>
          <w:rFonts w:cs="Arial"/>
        </w:rPr>
        <w:t xml:space="preserve">na 26. schôdzu Národnej rady Slovenskej republiky </w:t>
      </w:r>
      <w:r>
        <w:rPr>
          <w:b/>
        </w:rPr>
        <w:t>v súlade s </w:t>
      </w:r>
      <w:r w:rsidRPr="00FD6D69">
        <w:rPr>
          <w:b/>
        </w:rPr>
        <w:t>§</w:t>
      </w:r>
      <w:r>
        <w:rPr>
          <w:b/>
        </w:rPr>
        <w:t> </w:t>
      </w:r>
      <w:r w:rsidRPr="00FD6D69">
        <w:rPr>
          <w:b/>
        </w:rPr>
        <w:t xml:space="preserve">96 ods. 3 rokovacieho poriadku </w:t>
      </w:r>
      <w:r w:rsidR="00216E63">
        <w:rPr>
          <w:b/>
        </w:rPr>
        <w:t>Národnej rady</w:t>
      </w:r>
      <w:r w:rsidR="00E67847">
        <w:rPr>
          <w:b/>
        </w:rPr>
        <w:t>,</w:t>
      </w:r>
      <w:r w:rsidR="00216E63">
        <w:rPr>
          <w:b/>
        </w:rPr>
        <w:t xml:space="preserve"> </w:t>
      </w:r>
      <w:r w:rsidR="00216E63">
        <w:t>nakoľko odo dňa neschválenia zákona</w:t>
      </w:r>
      <w:r w:rsidR="00E67847">
        <w:t xml:space="preserve">, ktorým sa mení a dopĺňa zákon Slovenskej národnej rady č. 310/1992 Zb. </w:t>
      </w:r>
      <w:r w:rsidR="00216E63">
        <w:t xml:space="preserve">o stavebnom sporení </w:t>
      </w:r>
      <w:r w:rsidR="00E67847">
        <w:t xml:space="preserve">v znení neskorších predpisov </w:t>
      </w:r>
      <w:r w:rsidR="00216E63">
        <w:t xml:space="preserve">(tlač </w:t>
      </w:r>
      <w:r w:rsidR="00E67847">
        <w:t>528</w:t>
      </w:r>
      <w:r w:rsidR="00216E63">
        <w:t xml:space="preserve">)  neuplynulo šesť mesiacov; </w:t>
      </w:r>
    </w:p>
    <w:p w:rsidR="00216E63" w:rsidP="00216E63">
      <w:pPr>
        <w:spacing w:line="360" w:lineRule="auto"/>
        <w:ind w:firstLine="709"/>
        <w:jc w:val="both"/>
      </w:pPr>
    </w:p>
    <w:p w:rsidR="00FF25A7" w:rsidP="00877B8C">
      <w:pPr>
        <w:spacing w:line="360" w:lineRule="auto"/>
        <w:ind w:firstLine="1065"/>
        <w:jc w:val="both"/>
      </w:pPr>
    </w:p>
    <w:p w:rsidR="00FD6D69" w:rsidP="00877B8C">
      <w:pPr>
        <w:spacing w:line="360" w:lineRule="auto"/>
        <w:jc w:val="both"/>
      </w:pPr>
      <w:r>
        <w:tab/>
      </w:r>
      <w:r>
        <w:rPr>
          <w:b/>
          <w:bCs/>
        </w:rPr>
        <w:t>B</w:t>
      </w:r>
      <w:r>
        <w:rPr>
          <w:b/>
        </w:rPr>
        <w:t>.  u k l a d á</w:t>
      </w:r>
    </w:p>
    <w:p w:rsidR="00FD6D69" w:rsidP="00877B8C">
      <w:pPr>
        <w:spacing w:line="360" w:lineRule="auto"/>
        <w:jc w:val="both"/>
      </w:pPr>
      <w:r>
        <w:tab/>
        <w:tab/>
      </w:r>
    </w:p>
    <w:p w:rsidR="00FD6D69" w:rsidP="00877B8C">
      <w:pPr>
        <w:spacing w:line="360" w:lineRule="auto"/>
        <w:jc w:val="both"/>
      </w:pPr>
      <w:r>
        <w:tab/>
        <w:t xml:space="preserve">      predsedovi výboru</w:t>
      </w:r>
    </w:p>
    <w:p w:rsidR="00877B8C" w:rsidP="00877B8C">
      <w:pPr>
        <w:spacing w:line="360" w:lineRule="auto"/>
        <w:ind w:left="1068"/>
        <w:jc w:val="both"/>
      </w:pPr>
    </w:p>
    <w:p w:rsidR="00FD6D69" w:rsidP="00877B8C">
      <w:pPr>
        <w:spacing w:line="360" w:lineRule="auto"/>
        <w:ind w:left="1068"/>
        <w:jc w:val="both"/>
      </w:pPr>
      <w:r>
        <w:t>oznámiť stanovisko výboru predsedovi Národnej rady Slovenskej republiky.</w:t>
      </w:r>
    </w:p>
    <w:p w:rsidR="00FD6D69" w:rsidP="00877B8C">
      <w:pPr>
        <w:spacing w:line="360" w:lineRule="auto"/>
        <w:ind w:firstLine="900"/>
        <w:jc w:val="both"/>
      </w:pPr>
    </w:p>
    <w:p w:rsidR="00C54D4A" w:rsidP="00877B8C">
      <w:pPr>
        <w:spacing w:line="360" w:lineRule="auto"/>
        <w:ind w:firstLine="900"/>
        <w:jc w:val="both"/>
      </w:pPr>
    </w:p>
    <w:p w:rsidR="00CC4351" w:rsidP="00877B8C">
      <w:pPr>
        <w:spacing w:line="360" w:lineRule="auto"/>
        <w:ind w:firstLine="900"/>
        <w:jc w:val="both"/>
      </w:pPr>
    </w:p>
    <w:p w:rsidR="00CC4351" w:rsidP="00877B8C">
      <w:pPr>
        <w:spacing w:line="360" w:lineRule="auto"/>
        <w:ind w:firstLine="900"/>
        <w:jc w:val="both"/>
      </w:pPr>
    </w:p>
    <w:p w:rsidR="005B59CD" w:rsidP="00877B8C">
      <w:pPr>
        <w:spacing w:line="360" w:lineRule="auto"/>
        <w:ind w:firstLine="900"/>
        <w:jc w:val="both"/>
      </w:pPr>
    </w:p>
    <w:p w:rsidR="005B59CD" w:rsidP="00877B8C">
      <w:pPr>
        <w:spacing w:line="360" w:lineRule="auto"/>
        <w:ind w:firstLine="900"/>
        <w:jc w:val="both"/>
      </w:pPr>
    </w:p>
    <w:p w:rsidR="007529B8" w:rsidRPr="00CD216B" w:rsidP="00877B8C">
      <w:pPr>
        <w:spacing w:line="360" w:lineRule="auto"/>
        <w:jc w:val="both"/>
        <w:rPr>
          <w:rFonts w:ascii="AT*Toronto" w:hAnsi="AT*Toronto"/>
        </w:rPr>
      </w:pPr>
      <w:r w:rsidRPr="00CD216B">
        <w:tab/>
        <w:tab/>
        <w:tab/>
        <w:tab/>
        <w:tab/>
        <w:tab/>
        <w:tab/>
        <w:tab/>
        <w:tab/>
        <w:tab/>
        <w:t>Radoslav Procházka</w:t>
      </w:r>
    </w:p>
    <w:p w:rsidR="007529B8" w:rsidRPr="00CD216B" w:rsidP="00877B8C">
      <w:pPr>
        <w:spacing w:line="360" w:lineRule="auto"/>
        <w:ind w:left="2124" w:firstLine="4989"/>
        <w:jc w:val="both"/>
        <w:rPr>
          <w:rFonts w:ascii="AT*Toronto" w:hAnsi="AT*Toronto"/>
        </w:rPr>
      </w:pPr>
      <w:r w:rsidRPr="00CD216B">
        <w:t xml:space="preserve">  predseda výboru</w:t>
      </w:r>
    </w:p>
    <w:p w:rsidR="007529B8" w:rsidRPr="00CD216B" w:rsidP="00877B8C">
      <w:pPr>
        <w:tabs>
          <w:tab w:val="left" w:pos="1021"/>
        </w:tabs>
        <w:spacing w:line="360" w:lineRule="auto"/>
        <w:jc w:val="both"/>
      </w:pPr>
      <w:r w:rsidRPr="00CD216B">
        <w:t>overovatelia výboru:</w:t>
      </w:r>
    </w:p>
    <w:p w:rsidR="007529B8" w:rsidRPr="00CD216B" w:rsidP="00877B8C">
      <w:pPr>
        <w:spacing w:line="360" w:lineRule="auto"/>
        <w:ind w:left="6480" w:hanging="6480"/>
        <w:jc w:val="both"/>
      </w:pPr>
      <w:r w:rsidRPr="00CD216B">
        <w:t>Jana Dubovcová</w:t>
      </w:r>
    </w:p>
    <w:p w:rsidR="007529B8" w:rsidRPr="00CD216B" w:rsidP="00877B8C">
      <w:pPr>
        <w:spacing w:line="360" w:lineRule="auto"/>
        <w:ind w:left="6480" w:hanging="6480"/>
        <w:jc w:val="both"/>
      </w:pPr>
      <w:r w:rsidRPr="00CD216B">
        <w:t>Róbert Madej</w:t>
      </w:r>
    </w:p>
    <w:p w:rsidR="007529B8" w:rsidRPr="00CD216B" w:rsidP="00877B8C">
      <w:pPr>
        <w:spacing w:line="360" w:lineRule="auto"/>
        <w:ind w:left="6480"/>
        <w:jc w:val="both"/>
      </w:pPr>
    </w:p>
    <w:p w:rsidR="007529B8" w:rsidRPr="00CD216B" w:rsidP="00877B8C">
      <w:pPr>
        <w:pStyle w:val="BodyTextIndent"/>
        <w:spacing w:line="360" w:lineRule="auto"/>
      </w:pPr>
    </w:p>
    <w:p w:rsidR="007529B8" w:rsidRPr="00CD216B" w:rsidP="00877B8C">
      <w:pPr>
        <w:tabs>
          <w:tab w:val="left" w:pos="1021"/>
        </w:tabs>
        <w:spacing w:line="360" w:lineRule="auto"/>
        <w:jc w:val="both"/>
      </w:pPr>
      <w:r w:rsidRPr="00CD216B">
        <w:tab/>
        <w:tab/>
        <w:tab/>
        <w:tab/>
        <w:tab/>
      </w:r>
    </w:p>
    <w:p w:rsidR="007529B8" w:rsidRPr="00CD216B" w:rsidP="00877B8C">
      <w:pPr>
        <w:tabs>
          <w:tab w:val="left" w:pos="1021"/>
        </w:tabs>
        <w:spacing w:line="360" w:lineRule="auto"/>
        <w:jc w:val="both"/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42313"/>
    <w:multiLevelType w:val="hybridMultilevel"/>
    <w:tmpl w:val="2F26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A4603"/>
    <w:multiLevelType w:val="hybridMultilevel"/>
    <w:tmpl w:val="159EA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14512"/>
    <w:multiLevelType w:val="hybridMultilevel"/>
    <w:tmpl w:val="5802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53566A"/>
    <w:multiLevelType w:val="hybridMultilevel"/>
    <w:tmpl w:val="E946C8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15E52"/>
    <w:multiLevelType w:val="hybridMultilevel"/>
    <w:tmpl w:val="507C38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A46E0"/>
    <w:multiLevelType w:val="hybridMultilevel"/>
    <w:tmpl w:val="90BAD47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93C3F"/>
    <w:multiLevelType w:val="hybridMultilevel"/>
    <w:tmpl w:val="AF7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4423B7"/>
    <w:multiLevelType w:val="hybridMultilevel"/>
    <w:tmpl w:val="A442F28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CCC5509"/>
    <w:multiLevelType w:val="hybridMultilevel"/>
    <w:tmpl w:val="999E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2F66A1"/>
    <w:multiLevelType w:val="hybridMultilevel"/>
    <w:tmpl w:val="0ED0AF20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5AB195C"/>
    <w:multiLevelType w:val="hybridMultilevel"/>
    <w:tmpl w:val="AF8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C04E51"/>
    <w:multiLevelType w:val="hybridMultilevel"/>
    <w:tmpl w:val="5742E71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8097923"/>
    <w:multiLevelType w:val="multilevel"/>
    <w:tmpl w:val="647686AC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58"/>
        </w:tabs>
        <w:ind w:left="1758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hint="default"/>
      </w:rPr>
    </w:lvl>
  </w:abstractNum>
  <w:abstractNum w:abstractNumId="16">
    <w:nsid w:val="38B411EF"/>
    <w:multiLevelType w:val="hybridMultilevel"/>
    <w:tmpl w:val="593A724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EC95B50"/>
    <w:multiLevelType w:val="hybridMultilevel"/>
    <w:tmpl w:val="951610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B139E8"/>
    <w:multiLevelType w:val="hybridMultilevel"/>
    <w:tmpl w:val="3DD8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330805"/>
    <w:multiLevelType w:val="hybridMultilevel"/>
    <w:tmpl w:val="8B8AA3C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C290B17"/>
    <w:multiLevelType w:val="hybridMultilevel"/>
    <w:tmpl w:val="441074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DF3147"/>
    <w:multiLevelType w:val="hybridMultilevel"/>
    <w:tmpl w:val="387AEFC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384F21"/>
    <w:multiLevelType w:val="hybridMultilevel"/>
    <w:tmpl w:val="402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4E692E"/>
    <w:multiLevelType w:val="hybridMultilevel"/>
    <w:tmpl w:val="D3ECA3E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F76C99"/>
    <w:multiLevelType w:val="hybridMultilevel"/>
    <w:tmpl w:val="049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B05B0E"/>
    <w:multiLevelType w:val="hybridMultilevel"/>
    <w:tmpl w:val="6B0E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A5316C"/>
    <w:multiLevelType w:val="hybridMultilevel"/>
    <w:tmpl w:val="70ACEB9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E370957"/>
    <w:multiLevelType w:val="hybridMultilevel"/>
    <w:tmpl w:val="DB92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115085E"/>
    <w:multiLevelType w:val="hybridMultilevel"/>
    <w:tmpl w:val="481CCB6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5A5BC3"/>
    <w:multiLevelType w:val="hybridMultilevel"/>
    <w:tmpl w:val="16507E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46316B"/>
    <w:multiLevelType w:val="hybridMultilevel"/>
    <w:tmpl w:val="1A0E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C62E68"/>
    <w:multiLevelType w:val="hybridMultilevel"/>
    <w:tmpl w:val="DAC0B5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9BE4534"/>
    <w:multiLevelType w:val="hybridMultilevel"/>
    <w:tmpl w:val="1818BEB4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7EC947E3"/>
    <w:multiLevelType w:val="hybridMultilevel"/>
    <w:tmpl w:val="300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3"/>
  </w:num>
  <w:num w:numId="3">
    <w:abstractNumId w:val="34"/>
  </w:num>
  <w:num w:numId="4">
    <w:abstractNumId w:val="32"/>
  </w:num>
  <w:num w:numId="5">
    <w:abstractNumId w:val="12"/>
  </w:num>
  <w:num w:numId="6">
    <w:abstractNumId w:val="24"/>
  </w:num>
  <w:num w:numId="7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1"/>
  </w:num>
  <w:num w:numId="10">
    <w:abstractNumId w:val="3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5"/>
  </w:num>
  <w:num w:numId="17">
    <w:abstractNumId w:val="4"/>
  </w:num>
  <w:num w:numId="18">
    <w:abstractNumId w:val="8"/>
  </w:num>
  <w:num w:numId="19">
    <w:abstractNumId w:val="27"/>
  </w:num>
  <w:num w:numId="20">
    <w:abstractNumId w:val="1"/>
  </w:num>
  <w:num w:numId="21">
    <w:abstractNumId w:val="19"/>
  </w:num>
  <w:num w:numId="22">
    <w:abstractNumId w:val="22"/>
  </w:num>
  <w:num w:numId="23">
    <w:abstractNumId w:val="28"/>
  </w:num>
  <w:num w:numId="24">
    <w:abstractNumId w:val="14"/>
  </w:num>
  <w:num w:numId="25">
    <w:abstractNumId w:val="30"/>
  </w:num>
  <w:num w:numId="26">
    <w:abstractNumId w:val="13"/>
  </w:num>
  <w:num w:numId="27">
    <w:abstractNumId w:val="5"/>
  </w:num>
  <w:num w:numId="28">
    <w:abstractNumId w:val="17"/>
  </w:num>
  <w:num w:numId="29">
    <w:abstractNumId w:val="0"/>
  </w:num>
  <w:num w:numId="30">
    <w:abstractNumId w:val="15"/>
  </w:num>
  <w:num w:numId="31">
    <w:abstractNumId w:val="7"/>
  </w:num>
  <w:num w:numId="32">
    <w:abstractNumId w:val="21"/>
  </w:num>
  <w:num w:numId="33">
    <w:abstractNumId w:val="26"/>
  </w:num>
  <w:num w:numId="34">
    <w:abstractNumId w:val="16"/>
  </w:num>
  <w:num w:numId="35">
    <w:abstractNumId w:val="29"/>
  </w:num>
  <w:num w:numId="36">
    <w:abstractNumId w:val="35"/>
  </w:num>
  <w:num w:numId="37">
    <w:abstractNumId w:val="10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E07"/>
    <w:rsid w:val="00041E03"/>
    <w:rsid w:val="0006058A"/>
    <w:rsid w:val="000B4B73"/>
    <w:rsid w:val="001C7D2B"/>
    <w:rsid w:val="00216E63"/>
    <w:rsid w:val="00223698"/>
    <w:rsid w:val="002602DF"/>
    <w:rsid w:val="002A1E50"/>
    <w:rsid w:val="002D308E"/>
    <w:rsid w:val="00334160"/>
    <w:rsid w:val="0035634D"/>
    <w:rsid w:val="003879FA"/>
    <w:rsid w:val="003D21E2"/>
    <w:rsid w:val="004A4B38"/>
    <w:rsid w:val="004C182A"/>
    <w:rsid w:val="004F14F0"/>
    <w:rsid w:val="00564174"/>
    <w:rsid w:val="00576782"/>
    <w:rsid w:val="00585FD1"/>
    <w:rsid w:val="005B59CD"/>
    <w:rsid w:val="0060628C"/>
    <w:rsid w:val="006B298C"/>
    <w:rsid w:val="00722B50"/>
    <w:rsid w:val="007356A6"/>
    <w:rsid w:val="0073701D"/>
    <w:rsid w:val="007529B8"/>
    <w:rsid w:val="00772F30"/>
    <w:rsid w:val="007857BE"/>
    <w:rsid w:val="007A556B"/>
    <w:rsid w:val="00877B8C"/>
    <w:rsid w:val="009322DA"/>
    <w:rsid w:val="00A25A72"/>
    <w:rsid w:val="00A34C78"/>
    <w:rsid w:val="00AD67A0"/>
    <w:rsid w:val="00B32546"/>
    <w:rsid w:val="00B3420B"/>
    <w:rsid w:val="00C05803"/>
    <w:rsid w:val="00C54D4A"/>
    <w:rsid w:val="00CC4351"/>
    <w:rsid w:val="00CD216B"/>
    <w:rsid w:val="00D60E07"/>
    <w:rsid w:val="00E04680"/>
    <w:rsid w:val="00E67847"/>
    <w:rsid w:val="00E679EC"/>
    <w:rsid w:val="00EA3446"/>
    <w:rsid w:val="00EE3459"/>
    <w:rsid w:val="00EF23DB"/>
    <w:rsid w:val="00F26F6D"/>
    <w:rsid w:val="00FD6D69"/>
    <w:rsid w:val="00FE7FE1"/>
    <w:rsid w:val="00FF25A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iCs/>
      <w:sz w:val="36"/>
      <w:lang w:eastAsia="en-US"/>
    </w:rPr>
  </w:style>
  <w:style w:type="paragraph" w:styleId="Heading2">
    <w:name w:val="heading 2"/>
    <w:basedOn w:val="Normal"/>
    <w:next w:val="Normal"/>
    <w:qFormat/>
    <w:pPr>
      <w:keepNext/>
      <w:ind w:firstLine="90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i/>
      <w:iCs/>
      <w:sz w:val="28"/>
      <w:lang w:eastAsia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3">
    <w:name w:val="Body Text Indent 3"/>
    <w:basedOn w:val="Normal"/>
    <w:pPr>
      <w:ind w:left="708"/>
      <w:jc w:val="both"/>
    </w:pPr>
    <w:rPr>
      <w:sz w:val="28"/>
    </w:rPr>
  </w:style>
  <w:style w:type="paragraph" w:styleId="Footer">
    <w:name w:val="footer"/>
    <w:basedOn w:val="Normal"/>
    <w:link w:val="Pta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TxBrp12">
    <w:name w:val="TxBr_p12"/>
    <w:basedOn w:val="Normal"/>
    <w:pPr>
      <w:widowControl w:val="0"/>
      <w:tabs>
        <w:tab w:val="left" w:pos="3560"/>
      </w:tabs>
      <w:autoSpaceDE w:val="0"/>
      <w:autoSpaceDN w:val="0"/>
      <w:adjustRightInd w:val="0"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character" w:styleId="Hyperlink">
    <w:name w:val="Hyperlink"/>
    <w:rPr>
      <w:rFonts w:ascii="Arial" w:hAnsi="Arial" w:cs="Arial" w:hint="default"/>
      <w:color w:val="000000"/>
      <w:sz w:val="18"/>
      <w:szCs w:val="18"/>
      <w:u w:val="none"/>
      <w:effect w:val="none"/>
    </w:rPr>
  </w:style>
  <w:style w:type="character" w:customStyle="1" w:styleId="PtaChar">
    <w:name w:val="Päta Char"/>
    <w:link w:val="Footer"/>
    <w:rsid w:val="005B59CD"/>
    <w:rPr>
      <w:sz w:val="24"/>
      <w:szCs w:val="24"/>
    </w:rPr>
  </w:style>
  <w:style w:type="paragraph" w:styleId="BalloonText">
    <w:name w:val="Balloon Text"/>
    <w:basedOn w:val="Normal"/>
    <w:link w:val="TextbublinyChar"/>
    <w:rsid w:val="000B4B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0B4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A26B-1447-4ACB-8355-565148A7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súlad s § 96 ods. 3 RP tlač 592</vt:lpstr>
    </vt:vector>
  </TitlesOfParts>
  <Manager>Magdaléna Šuchaňová</Manager>
  <Company>Kancelária NR SR, ÚPV NR SR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súlad s § 96 ods. 3 RP tlač 592</dc:title>
  <dc:subject>sch. 48, 29.11.2011</dc:subject>
  <dc:creator>Viera Ebringerová</dc:creator>
  <cp:keywords>žiadosť o stanovisko § 96 ods. 3 RP</cp:keywords>
  <cp:lastModifiedBy>Ebringerová, Viera</cp:lastModifiedBy>
  <cp:revision>225</cp:revision>
  <cp:lastPrinted>2011-11-29T18:27:00Z</cp:lastPrinted>
  <dcterms:created xsi:type="dcterms:W3CDTF">2002-01-21T12:04:00Z</dcterms:created>
  <dcterms:modified xsi:type="dcterms:W3CDTF">2011-11-29T18:29:00Z</dcterms:modified>
  <cp:category>Uznesenie UPV 195</cp:category>
</cp:coreProperties>
</file>