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EC" w:rsidRDefault="00DD1AEC" w:rsidP="00DD1AEC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D1AEC" w:rsidRDefault="00DD1AEC" w:rsidP="00DD1AEC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D1AEC" w:rsidRDefault="00DD1AEC" w:rsidP="00DD1AEC">
      <w:pPr>
        <w:widowControl/>
        <w:jc w:val="both"/>
        <w:rPr>
          <w:rFonts w:ascii="Arial" w:hAnsi="Arial"/>
          <w:b/>
          <w:i/>
          <w:sz w:val="20"/>
        </w:rPr>
      </w:pPr>
    </w:p>
    <w:p w:rsidR="00DD1AEC" w:rsidRDefault="00DD1AEC" w:rsidP="00DD1AEC">
      <w:pPr>
        <w:widowControl/>
        <w:jc w:val="both"/>
        <w:rPr>
          <w:rFonts w:ascii="Arial" w:hAnsi="Arial"/>
          <w:sz w:val="20"/>
        </w:rPr>
      </w:pPr>
    </w:p>
    <w:p w:rsidR="00DD1AEC" w:rsidRDefault="00DD1AEC" w:rsidP="00DD1AEC">
      <w:pPr>
        <w:widowControl/>
        <w:jc w:val="both"/>
        <w:rPr>
          <w:rFonts w:ascii="Arial" w:hAnsi="Arial"/>
          <w:sz w:val="20"/>
        </w:rPr>
      </w:pPr>
    </w:p>
    <w:p w:rsidR="00DD1AEC" w:rsidRDefault="00DD1AEC" w:rsidP="00DD1AEC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23. schôdza výboru                                                                                                           </w:t>
      </w:r>
    </w:p>
    <w:p w:rsidR="00DD1AEC" w:rsidRDefault="00DD1AEC" w:rsidP="00DD1AEC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Č. CRD-200/2012</w:t>
      </w:r>
    </w:p>
    <w:p w:rsidR="00DD1AEC" w:rsidRDefault="00DD1AEC" w:rsidP="00DD1AEC">
      <w:pPr>
        <w:widowControl/>
        <w:jc w:val="both"/>
        <w:rPr>
          <w:rFonts w:ascii="Arial" w:hAnsi="Arial"/>
          <w:sz w:val="20"/>
        </w:rPr>
      </w:pPr>
    </w:p>
    <w:p w:rsidR="00DD1AEC" w:rsidRDefault="00DD1AEC" w:rsidP="00DD1AEC">
      <w:pPr>
        <w:widowControl/>
        <w:jc w:val="both"/>
        <w:rPr>
          <w:rFonts w:ascii="Arial" w:hAnsi="Arial"/>
          <w:sz w:val="20"/>
        </w:rPr>
      </w:pPr>
    </w:p>
    <w:p w:rsidR="00DD1AEC" w:rsidRDefault="00DD1AEC" w:rsidP="00DD1AEC">
      <w:pPr>
        <w:widowControl/>
        <w:jc w:val="both"/>
        <w:rPr>
          <w:rFonts w:ascii="Arial" w:hAnsi="Arial"/>
          <w:sz w:val="20"/>
        </w:rPr>
      </w:pPr>
    </w:p>
    <w:p w:rsidR="00DD1AEC" w:rsidRDefault="00DD1AEC" w:rsidP="00DD1AEC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104</w:t>
      </w:r>
    </w:p>
    <w:p w:rsidR="00DD1AEC" w:rsidRDefault="00DD1AEC" w:rsidP="00DD1AEC">
      <w:pPr>
        <w:widowControl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Uznesenie</w:t>
      </w:r>
    </w:p>
    <w:p w:rsidR="00DD1AEC" w:rsidRDefault="00DD1AEC" w:rsidP="00DD1AEC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DD1AEC" w:rsidRDefault="00DD1AEC" w:rsidP="00DD1AEC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DD1AEC" w:rsidRDefault="00DD1AEC" w:rsidP="00DD1AEC">
      <w:pPr>
        <w:widowControl/>
        <w:jc w:val="center"/>
        <w:rPr>
          <w:rFonts w:ascii="Arial" w:hAnsi="Arial"/>
          <w:b/>
          <w:sz w:val="20"/>
        </w:rPr>
      </w:pPr>
    </w:p>
    <w:p w:rsidR="00DD1AEC" w:rsidRDefault="00DD1AEC" w:rsidP="00DD1AEC">
      <w:pPr>
        <w:widowControl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zo 7. februára 2012</w:t>
      </w:r>
    </w:p>
    <w:p w:rsidR="00DD1AEC" w:rsidRDefault="00DD1AEC" w:rsidP="00DD1AEC">
      <w:pPr>
        <w:widowControl/>
        <w:jc w:val="both"/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widowControl/>
        <w:jc w:val="both"/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 koncepcii činnosti Úradu pre Slovákov žijúcich v zahraničí a ďalším informáciám o činnosti úradu</w:t>
      </w:r>
    </w:p>
    <w:p w:rsidR="00DD1AEC" w:rsidRDefault="00DD1AEC" w:rsidP="00DD1AEC">
      <w:pPr>
        <w:widowControl/>
        <w:jc w:val="both"/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DD1AEC" w:rsidRDefault="00DD1AEC" w:rsidP="00DD1AEC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D1AEC" w:rsidRDefault="00DD1AEC" w:rsidP="00DD1AEC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DD1AEC" w:rsidRDefault="00DD1AEC" w:rsidP="00DD1AEC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DD1AEC" w:rsidRDefault="00DD1AEC" w:rsidP="00DD1AEC">
      <w:pPr>
        <w:pStyle w:val="Odsekzoznamu"/>
        <w:widowControl/>
        <w:numPr>
          <w:ilvl w:val="0"/>
          <w:numId w:val="1"/>
        </w:numPr>
        <w:ind w:left="1134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konštatuje,</w:t>
      </w:r>
    </w:p>
    <w:p w:rsidR="00DD1AEC" w:rsidRDefault="00DD1AEC" w:rsidP="00DD1AEC">
      <w:pPr>
        <w:pStyle w:val="Odsekzoznamu"/>
        <w:widowControl/>
        <w:ind w:left="1428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DD1AEC" w:rsidRDefault="00DD1AEC" w:rsidP="00DD1AEC">
      <w:pPr>
        <w:widowControl/>
        <w:jc w:val="both"/>
        <w:rPr>
          <w:rFonts w:ascii="Arial" w:hAnsi="Arial" w:cs="Arial"/>
          <w:sz w:val="20"/>
          <w:szCs w:val="20"/>
        </w:rPr>
      </w:pPr>
      <w:r w:rsidRPr="003D6980">
        <w:rPr>
          <w:rFonts w:ascii="Arial" w:hAnsi="Arial" w:cs="Arial"/>
          <w:sz w:val="20"/>
          <w:szCs w:val="20"/>
        </w:rPr>
        <w:t>že</w:t>
      </w:r>
      <w:r>
        <w:rPr>
          <w:rFonts w:ascii="Arial" w:hAnsi="Arial" w:cs="Arial"/>
          <w:spacing w:val="110"/>
          <w:sz w:val="20"/>
          <w:szCs w:val="20"/>
        </w:rPr>
        <w:t xml:space="preserve"> </w:t>
      </w:r>
      <w:r w:rsidRPr="003D698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redseda Úradu pre Slovákov žijúcich v zahraničí Milan Vetrák prejavil hlbokú neúctu k orgánom Národnej rady Slovenskej republiky, čím hrubo porušil procedurálne pravidlá parlamentnej demokracie, ktoré z titulu svojej funkcie musí dodržiavať,</w:t>
      </w:r>
    </w:p>
    <w:p w:rsidR="00DD1AEC" w:rsidRDefault="00DD1AEC" w:rsidP="00DD1AEC">
      <w:pPr>
        <w:widowControl/>
        <w:jc w:val="both"/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pStyle w:val="Odsekzoznamu"/>
        <w:widowControl/>
        <w:numPr>
          <w:ilvl w:val="0"/>
          <w:numId w:val="1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0E009A">
        <w:rPr>
          <w:rFonts w:ascii="Arial" w:hAnsi="Arial" w:cs="Arial"/>
          <w:b/>
          <w:spacing w:val="110"/>
          <w:sz w:val="20"/>
          <w:szCs w:val="20"/>
        </w:rPr>
        <w:t>vyzýva</w:t>
      </w:r>
      <w:r>
        <w:rPr>
          <w:rFonts w:ascii="Arial" w:hAnsi="Arial" w:cs="Arial"/>
          <w:sz w:val="20"/>
          <w:szCs w:val="20"/>
        </w:rPr>
        <w:t xml:space="preserve"> </w:t>
      </w:r>
      <w:r w:rsidRPr="000E009A">
        <w:rPr>
          <w:rFonts w:ascii="Arial" w:hAnsi="Arial" w:cs="Arial"/>
          <w:sz w:val="20"/>
          <w:szCs w:val="20"/>
        </w:rPr>
        <w:t xml:space="preserve"> </w:t>
      </w:r>
    </w:p>
    <w:p w:rsidR="00DD1AEC" w:rsidRPr="000E009A" w:rsidRDefault="00DD1AEC" w:rsidP="00DD1AEC">
      <w:pPr>
        <w:pStyle w:val="Odsekzoznamu"/>
        <w:widowControl/>
        <w:ind w:left="1428"/>
        <w:jc w:val="both"/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  <w:r w:rsidRPr="000E009A">
        <w:rPr>
          <w:rFonts w:ascii="Arial" w:hAnsi="Arial" w:cs="Arial"/>
          <w:sz w:val="20"/>
          <w:szCs w:val="20"/>
        </w:rPr>
        <w:t>preto vládu Slovenskej republiky, aby sa zaoberala činnosťou Úradu pre Slovákov žijúcich v zahraničí pod vedením Milana Vetráka</w:t>
      </w:r>
      <w:r>
        <w:rPr>
          <w:rFonts w:ascii="Arial" w:hAnsi="Arial" w:cs="Arial"/>
          <w:sz w:val="20"/>
          <w:szCs w:val="20"/>
        </w:rPr>
        <w:t>,</w:t>
      </w: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Pr="009439D1" w:rsidRDefault="00DD1AEC" w:rsidP="00DD1AEC">
      <w:pPr>
        <w:pStyle w:val="Odsekzoznamu"/>
        <w:numPr>
          <w:ilvl w:val="0"/>
          <w:numId w:val="1"/>
        </w:numPr>
        <w:ind w:left="1418" w:hanging="567"/>
        <w:rPr>
          <w:rFonts w:ascii="Arial" w:hAnsi="Arial" w:cs="Arial"/>
          <w:b/>
          <w:spacing w:val="110"/>
          <w:sz w:val="20"/>
          <w:szCs w:val="20"/>
        </w:rPr>
      </w:pPr>
      <w:r w:rsidRPr="009439D1"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predsedníčku vlády Slovenskej republiky Ivetu Radičovú o prijatom uznesení.</w:t>
      </w: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Anna </w:t>
      </w:r>
      <w:proofErr w:type="spellStart"/>
      <w:r>
        <w:rPr>
          <w:rFonts w:ascii="Arial" w:hAnsi="Arial" w:cs="Arial"/>
          <w:sz w:val="20"/>
          <w:szCs w:val="20"/>
        </w:rPr>
        <w:t>Belousovová</w:t>
      </w:r>
      <w:proofErr w:type="spellEnd"/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predsedníčka výboru</w:t>
      </w: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Default="00DD1AEC" w:rsidP="00DD1AEC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lastRenderedPageBreak/>
        <w:t>Výbor Národnej rady Slovenskej republiky</w:t>
      </w:r>
    </w:p>
    <w:p w:rsidR="00DD1AEC" w:rsidRDefault="00DD1AEC" w:rsidP="00DD1AEC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D1AEC" w:rsidRDefault="00DD1AEC" w:rsidP="00DD1AEC">
      <w:pPr>
        <w:jc w:val="both"/>
        <w:rPr>
          <w:rFonts w:ascii="Arial" w:hAnsi="Arial"/>
          <w:b/>
          <w:i/>
          <w:sz w:val="20"/>
        </w:rPr>
      </w:pPr>
    </w:p>
    <w:p w:rsidR="00DD1AEC" w:rsidRDefault="00DD1AEC" w:rsidP="00DD1AEC">
      <w:pPr>
        <w:jc w:val="both"/>
        <w:rPr>
          <w:rFonts w:ascii="Arial" w:hAnsi="Arial"/>
          <w:sz w:val="20"/>
        </w:rPr>
      </w:pPr>
    </w:p>
    <w:p w:rsidR="00DD1AEC" w:rsidRDefault="00DD1AEC" w:rsidP="00DD1AEC">
      <w:pPr>
        <w:jc w:val="both"/>
        <w:rPr>
          <w:rFonts w:ascii="Arial" w:hAnsi="Arial"/>
          <w:sz w:val="20"/>
        </w:rPr>
      </w:pPr>
    </w:p>
    <w:p w:rsidR="00DD1AEC" w:rsidRDefault="00DD1AEC" w:rsidP="00DD1AE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3. schôdza výboru                                                                                                           </w:t>
      </w:r>
    </w:p>
    <w:p w:rsidR="00DD1AEC" w:rsidRDefault="00DD1AEC" w:rsidP="00DD1AE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Č. CRD-745/2020</w:t>
      </w:r>
    </w:p>
    <w:p w:rsidR="00DD1AEC" w:rsidRDefault="00DD1AEC" w:rsidP="00DD1AEC">
      <w:pPr>
        <w:jc w:val="both"/>
        <w:rPr>
          <w:rFonts w:ascii="Arial" w:hAnsi="Arial"/>
          <w:sz w:val="20"/>
        </w:rPr>
      </w:pPr>
    </w:p>
    <w:p w:rsidR="00DD1AEC" w:rsidRDefault="00DD1AEC" w:rsidP="00DD1AEC">
      <w:pPr>
        <w:jc w:val="both"/>
        <w:rPr>
          <w:rFonts w:ascii="Arial" w:hAnsi="Arial"/>
          <w:sz w:val="20"/>
        </w:rPr>
      </w:pPr>
    </w:p>
    <w:p w:rsidR="00DD1AEC" w:rsidRDefault="00DD1AEC" w:rsidP="00DD1AEC">
      <w:pPr>
        <w:jc w:val="both"/>
        <w:rPr>
          <w:rFonts w:ascii="Arial" w:hAnsi="Arial"/>
          <w:sz w:val="20"/>
        </w:rPr>
      </w:pPr>
    </w:p>
    <w:p w:rsidR="00DD1AEC" w:rsidRDefault="00DD1AEC" w:rsidP="00DD1AEC">
      <w:pPr>
        <w:jc w:val="center"/>
        <w:rPr>
          <w:rFonts w:ascii="Arial" w:hAnsi="Arial"/>
          <w:b/>
          <w:sz w:val="20"/>
          <w:szCs w:val="32"/>
        </w:rPr>
      </w:pPr>
      <w:r>
        <w:rPr>
          <w:rFonts w:ascii="Arial" w:hAnsi="Arial"/>
          <w:b/>
          <w:sz w:val="20"/>
          <w:szCs w:val="32"/>
        </w:rPr>
        <w:t>11</w:t>
      </w:r>
    </w:p>
    <w:p w:rsidR="00DD1AEC" w:rsidRDefault="00DD1AEC" w:rsidP="00DD1AEC">
      <w:pPr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Uznesenie</w:t>
      </w:r>
    </w:p>
    <w:p w:rsidR="00DD1AEC" w:rsidRDefault="00DD1AEC" w:rsidP="00DD1AEC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DD1AEC" w:rsidRDefault="00DD1AEC" w:rsidP="00DD1AEC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DD1AEC" w:rsidRDefault="00DD1AEC" w:rsidP="00DD1AEC">
      <w:pPr>
        <w:jc w:val="center"/>
        <w:rPr>
          <w:rFonts w:ascii="Arial" w:hAnsi="Arial"/>
          <w:b/>
          <w:sz w:val="20"/>
        </w:rPr>
      </w:pPr>
    </w:p>
    <w:p w:rsidR="00DD1AEC" w:rsidRDefault="00DD1AEC" w:rsidP="00DD1AEC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21. apríla 2020</w:t>
      </w:r>
    </w:p>
    <w:p w:rsidR="00DD1AEC" w:rsidRDefault="00DD1AEC" w:rsidP="00DD1AEC">
      <w:pPr>
        <w:jc w:val="both"/>
        <w:rPr>
          <w:rFonts w:ascii="Arial" w:hAnsi="Arial"/>
          <w:sz w:val="20"/>
        </w:rPr>
      </w:pPr>
    </w:p>
    <w:p w:rsidR="00DD1AEC" w:rsidRDefault="00DD1AEC" w:rsidP="00DD1AEC">
      <w:pPr>
        <w:jc w:val="both"/>
        <w:rPr>
          <w:rFonts w:ascii="Arial" w:hAnsi="Arial"/>
          <w:sz w:val="20"/>
        </w:rPr>
      </w:pPr>
    </w:p>
    <w:p w:rsidR="00DD1AEC" w:rsidRDefault="00DD1AEC" w:rsidP="00DD1AE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 uzneseniu Výboru Národnej rady Slovenskej republiky pre ľudské práva a národnostné menšiny č. 104 zo 7. februára 2012  </w:t>
      </w:r>
    </w:p>
    <w:p w:rsidR="00DD1AEC" w:rsidRDefault="00DD1AEC" w:rsidP="00DD1AEC">
      <w:pPr>
        <w:jc w:val="both"/>
        <w:rPr>
          <w:rFonts w:ascii="Arial" w:hAnsi="Arial"/>
          <w:sz w:val="20"/>
        </w:rPr>
      </w:pPr>
    </w:p>
    <w:p w:rsidR="00DD1AEC" w:rsidRDefault="00DD1AEC" w:rsidP="00DD1AEC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sz w:val="20"/>
        </w:rPr>
        <w:t>Výbor Národnej rady Slovenskej republiky</w:t>
      </w:r>
    </w:p>
    <w:p w:rsidR="00DD1AEC" w:rsidRDefault="00DD1AEC" w:rsidP="00DD1AEC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>pre ľudské práva a národnostné menšiny</w:t>
      </w:r>
    </w:p>
    <w:p w:rsidR="00DD1AEC" w:rsidRDefault="00DD1AEC" w:rsidP="00DD1AEC"/>
    <w:p w:rsidR="00DD1AEC" w:rsidRDefault="00DD1AEC" w:rsidP="00DD1AEC">
      <w:pPr>
        <w:widowControl/>
        <w:numPr>
          <w:ilvl w:val="0"/>
          <w:numId w:val="2"/>
        </w:numPr>
        <w:tabs>
          <w:tab w:val="num" w:pos="1065"/>
        </w:tabs>
        <w:autoSpaceDE/>
        <w:autoSpaceDN/>
        <w:adjustRightInd/>
        <w:ind w:left="1065"/>
        <w:jc w:val="both"/>
        <w:rPr>
          <w:rFonts w:ascii="Arial" w:hAnsi="Arial"/>
          <w:b/>
          <w:spacing w:val="110"/>
          <w:sz w:val="20"/>
        </w:rPr>
      </w:pPr>
      <w:r w:rsidRPr="00855B20">
        <w:rPr>
          <w:rFonts w:ascii="Arial" w:hAnsi="Arial"/>
          <w:b/>
          <w:spacing w:val="110"/>
          <w:sz w:val="20"/>
        </w:rPr>
        <w:t>zrušuje</w:t>
      </w:r>
    </w:p>
    <w:p w:rsidR="00DD1AEC" w:rsidRPr="00855B20" w:rsidRDefault="00DD1AEC" w:rsidP="00DD1AEC">
      <w:pPr>
        <w:ind w:left="1065"/>
        <w:jc w:val="both"/>
        <w:rPr>
          <w:rFonts w:ascii="Arial" w:hAnsi="Arial"/>
          <w:b/>
          <w:spacing w:val="110"/>
          <w:sz w:val="20"/>
        </w:rPr>
      </w:pPr>
    </w:p>
    <w:p w:rsidR="00DD1AEC" w:rsidRPr="00855B20" w:rsidRDefault="00DD1AEC" w:rsidP="00DD1AEC">
      <w:pPr>
        <w:jc w:val="both"/>
        <w:rPr>
          <w:rFonts w:ascii="Arial" w:hAnsi="Arial"/>
          <w:sz w:val="20"/>
        </w:rPr>
      </w:pPr>
      <w:r w:rsidRPr="00855B20">
        <w:rPr>
          <w:rFonts w:ascii="Arial" w:hAnsi="Arial"/>
          <w:sz w:val="20"/>
        </w:rPr>
        <w:t>bod A. uznesenia Výboru Národnej rady Slovenskej republiky pre ľudské práva a národnostné menšiny č. 104 zo 7. februára 2012, pretože jeho obsah nie je pravdivý,</w:t>
      </w:r>
    </w:p>
    <w:p w:rsidR="00DD1AEC" w:rsidRDefault="00DD1AEC" w:rsidP="00DD1AEC"/>
    <w:p w:rsidR="00DD1AEC" w:rsidRDefault="00DD1AEC" w:rsidP="00DD1AEC">
      <w:pPr>
        <w:widowControl/>
        <w:numPr>
          <w:ilvl w:val="0"/>
          <w:numId w:val="2"/>
        </w:numPr>
        <w:tabs>
          <w:tab w:val="num" w:pos="1065"/>
        </w:tabs>
        <w:autoSpaceDE/>
        <w:autoSpaceDN/>
        <w:adjustRightInd/>
        <w:ind w:left="1065"/>
        <w:jc w:val="both"/>
        <w:rPr>
          <w:rFonts w:ascii="Arial" w:hAnsi="Arial"/>
          <w:b/>
          <w:spacing w:val="110"/>
          <w:sz w:val="20"/>
        </w:rPr>
      </w:pPr>
      <w:r w:rsidRPr="00855B20">
        <w:rPr>
          <w:rFonts w:ascii="Arial" w:hAnsi="Arial"/>
          <w:b/>
          <w:spacing w:val="110"/>
          <w:sz w:val="20"/>
        </w:rPr>
        <w:t>žiada</w:t>
      </w:r>
    </w:p>
    <w:p w:rsidR="00DD1AEC" w:rsidRPr="00855B20" w:rsidRDefault="00DD1AEC" w:rsidP="00DD1AEC">
      <w:pPr>
        <w:ind w:left="1065"/>
        <w:jc w:val="both"/>
        <w:rPr>
          <w:rFonts w:ascii="Arial" w:hAnsi="Arial"/>
          <w:b/>
          <w:spacing w:val="110"/>
          <w:sz w:val="20"/>
        </w:rPr>
      </w:pPr>
    </w:p>
    <w:p w:rsidR="00DD1AEC" w:rsidRPr="00855B20" w:rsidRDefault="00DD1AEC" w:rsidP="00DD1AEC">
      <w:pPr>
        <w:jc w:val="both"/>
        <w:rPr>
          <w:rFonts w:ascii="Arial" w:hAnsi="Arial"/>
          <w:sz w:val="20"/>
        </w:rPr>
      </w:pPr>
      <w:r w:rsidRPr="00855B20">
        <w:rPr>
          <w:rFonts w:ascii="Arial" w:hAnsi="Arial"/>
          <w:sz w:val="20"/>
        </w:rPr>
        <w:t>vedúceho Kancelárie Národnej rady Slovenskej republiky, aby zabezpečil, že zrušená časť uznesenia uvedeného v bode A. tohto uznesenia nebude verejne prístupná.</w:t>
      </w:r>
    </w:p>
    <w:p w:rsidR="00DD1AEC" w:rsidRDefault="00DD1AEC" w:rsidP="00DD1AEC"/>
    <w:p w:rsidR="00B4530B" w:rsidRDefault="00B4530B" w:rsidP="00DD1AEC"/>
    <w:p w:rsidR="00B4530B" w:rsidRDefault="00B4530B" w:rsidP="00DD1AEC">
      <w:bookmarkStart w:id="0" w:name="_GoBack"/>
      <w:bookmarkEnd w:id="0"/>
    </w:p>
    <w:p w:rsidR="00DD1AEC" w:rsidRDefault="00DD1AEC" w:rsidP="00DD1AEC"/>
    <w:p w:rsidR="00DD1AEC" w:rsidRDefault="00DD1AEC" w:rsidP="00DD1AEC"/>
    <w:p w:rsidR="00DD1AEC" w:rsidRPr="008468A8" w:rsidRDefault="00DD1AEC" w:rsidP="00DD1AEC">
      <w:pPr>
        <w:rPr>
          <w:rFonts w:ascii="Arial" w:hAnsi="Arial" w:cs="Arial"/>
          <w:sz w:val="20"/>
          <w:szCs w:val="20"/>
        </w:rPr>
      </w:pPr>
      <w:r w:rsidRPr="008468A8">
        <w:rPr>
          <w:rFonts w:ascii="Arial" w:hAnsi="Arial" w:cs="Arial"/>
          <w:sz w:val="20"/>
          <w:szCs w:val="20"/>
        </w:rPr>
        <w:t xml:space="preserve">Eva Hudecová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68A8">
        <w:rPr>
          <w:rFonts w:ascii="Arial" w:hAnsi="Arial" w:cs="Arial"/>
          <w:sz w:val="20"/>
          <w:szCs w:val="20"/>
        </w:rPr>
        <w:t xml:space="preserve">Vladimíra </w:t>
      </w:r>
      <w:proofErr w:type="spellStart"/>
      <w:r w:rsidRPr="008468A8">
        <w:rPr>
          <w:rFonts w:ascii="Arial" w:hAnsi="Arial" w:cs="Arial"/>
          <w:sz w:val="20"/>
          <w:szCs w:val="20"/>
        </w:rPr>
        <w:t>Marcinková</w:t>
      </w:r>
      <w:proofErr w:type="spellEnd"/>
    </w:p>
    <w:p w:rsidR="00DD1AEC" w:rsidRPr="008468A8" w:rsidRDefault="00DD1AEC" w:rsidP="00DD1AEC">
      <w:pPr>
        <w:rPr>
          <w:rFonts w:ascii="Arial" w:hAnsi="Arial" w:cs="Arial"/>
          <w:sz w:val="20"/>
          <w:szCs w:val="20"/>
        </w:rPr>
      </w:pPr>
      <w:r w:rsidRPr="008468A8">
        <w:rPr>
          <w:rFonts w:ascii="Arial" w:hAnsi="Arial" w:cs="Arial"/>
          <w:sz w:val="20"/>
          <w:szCs w:val="20"/>
        </w:rPr>
        <w:t xml:space="preserve">Juraj </w:t>
      </w:r>
      <w:proofErr w:type="spellStart"/>
      <w:r w:rsidRPr="008468A8">
        <w:rPr>
          <w:rFonts w:ascii="Arial" w:hAnsi="Arial" w:cs="Arial"/>
          <w:sz w:val="20"/>
          <w:szCs w:val="20"/>
        </w:rPr>
        <w:t>Gyimesi</w:t>
      </w:r>
      <w:proofErr w:type="spellEnd"/>
      <w:r w:rsidRPr="008468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68A8">
        <w:rPr>
          <w:rFonts w:ascii="Arial" w:hAnsi="Arial" w:cs="Arial"/>
          <w:sz w:val="20"/>
          <w:szCs w:val="20"/>
        </w:rPr>
        <w:t>podpredsedníčka výboru</w:t>
      </w:r>
    </w:p>
    <w:p w:rsidR="00DD1AEC" w:rsidRPr="008468A8" w:rsidRDefault="00DD1AEC" w:rsidP="00DD1AEC">
      <w:pPr>
        <w:rPr>
          <w:rFonts w:ascii="Arial" w:hAnsi="Arial" w:cs="Arial"/>
          <w:sz w:val="20"/>
          <w:szCs w:val="20"/>
        </w:rPr>
      </w:pPr>
      <w:r w:rsidRPr="008468A8">
        <w:rPr>
          <w:rFonts w:ascii="Arial" w:hAnsi="Arial" w:cs="Arial"/>
          <w:sz w:val="20"/>
          <w:szCs w:val="20"/>
        </w:rPr>
        <w:t>overovateľ</w:t>
      </w:r>
    </w:p>
    <w:p w:rsidR="00DD1AEC" w:rsidRDefault="00DD1AEC" w:rsidP="00DD1AEC">
      <w:pPr>
        <w:rPr>
          <w:rFonts w:ascii="Arial" w:hAnsi="Arial" w:cs="Arial"/>
          <w:sz w:val="20"/>
          <w:szCs w:val="20"/>
        </w:rPr>
      </w:pPr>
    </w:p>
    <w:p w:rsidR="00DD1AEC" w:rsidRPr="009439D1" w:rsidRDefault="00DD1AEC" w:rsidP="00DD1AEC">
      <w:pPr>
        <w:rPr>
          <w:rFonts w:ascii="Arial" w:hAnsi="Arial" w:cs="Arial"/>
          <w:sz w:val="20"/>
          <w:szCs w:val="20"/>
        </w:rPr>
      </w:pPr>
    </w:p>
    <w:p w:rsidR="00D91DFD" w:rsidRDefault="00D91DFD"/>
    <w:sectPr w:rsidR="00D9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A3FFF"/>
    <w:multiLevelType w:val="hybridMultilevel"/>
    <w:tmpl w:val="38768F58"/>
    <w:lvl w:ilvl="0" w:tplc="DA9072BA">
      <w:start w:val="1"/>
      <w:numFmt w:val="upperLetter"/>
      <w:lvlText w:val="%1."/>
      <w:lvlJc w:val="left"/>
      <w:pPr>
        <w:ind w:left="1428" w:hanging="360"/>
      </w:pPr>
      <w:rPr>
        <w:rFonts w:cs="Times New Roman"/>
        <w:b/>
        <w:rtl w:val="0"/>
        <w:cs w:val="0"/>
      </w:rPr>
    </w:lvl>
    <w:lvl w:ilvl="1" w:tplc="E3920C2A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 w:tplc="150A667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 w:tplc="AD30AA52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 w:tplc="BA96A606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 w:tplc="B5088ECC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 w:tplc="BFD022C4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 w:tplc="202216CA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 w:tplc="C506F80C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772C1E8E"/>
    <w:multiLevelType w:val="hybridMultilevel"/>
    <w:tmpl w:val="7EBEB74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EC"/>
    <w:rsid w:val="00B4530B"/>
    <w:rsid w:val="00D91DFD"/>
    <w:rsid w:val="00D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9EC5"/>
  <w15:chartTrackingRefBased/>
  <w15:docId w15:val="{44B0F0B3-C3B9-4BD4-BFE7-10A9F129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1A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D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Company>Kancelaria NRSR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Kazimírová, Elena, Mgr.</dc:creator>
  <cp:keywords/>
  <dc:description/>
  <cp:lastModifiedBy>Kazimírová, Elena, Mgr.</cp:lastModifiedBy>
  <cp:revision>2</cp:revision>
  <dcterms:created xsi:type="dcterms:W3CDTF">2020-06-04T08:06:00Z</dcterms:created>
  <dcterms:modified xsi:type="dcterms:W3CDTF">2020-06-04T08:08:00Z</dcterms:modified>
</cp:coreProperties>
</file>