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82F95" w:rsidP="00D82F95">
      <w:pPr>
        <w:pStyle w:val="Heading5"/>
        <w:spacing w:before="0"/>
        <w:ind w:firstLine="709"/>
        <w:jc w:val="both"/>
        <w:rPr>
          <w:szCs w:val="24"/>
        </w:rPr>
      </w:pPr>
      <w:r>
        <w:rPr>
          <w:szCs w:val="24"/>
        </w:rPr>
        <w:t xml:space="preserve">  ÚSTAVNOPRÁVNY VÝBOR</w:t>
        <w:tab/>
      </w:r>
    </w:p>
    <w:p w:rsidR="00D82F95" w:rsidP="00D82F95">
      <w:pPr>
        <w:spacing w:before="120"/>
        <w:jc w:val="both"/>
      </w:pPr>
      <w:r>
        <w:rPr>
          <w:b/>
        </w:rPr>
        <w:t>NÁRODNEJ RADY SLOVENSKEJ REPUBLIKY</w:t>
      </w:r>
      <w:r>
        <w:tab/>
      </w:r>
    </w:p>
    <w:p w:rsidR="00D82F95" w:rsidP="00D82F95">
      <w:pPr>
        <w:spacing w:before="120"/>
        <w:jc w:val="both"/>
      </w:pPr>
    </w:p>
    <w:p w:rsidR="00D82F95" w:rsidP="00D82F95">
      <w:pPr>
        <w:spacing w:before="120"/>
        <w:jc w:val="both"/>
      </w:pPr>
    </w:p>
    <w:p w:rsidR="00D82F95" w:rsidP="00D82F95">
      <w:pPr>
        <w:ind w:left="1418" w:firstLine="709"/>
        <w:jc w:val="both"/>
      </w:pPr>
      <w:r>
        <w:tab/>
        <w:tab/>
        <w:tab/>
        <w:tab/>
        <w:tab/>
        <w:t xml:space="preserve">54. schôdza </w:t>
      </w:r>
    </w:p>
    <w:p w:rsidR="00D82F95" w:rsidP="00D82F95">
      <w:pPr>
        <w:ind w:left="1418" w:firstLine="709"/>
        <w:jc w:val="both"/>
      </w:pPr>
      <w:r>
        <w:tab/>
        <w:tab/>
        <w:tab/>
        <w:tab/>
        <w:tab/>
        <w:t xml:space="preserve">Číslo: </w:t>
      </w:r>
      <w:r>
        <w:rPr>
          <w:sz w:val="22"/>
          <w:szCs w:val="22"/>
        </w:rPr>
        <w:t>CRD-4516/2011</w:t>
      </w:r>
    </w:p>
    <w:p w:rsidR="00D82F95" w:rsidP="003A3CC5">
      <w:pPr>
        <w:spacing w:before="120"/>
        <w:jc w:val="center"/>
        <w:rPr>
          <w:sz w:val="32"/>
          <w:szCs w:val="32"/>
          <w:lang w:eastAsia="en-US"/>
        </w:rPr>
      </w:pPr>
    </w:p>
    <w:p w:rsidR="00D82F95" w:rsidP="003A3CC5">
      <w:pPr>
        <w:spacing w:before="120"/>
        <w:jc w:val="center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364</w:t>
      </w:r>
    </w:p>
    <w:p w:rsidR="00D82F95" w:rsidP="003A3CC5">
      <w:pPr>
        <w:spacing w:before="120"/>
        <w:jc w:val="center"/>
        <w:rPr>
          <w:b/>
          <w:lang w:eastAsia="en-US"/>
        </w:rPr>
      </w:pPr>
      <w:r>
        <w:rPr>
          <w:b/>
        </w:rPr>
        <w:t>U z n e s e n i e</w:t>
      </w:r>
    </w:p>
    <w:p w:rsidR="00D82F95" w:rsidP="003A3CC5">
      <w:pPr>
        <w:spacing w:before="120"/>
        <w:jc w:val="center"/>
        <w:rPr>
          <w:b/>
          <w:lang w:eastAsia="en-US"/>
        </w:rPr>
      </w:pPr>
      <w:r>
        <w:rPr>
          <w:b/>
        </w:rPr>
        <w:t>Ústavnoprávneho výboru Národnej rady Slovenskej republiky</w:t>
      </w:r>
    </w:p>
    <w:p w:rsidR="00D82F95" w:rsidP="003A3CC5">
      <w:pPr>
        <w:spacing w:before="120"/>
        <w:jc w:val="center"/>
        <w:rPr>
          <w:b/>
          <w:lang w:eastAsia="en-US"/>
        </w:rPr>
      </w:pPr>
      <w:r>
        <w:rPr>
          <w:b/>
        </w:rPr>
        <w:t>z 24. januára 2012</w:t>
      </w:r>
    </w:p>
    <w:p w:rsidR="00D82F95" w:rsidP="00D82F95">
      <w:pPr>
        <w:jc w:val="both"/>
      </w:pPr>
    </w:p>
    <w:p w:rsidR="00D82F95" w:rsidP="00D82F95">
      <w:pPr>
        <w:pStyle w:val="TxBrp9"/>
        <w:spacing w:line="240" w:lineRule="auto"/>
        <w:rPr>
          <w:sz w:val="24"/>
        </w:rPr>
      </w:pPr>
      <w:r>
        <w:rPr>
          <w:sz w:val="24"/>
        </w:rPr>
        <w:t xml:space="preserve">k vládnemu návrhu zákona </w:t>
      </w:r>
      <w:r>
        <w:rPr>
          <w:sz w:val="24"/>
          <w:lang w:val="sk-SK"/>
        </w:rPr>
        <w:t xml:space="preserve">o bezpečnosti hračiek a o zmene a doplnení niektorých zákonov (tlač 564) </w:t>
      </w:r>
    </w:p>
    <w:p w:rsidR="00D82F95" w:rsidP="00D82F95">
      <w:pPr>
        <w:pStyle w:val="TxBrp9"/>
        <w:spacing w:line="240" w:lineRule="auto"/>
        <w:rPr>
          <w:sz w:val="24"/>
        </w:rPr>
      </w:pPr>
    </w:p>
    <w:p w:rsidR="00D82F95" w:rsidP="00D82F95">
      <w:pPr>
        <w:spacing w:before="120"/>
        <w:jc w:val="both"/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D82F95" w:rsidP="00D82F95">
      <w:pPr>
        <w:jc w:val="both"/>
        <w:rPr>
          <w:b/>
        </w:rPr>
      </w:pPr>
    </w:p>
    <w:p w:rsidR="00D82F95" w:rsidP="00D82F95">
      <w:pPr>
        <w:tabs>
          <w:tab w:val="left" w:pos="993"/>
        </w:tabs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:rsidR="00D82F95" w:rsidP="00D82F95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D82F95" w:rsidP="00D82F95">
      <w:pPr>
        <w:pStyle w:val="TxBrp9"/>
        <w:spacing w:line="240" w:lineRule="auto"/>
        <w:rPr>
          <w:sz w:val="24"/>
        </w:rPr>
      </w:pPr>
      <w:r>
        <w:rPr>
          <w:sz w:val="24"/>
        </w:rPr>
        <w:tab/>
        <w:tab/>
        <w:tab/>
        <w:t xml:space="preserve">s vládnym návrhom zákona </w:t>
      </w:r>
      <w:r>
        <w:rPr>
          <w:sz w:val="24"/>
          <w:lang w:val="sk-SK"/>
        </w:rPr>
        <w:t xml:space="preserve">o bezpečnosti hračiek a o zmene a doplnení niektorých zákonov (tlač 564); </w:t>
      </w:r>
    </w:p>
    <w:p w:rsidR="00D82F95" w:rsidP="00D82F95">
      <w:pPr>
        <w:jc w:val="both"/>
      </w:pPr>
    </w:p>
    <w:p w:rsidR="00D82F95" w:rsidP="00D82F95">
      <w:pPr>
        <w:pStyle w:val="Heading1"/>
        <w:spacing w:before="0"/>
        <w:ind w:left="992"/>
        <w:jc w:val="both"/>
        <w:rPr>
          <w:szCs w:val="24"/>
        </w:rPr>
      </w:pPr>
      <w:r>
        <w:rPr>
          <w:szCs w:val="24"/>
        </w:rPr>
        <w:t>B.   o d p o r ú č a</w:t>
      </w:r>
    </w:p>
    <w:p w:rsidR="00D82F95" w:rsidP="00D82F95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D82F95" w:rsidP="00D82F95">
      <w:pPr>
        <w:pStyle w:val="BodyText2"/>
        <w:tabs>
          <w:tab w:val="left" w:pos="1021"/>
        </w:tabs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>Národnej rade Slovenskej republiky</w:t>
      </w:r>
    </w:p>
    <w:p w:rsidR="00D82F95" w:rsidP="00D82F95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D82F95" w:rsidP="00D82F95">
      <w:pPr>
        <w:pStyle w:val="TxBrp9"/>
        <w:spacing w:line="240" w:lineRule="auto"/>
        <w:rPr>
          <w:sz w:val="24"/>
        </w:rPr>
      </w:pPr>
      <w:r>
        <w:rPr>
          <w:sz w:val="24"/>
        </w:rPr>
        <w:tab/>
        <w:tab/>
        <w:tab/>
        <w:t xml:space="preserve">vládny návrh zákona zákona </w:t>
      </w:r>
      <w:r>
        <w:rPr>
          <w:sz w:val="24"/>
          <w:lang w:val="sk-SK"/>
        </w:rPr>
        <w:t xml:space="preserve">o bezpečnosti hračiek a o zmene a doplnení niektorých zákonov (tlač 564) </w:t>
      </w:r>
      <w:r>
        <w:rPr>
          <w:b/>
          <w:bCs/>
          <w:sz w:val="24"/>
        </w:rPr>
        <w:t>schváliť</w:t>
      </w:r>
      <w:r>
        <w:rPr>
          <w:bCs/>
          <w:sz w:val="24"/>
        </w:rPr>
        <w:t xml:space="preserve"> so zmenami a doplnkami uvedenými v prílohe tohto uznesenia; </w:t>
      </w:r>
    </w:p>
    <w:p w:rsidR="00D82F95" w:rsidP="00D82F95">
      <w:pPr>
        <w:pStyle w:val="TxBrp1"/>
        <w:tabs>
          <w:tab w:val="left" w:pos="720"/>
        </w:tabs>
        <w:spacing w:line="240" w:lineRule="auto"/>
        <w:ind w:left="0"/>
        <w:rPr>
          <w:sz w:val="24"/>
          <w:lang w:val="sk-SK"/>
        </w:rPr>
      </w:pPr>
    </w:p>
    <w:p w:rsidR="00D82F95" w:rsidP="00D82F95">
      <w:pPr>
        <w:pStyle w:val="BodyText"/>
        <w:numPr>
          <w:ilvl w:val="0"/>
          <w:numId w:val="38"/>
        </w:numPr>
        <w:tabs>
          <w:tab w:val="left" w:pos="1021"/>
        </w:tabs>
        <w:rPr>
          <w:b/>
        </w:rPr>
      </w:pPr>
      <w:r>
        <w:rPr>
          <w:b/>
        </w:rPr>
        <w:t>p o v e r u j e</w:t>
      </w:r>
    </w:p>
    <w:p w:rsidR="00D82F95" w:rsidP="00D82F95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D82F95" w:rsidP="00D82F95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D82F95" w:rsidP="00D82F95">
      <w:pPr>
        <w:pStyle w:val="BodyText"/>
        <w:tabs>
          <w:tab w:val="left" w:pos="993"/>
        </w:tabs>
      </w:pPr>
    </w:p>
    <w:p w:rsidR="00D82F95" w:rsidP="00D82F95">
      <w:pPr>
        <w:tabs>
          <w:tab w:val="left" w:pos="-1985"/>
          <w:tab w:val="left" w:pos="709"/>
          <w:tab w:val="left" w:pos="1077"/>
        </w:tabs>
        <w:jc w:val="both"/>
      </w:pPr>
      <w:r>
        <w:tab/>
        <w:tab/>
        <w:tab/>
        <w:t xml:space="preserve">predložiť stanovisko výboru k uvedenému návrhu zákona predsedovi gestorského Výboru Národnej rady Slovenskej republiky pre hospodárstvo, výstavbu a dopravu. </w:t>
      </w:r>
    </w:p>
    <w:p w:rsidR="00D82F95" w:rsidP="00D82F95">
      <w:pPr>
        <w:tabs>
          <w:tab w:val="left" w:pos="-1985"/>
          <w:tab w:val="left" w:pos="709"/>
          <w:tab w:val="left" w:pos="1077"/>
        </w:tabs>
        <w:jc w:val="both"/>
      </w:pPr>
    </w:p>
    <w:p w:rsidR="00D82F95" w:rsidP="00D82F95">
      <w:pPr>
        <w:jc w:val="both"/>
      </w:pPr>
    </w:p>
    <w:p w:rsidR="00D82F95" w:rsidP="00D82F95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  <w:t xml:space="preserve">   Radoslav Procházka </w:t>
      </w:r>
    </w:p>
    <w:p w:rsidR="00D82F95" w:rsidP="00D82F95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D82F95" w:rsidP="00D82F95">
      <w:pPr>
        <w:tabs>
          <w:tab w:val="left" w:pos="1021"/>
        </w:tabs>
        <w:jc w:val="both"/>
      </w:pPr>
      <w:r>
        <w:t>overovatelia výboru:</w:t>
      </w:r>
    </w:p>
    <w:p w:rsidR="00D82F95" w:rsidP="00D82F95">
      <w:pPr>
        <w:ind w:left="6480" w:hanging="6480"/>
        <w:jc w:val="both"/>
      </w:pPr>
      <w:r>
        <w:t>Jana Dubovcová</w:t>
      </w:r>
    </w:p>
    <w:p w:rsidR="00D82F95" w:rsidP="00D82F95">
      <w:pPr>
        <w:ind w:left="6480" w:hanging="6480"/>
        <w:jc w:val="both"/>
      </w:pPr>
      <w:r>
        <w:t>Róbert Ma</w:t>
      </w:r>
      <w:r>
        <w:t>dej</w:t>
      </w:r>
    </w:p>
    <w:p w:rsidR="00D82F95" w:rsidP="00D82F95">
      <w:pPr>
        <w:jc w:val="both"/>
        <w:rPr>
          <w:rFonts w:eastAsia="Arial Unicode MS"/>
          <w:b/>
          <w:bCs/>
          <w:lang w:eastAsia="en-US"/>
        </w:rPr>
        <w:sectPr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:rsidR="00D82F95" w:rsidP="00D82F95">
      <w:pPr>
        <w:pStyle w:val="Heading2"/>
      </w:pPr>
      <w:r>
        <w:t>P r í l o h a</w:t>
      </w:r>
    </w:p>
    <w:p w:rsidR="00D82F95" w:rsidP="00D82F95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:rsidR="00D82F95" w:rsidP="00D82F95">
      <w:pPr>
        <w:ind w:left="4253" w:firstLine="708"/>
        <w:jc w:val="both"/>
        <w:rPr>
          <w:b/>
        </w:rPr>
      </w:pPr>
      <w:r>
        <w:rPr>
          <w:b/>
        </w:rPr>
        <w:t>výboru Národnej rady SR č. 364</w:t>
      </w:r>
    </w:p>
    <w:p w:rsidR="00D82F95" w:rsidP="00D82F95">
      <w:pPr>
        <w:ind w:left="4253" w:firstLine="708"/>
        <w:jc w:val="both"/>
        <w:rPr>
          <w:b/>
        </w:rPr>
      </w:pPr>
      <w:r>
        <w:rPr>
          <w:b/>
        </w:rPr>
        <w:t>z 24. januára 2012</w:t>
      </w:r>
    </w:p>
    <w:p w:rsidR="00D82F95" w:rsidP="00D82F95">
      <w:pPr>
        <w:ind w:left="4253" w:firstLine="708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:rsidR="00D82F95" w:rsidP="00D82F95">
      <w:pPr>
        <w:jc w:val="both"/>
        <w:rPr>
          <w:lang w:eastAsia="en-US"/>
        </w:rPr>
      </w:pPr>
    </w:p>
    <w:p w:rsidR="00D82F95" w:rsidP="00D82F95">
      <w:pPr>
        <w:jc w:val="both"/>
        <w:rPr>
          <w:lang w:eastAsia="en-US"/>
        </w:rPr>
      </w:pPr>
    </w:p>
    <w:p w:rsidR="00D82F95" w:rsidP="00D82F95">
      <w:pPr>
        <w:jc w:val="both"/>
        <w:rPr>
          <w:lang w:eastAsia="en-US"/>
        </w:rPr>
      </w:pPr>
    </w:p>
    <w:p w:rsidR="00D82F95" w:rsidP="00D82F95">
      <w:pPr>
        <w:jc w:val="both"/>
        <w:rPr>
          <w:lang w:eastAsia="en-US"/>
        </w:rPr>
      </w:pPr>
    </w:p>
    <w:p w:rsidR="00D82F95" w:rsidP="003A3CC5">
      <w:pPr>
        <w:pStyle w:val="Heading2"/>
        <w:ind w:left="0" w:firstLine="0"/>
        <w:jc w:val="center"/>
      </w:pPr>
      <w:r>
        <w:t>Pozmeňujúce a doplňujúce návrhy</w:t>
      </w:r>
    </w:p>
    <w:p w:rsidR="00D82F95" w:rsidP="00D82F95">
      <w:pPr>
        <w:jc w:val="both"/>
        <w:rPr>
          <w:b/>
          <w:lang w:eastAsia="en-US"/>
        </w:rPr>
      </w:pPr>
    </w:p>
    <w:p w:rsidR="00D82F95" w:rsidP="00D82F95">
      <w:pPr>
        <w:pStyle w:val="TxBrp9"/>
        <w:spacing w:line="240" w:lineRule="auto"/>
        <w:rPr>
          <w:b/>
          <w:sz w:val="24"/>
        </w:rPr>
      </w:pPr>
      <w:r>
        <w:rPr>
          <w:b/>
          <w:sz w:val="24"/>
        </w:rPr>
        <w:t xml:space="preserve">k vládnemu návrhu zákona </w:t>
      </w:r>
      <w:r>
        <w:rPr>
          <w:b/>
          <w:sz w:val="24"/>
          <w:lang w:val="sk-SK"/>
        </w:rPr>
        <w:t>o bezpečnosti hračiek a o zmene a doplnení niektorých zákonov (tlač</w:t>
      </w:r>
      <w:r>
        <w:rPr>
          <w:b/>
          <w:sz w:val="24"/>
          <w:lang w:val="sk-SK"/>
        </w:rPr>
        <w:t xml:space="preserve"> 564) </w:t>
      </w:r>
    </w:p>
    <w:p w:rsidR="00D82F95" w:rsidP="00D82F95">
      <w:pPr>
        <w:tabs>
          <w:tab w:val="left" w:pos="540"/>
        </w:tabs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:rsidR="00D82F95" w:rsidP="00D82F95">
      <w:pPr>
        <w:jc w:val="both"/>
        <w:rPr>
          <w:b/>
        </w:rPr>
      </w:pPr>
    </w:p>
    <w:p w:rsidR="00D82F95" w:rsidP="00D82F95">
      <w:pPr>
        <w:jc w:val="both"/>
        <w:rPr>
          <w:b/>
        </w:rPr>
      </w:pPr>
    </w:p>
    <w:p w:rsidR="001D2FF3" w:rsidP="00D82F95">
      <w:pPr>
        <w:jc w:val="both"/>
        <w:outlineLvl w:val="0"/>
        <w:rPr>
          <w:u w:val="single"/>
        </w:rPr>
      </w:pPr>
      <w:r>
        <w:rPr>
          <w:u w:val="single"/>
        </w:rPr>
        <w:t>K čl. I</w:t>
      </w:r>
    </w:p>
    <w:p w:rsidR="001D2FF3" w:rsidP="00D82F95">
      <w:pPr>
        <w:jc w:val="both"/>
        <w:outlineLvl w:val="0"/>
      </w:pPr>
    </w:p>
    <w:p w:rsidR="001D2FF3" w:rsidP="00D82F95">
      <w:pPr>
        <w:pStyle w:val="ListParagraph0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 § 1 ods. 1 sa za písmeno c) vkladá písmeno d), ktoré znie: </w:t>
      </w:r>
    </w:p>
    <w:p w:rsidR="001D2FF3" w:rsidP="00D82F95">
      <w:pPr>
        <w:jc w:val="both"/>
      </w:pPr>
      <w:r>
        <w:t>„d) pôsobnosť Úradu pre normalizáciu, metrológiu a skúšobníctvo Slovenskej republiky (ďalej len „úr</w:t>
      </w:r>
      <w:r>
        <w:t>ad“),“.</w:t>
      </w:r>
    </w:p>
    <w:p w:rsidR="001D2FF3" w:rsidP="00D82F95">
      <w:pPr>
        <w:jc w:val="both"/>
      </w:pPr>
      <w:r>
        <w:t>Doterajšie písmeno d) sa označuje ako písmeno e).</w:t>
      </w:r>
    </w:p>
    <w:p w:rsidR="001D2FF3" w:rsidP="00D82F95">
      <w:pPr>
        <w:jc w:val="both"/>
      </w:pPr>
    </w:p>
    <w:p w:rsidR="001D2FF3" w:rsidP="00D82F95">
      <w:pPr>
        <w:ind w:left="4320"/>
        <w:jc w:val="both"/>
      </w:pPr>
      <w:r>
        <w:t>Legislatívno-technická zmena, návrh zákona upravuje pôsobnosť úradu.</w:t>
        <w:tab/>
      </w:r>
    </w:p>
    <w:p w:rsidR="001D2FF3" w:rsidP="00D82F95">
      <w:pPr>
        <w:ind w:left="4320"/>
        <w:jc w:val="both"/>
      </w:pPr>
    </w:p>
    <w:p w:rsidR="001D2FF3" w:rsidP="00D82F95">
      <w:pPr>
        <w:pStyle w:val="ListParagraph0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 ods. 2 písm. c) sa na konci pripájajú slová „určené pre verejnosť“.</w:t>
      </w:r>
    </w:p>
    <w:p w:rsidR="001D2FF3" w:rsidP="00D82F95">
      <w:pPr>
        <w:pStyle w:val="ListParagraph0"/>
        <w:ind w:left="36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ind w:left="43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Legislatívna úprava s cieľom zosúladenia so smernic</w:t>
      </w:r>
      <w:r>
        <w:rPr>
          <w:rFonts w:ascii="Times New Roman" w:hAnsi="Times New Roman"/>
          <w:sz w:val="24"/>
          <w:szCs w:val="24"/>
        </w:rPr>
        <w:t>ou.</w:t>
      </w:r>
    </w:p>
    <w:p w:rsidR="001D2FF3" w:rsidP="00D82F95">
      <w:pPr>
        <w:pStyle w:val="ListParagraph0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 sa vypúšťa písmeno m).</w:t>
      </w:r>
    </w:p>
    <w:p w:rsidR="001D2FF3" w:rsidP="00D82F95">
      <w:pPr>
        <w:pStyle w:val="ListParagraph0"/>
        <w:ind w:left="36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ind w:left="43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Smernica nedefinuje pojem sprievodnej dokumentácie, definícia je nadbytočná.</w:t>
      </w:r>
    </w:p>
    <w:p w:rsidR="001D2FF3" w:rsidP="00D82F95">
      <w:pPr>
        <w:pStyle w:val="ListParagraph0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Poznámka pod čiarou k odkazu 8) znie: </w:t>
      </w:r>
    </w:p>
    <w:p w:rsidR="001D2FF3" w:rsidP="00D82F95">
      <w:pPr>
        <w:pStyle w:val="ListParagraph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D82F95">
        <w:rPr>
          <w:rFonts w:ascii="Times New Roman" w:hAnsi="Times New Roman"/>
          <w:sz w:val="24"/>
          <w:szCs w:val="24"/>
        </w:rPr>
        <w:t xml:space="preserve">8) </w:t>
      </w:r>
      <w:r>
        <w:rPr>
          <w:rFonts w:ascii="Times New Roman" w:hAnsi="Times New Roman"/>
          <w:sz w:val="24"/>
          <w:szCs w:val="24"/>
        </w:rPr>
        <w:t xml:space="preserve">Napríklad zákon č. 250/2007 o ochrane spotrebiteľa a o zmene zákona Slovenskej národnej rady č. 372/1990 Zb. o priestupkoch v znení neskorších predpisov v znení neskorších predpisov, nariadenie vlády Slovenskej republiky č. 404/2007 Z. z. o všeobecnej bezpečnosti výrobkov, nariadenie vlády Slovenskej republiky č. 308/2004 Z. z. ktorým sa ustanovujú podrobnosti o technických požiadavkách a postupoch posudzovania zhody pre elektrické zariadenia, ktoré sa používajú v určitom rozsahu napätia, v znení nariadenia vlády Slovenskej republiky č. 449/2007 Z. z.“. </w:t>
      </w:r>
    </w:p>
    <w:p w:rsidR="001D2FF3" w:rsidP="00D82F95">
      <w:pPr>
        <w:pStyle w:val="ListParagraph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ind w:left="43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Smernica na viacerých miestach odkazuje okrem požiadaviek v smernici aj na iné harmonizované predpisy spoločenstva, ktoré musí hračka spĺňať. Navrhovaná zmena reflektuje túto skutočnosť.</w:t>
      </w:r>
    </w:p>
    <w:p w:rsidR="001D2FF3" w:rsidP="00D82F95">
      <w:pPr>
        <w:pStyle w:val="ListParagraph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4 ods. 1 písm. k) sa za slovo „zákonom“ vkladajú slová „alebo osobitným predpisom </w:t>
      </w:r>
      <w:r w:rsidRPr="003A3CC5">
        <w:rPr>
          <w:rFonts w:ascii="Times New Roman" w:hAnsi="Times New Roman"/>
          <w:sz w:val="24"/>
          <w:szCs w:val="24"/>
          <w:vertAlign w:val="superscript"/>
        </w:rPr>
        <w:t>8</w:t>
      </w:r>
      <w:r>
        <w:rPr>
          <w:rFonts w:ascii="Times New Roman" w:hAnsi="Times New Roman"/>
          <w:sz w:val="24"/>
          <w:szCs w:val="24"/>
        </w:rPr>
        <w:t>)“.</w:t>
      </w:r>
    </w:p>
    <w:p w:rsidR="001D2FF3" w:rsidP="00D82F95">
      <w:pPr>
        <w:pStyle w:val="ListParagraph0"/>
        <w:ind w:left="43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Smernica na viacerých miestach odkazuje okrem požiadaviek v smernici aj na iné harmonizované predpisy spoločenstva, ktoré musí hračka spĺňať. Navrhovaná zmena reflektuje túto skutočnosť.</w:t>
      </w:r>
    </w:p>
    <w:p w:rsidR="006F10A4" w:rsidP="00D82F95">
      <w:pPr>
        <w:pStyle w:val="ListParagraph0"/>
        <w:ind w:left="4320"/>
        <w:jc w:val="both"/>
        <w:rPr>
          <w:rFonts w:ascii="Times New Roman" w:hAnsi="Times New Roman"/>
          <w:sz w:val="24"/>
          <w:szCs w:val="24"/>
        </w:rPr>
      </w:pPr>
    </w:p>
    <w:p w:rsidR="006F10A4" w:rsidP="00D82F95">
      <w:pPr>
        <w:pStyle w:val="ListParagraph0"/>
        <w:ind w:left="432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 ods. 1 písm. l) sa za slovo „dohľadu“ vkladajú slová „a orgány dohľadu členských štátov Európskej únie (ďalej len „členský štát“), v ktorých bola hračka sprístupnená na trhu,“.</w:t>
      </w:r>
    </w:p>
    <w:p w:rsidR="001D2FF3" w:rsidP="00D82F95">
      <w:pPr>
        <w:pStyle w:val="ListParagraph0"/>
        <w:ind w:left="43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Smernica ustanovuje, že podnikatelia sú povinní poskytovať súčinnosť aj orgánom dohľadu z iných členských štátov, v ktorých sprístupnili hračku. Ďalej sa navrhuje legislatívno-technická úprava, ktorá spočíva v zavedení legislatívnej skratky.</w:t>
      </w:r>
    </w:p>
    <w:p w:rsidR="001D2FF3" w:rsidP="00D82F95">
      <w:pPr>
        <w:pStyle w:val="ListParagraph0"/>
        <w:ind w:left="432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 ods. 1 písm. m) sa za slovo „dohľadu“ vkladajú slová „a orgánov dohľadu členských štátov, v ktorých bola hračka sprístupnená na trhu,“.</w:t>
      </w:r>
    </w:p>
    <w:p w:rsidR="001D2FF3" w:rsidP="00D82F95">
      <w:pPr>
        <w:pStyle w:val="ListParagraph0"/>
        <w:ind w:left="36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ind w:left="43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Smernica ustanovuje, že podnikatelia sú povinní poskytovať súčinnosť aj orgánom dohľadu z iných členských štátov, v ktorých sprístupnili hračku. </w:t>
      </w:r>
    </w:p>
    <w:p w:rsidR="001D2FF3" w:rsidP="00D82F95">
      <w:pPr>
        <w:pStyle w:val="ListParagraph0"/>
        <w:ind w:left="36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ind w:left="36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 ods. 1 písm. o) sa nad slovo „trh“ umiestňuje odkaz 14) a nad slovom „dokumentáciou,“ sa odkaz 14) vypúšťa.</w:t>
      </w:r>
    </w:p>
    <w:p w:rsidR="001D2FF3" w:rsidP="00D82F95">
      <w:pPr>
        <w:pStyle w:val="ListParagraph0"/>
        <w:ind w:left="36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ind w:left="43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úprava.</w:t>
      </w:r>
    </w:p>
    <w:p w:rsidR="001D2FF3" w:rsidP="00D82F95">
      <w:pPr>
        <w:pStyle w:val="ListParagraph0"/>
        <w:ind w:left="36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4 ods. 1 písm. p) sa slovo „identifikovať“ nahrádza slovom „určiť“ a za slovo „dohľadu“ </w:t>
      </w:r>
      <w:r w:rsidR="00D82F95"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z w:val="24"/>
          <w:szCs w:val="24"/>
        </w:rPr>
        <w:t>vkladajú slová „a orgánov dohľadu členských štátov, v ktorých bola hračka sprístupnená na trhu,“.</w:t>
      </w:r>
    </w:p>
    <w:p w:rsidR="001D2FF3" w:rsidP="00D82F95">
      <w:pPr>
        <w:pStyle w:val="ListParagraph0"/>
        <w:ind w:left="36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ind w:left="43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úprava.</w:t>
      </w:r>
    </w:p>
    <w:p w:rsidR="001D2FF3" w:rsidP="00D82F95">
      <w:pPr>
        <w:pStyle w:val="ListParagraph0"/>
        <w:ind w:left="4320"/>
        <w:jc w:val="both"/>
        <w:rPr>
          <w:rFonts w:ascii="Times New Roman" w:hAnsi="Times New Roman"/>
          <w:sz w:val="24"/>
          <w:szCs w:val="24"/>
        </w:rPr>
      </w:pPr>
    </w:p>
    <w:p w:rsidR="006F10A4" w:rsidP="00D82F95">
      <w:pPr>
        <w:pStyle w:val="ListParagraph0"/>
        <w:ind w:left="432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ind w:left="43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Smernica ustanovuje, že podnikatelia sú povinní poskytovať súčinnosť aj orgánom dohľadu z iných členských štátov, v ktorých sprístupnili hračku. </w:t>
      </w:r>
    </w:p>
    <w:p w:rsidR="001D2FF3" w:rsidP="00D82F95">
      <w:pPr>
        <w:pStyle w:val="ListParagraph0"/>
        <w:ind w:left="36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5 ods</w:t>
      </w:r>
      <w:r w:rsidR="00467EC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1 sa slová „splnomocniť splnomocneného zástupcu“ nahrádzajú slovami „poveriť  fyzickú osobu alebo právnickú osobu“, za slovo </w:t>
      </w:r>
      <w:r>
        <w:rPr>
          <w:rFonts w:ascii="Times New Roman" w:hAnsi="Times New Roman"/>
          <w:sz w:val="24"/>
          <w:szCs w:val="24"/>
        </w:rPr>
        <w:t xml:space="preserve">„výrobcu“ sa vkladajú slová „(splnomocnený zástupca)“ a slovo „plnomocenstvo“ sa vo všetkých tvaroch v celom texte nahrádza slovom „poverenie“ v príslušnom tvare. </w:t>
      </w:r>
    </w:p>
    <w:p w:rsidR="001D2FF3" w:rsidP="00D82F95">
      <w:pPr>
        <w:ind w:left="4320"/>
        <w:jc w:val="both"/>
      </w:pPr>
      <w:r>
        <w:t>Ide o zosúladenie terminológie s Občianskym zákonníkom so všeobecnou úpravou zastúpenia.</w:t>
      </w:r>
    </w:p>
    <w:p w:rsidR="001D2FF3" w:rsidP="00D82F95">
      <w:pPr>
        <w:ind w:left="4320"/>
        <w:jc w:val="both"/>
      </w:pPr>
    </w:p>
    <w:p w:rsidR="009F397C" w:rsidP="00D82F95">
      <w:pPr>
        <w:ind w:left="4320"/>
        <w:jc w:val="both"/>
      </w:pPr>
    </w:p>
    <w:p w:rsidR="001D2FF3" w:rsidP="00D82F95">
      <w:pPr>
        <w:pStyle w:val="ListParagraph0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5 ods. 2 sa slovo „identifikovať“ nahrádza slovom „určiť“ a za slovo „dohľadu“ </w:t>
      </w:r>
      <w:r w:rsidR="00467ECA"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z w:val="24"/>
          <w:szCs w:val="24"/>
        </w:rPr>
        <w:t>vkladajú slová „a orgánu dohľadu, členského štátu, v ktorom bola hračka sprístupnená na trh,“.</w:t>
      </w:r>
    </w:p>
    <w:p w:rsidR="001D2FF3" w:rsidP="00D82F95">
      <w:pPr>
        <w:pStyle w:val="ListParagraph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ind w:left="43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Legislatívno-technická úprava. </w:t>
      </w:r>
    </w:p>
    <w:p w:rsidR="001D2FF3" w:rsidP="00D82F95">
      <w:pPr>
        <w:pStyle w:val="ListParagraph0"/>
        <w:ind w:left="432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ind w:left="43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Smernica ustanovuje, že podnikatelia sú povinní poskytovať súčinnosť aj orgánom dohľadu z iných členských štátov, v ktorých sprístupnili hračku.</w:t>
      </w:r>
    </w:p>
    <w:p w:rsidR="001D2FF3" w:rsidP="00D82F95">
      <w:pPr>
        <w:pStyle w:val="ListParagraph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6 ods. 2 písm. e) a f) sa za slovo „zákonom“ vkladajú slová „alebo osobitným predpisom</w:t>
      </w:r>
      <w:r w:rsidRPr="003A3CC5">
        <w:rPr>
          <w:rFonts w:ascii="Times New Roman" w:hAnsi="Times New Roman"/>
          <w:sz w:val="24"/>
          <w:szCs w:val="24"/>
          <w:vertAlign w:val="superscript"/>
        </w:rPr>
        <w:t>8</w:t>
      </w:r>
      <w:r>
        <w:rPr>
          <w:rFonts w:ascii="Times New Roman" w:hAnsi="Times New Roman"/>
          <w:sz w:val="24"/>
          <w:szCs w:val="24"/>
        </w:rPr>
        <w:t>)“.</w:t>
      </w:r>
    </w:p>
    <w:p w:rsidR="001D2FF3" w:rsidP="00D82F95">
      <w:pPr>
        <w:pStyle w:val="ListParagraph0"/>
        <w:ind w:left="36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ind w:left="43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Smernica na viacerých miestach odkazuje okrem požiadaviek v smernici aj na iné harmonizované predpisy spoločenstva, ktoré musí hračka spĺňať. Navrhovaná zmena reflektuje túto skutočnosť.</w:t>
      </w:r>
    </w:p>
    <w:p w:rsidR="001D2FF3" w:rsidP="00D82F95">
      <w:pPr>
        <w:pStyle w:val="ListParagraph0"/>
        <w:ind w:left="36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ind w:left="36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6 ods. 2 písm. g) sa slová „výrobcu a orgán dohľadu“ nahrádzajú slovami „výrobcu, orgán dohľadu a orgány dohľadu členských štátov, v ktorých bola hračka sprístupnená na trhu,“ a za slovo „zákonom“ sa vkladajú slová „alebo osobitným predpisom</w:t>
      </w:r>
      <w:r w:rsidRPr="003A3CC5">
        <w:rPr>
          <w:rFonts w:ascii="Times New Roman" w:hAnsi="Times New Roman"/>
          <w:sz w:val="24"/>
          <w:szCs w:val="24"/>
          <w:vertAlign w:val="superscript"/>
        </w:rPr>
        <w:t>8</w:t>
      </w:r>
      <w:r>
        <w:rPr>
          <w:rFonts w:ascii="Times New Roman" w:hAnsi="Times New Roman"/>
          <w:sz w:val="24"/>
          <w:szCs w:val="24"/>
        </w:rPr>
        <w:t>)“.</w:t>
      </w:r>
    </w:p>
    <w:p w:rsidR="001D2FF3" w:rsidP="00D82F95">
      <w:pPr>
        <w:pStyle w:val="ListParagraph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ind w:left="43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Smernica ustanovuje, že podnikatelia sú povinní poskytovať súčinnosť aj orgánom dohľadu z iných členských štátov, v ktorých sprístupnili hračku. </w:t>
      </w:r>
    </w:p>
    <w:p w:rsidR="001D2FF3" w:rsidP="00D82F95">
      <w:pPr>
        <w:pStyle w:val="ListParagraph0"/>
        <w:ind w:left="432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ind w:left="43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Smernica na viacerých miestach odkazuje okrem požiadaviek v smernici aj na iné harmonizované predpisy spoločenstva, ktoré musí hračka spĺňať. Navrhovaná zmena reflektuje túto skutočnosť.</w:t>
      </w:r>
    </w:p>
    <w:p w:rsidR="001D2FF3" w:rsidP="00D82F95">
      <w:pPr>
        <w:pStyle w:val="ListParagraph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6 ods. 2 písm. i) sa za slová „odôvodnenej žiadosti orgánu dohľadu“ vkladajú slová „a orgánu dohľadu členských štátov, v ktorých bola hračka sprístupnená na trhu,“ a za slová „žiadosti orgánu dohľadu“ sa vkladajú slová „a orgánu dohľadu členských štátov, v ktorých bola hračka sprístupnená na trhu,“.</w:t>
      </w:r>
    </w:p>
    <w:p w:rsidR="001D2FF3" w:rsidP="00D82F95">
      <w:pPr>
        <w:pStyle w:val="ListParagraph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ind w:left="43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Smernica ustanovuje, že podnikatelia sú povinní poskytovať súčinnosť aj orgánom dohľadu z iných členských štátov, v ktorých sprístupnili hračku. </w:t>
      </w:r>
    </w:p>
    <w:p w:rsidR="001D2FF3" w:rsidP="00D82F95">
      <w:pPr>
        <w:pStyle w:val="ListParagraph0"/>
        <w:ind w:left="432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6 ods. 2 písm. j) sa slovo „identifikovať“ nahrádza slovom „určiť“ a za slová „dohľadu“ vkladajú slová „a orgánu dohľadu členských štátov, v ktorých bola hračka sprístupnená na trhu,“.</w:t>
      </w:r>
    </w:p>
    <w:p w:rsidR="001D2FF3" w:rsidP="00D82F95">
      <w:pPr>
        <w:pStyle w:val="ListParagraph0"/>
        <w:ind w:left="43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Legislatívno-technická úprava. </w:t>
      </w:r>
    </w:p>
    <w:p w:rsidR="001D2FF3" w:rsidP="00D82F95">
      <w:pPr>
        <w:pStyle w:val="ListParagraph0"/>
        <w:ind w:left="432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ind w:left="43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Smernica ustanovuje, že podnikatelia sú povinní poskytovať súčinnosť aj orgánom dohľadu z iných členských štátov, v ktorých sprístupnili hračk</w:t>
      </w:r>
      <w:r>
        <w:rPr>
          <w:rFonts w:ascii="Times New Roman" w:hAnsi="Times New Roman"/>
          <w:sz w:val="24"/>
          <w:szCs w:val="24"/>
        </w:rPr>
        <w:t>u.</w:t>
      </w:r>
    </w:p>
    <w:p w:rsidR="001D2FF3" w:rsidP="00D82F95">
      <w:pPr>
        <w:pStyle w:val="ListParagraph0"/>
        <w:ind w:left="36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7 ods. 2 písm. b) sa slová „prijať bezodkladne nevyhnutné nápravné opatrenia“ nahrádzajú slovami „bezodkladne zabezpečiť prijatie nevyhnutných nápravných opatrení“ a za slovom „zákonom“ sa vkladajú slová „alebo osobitným predpisom</w:t>
      </w:r>
      <w:r w:rsidRPr="003A3CC5">
        <w:rPr>
          <w:rFonts w:ascii="Times New Roman" w:hAnsi="Times New Roman"/>
          <w:sz w:val="24"/>
          <w:szCs w:val="24"/>
          <w:vertAlign w:val="superscript"/>
        </w:rPr>
        <w:t>8</w:t>
      </w:r>
      <w:r>
        <w:rPr>
          <w:rFonts w:ascii="Times New Roman" w:hAnsi="Times New Roman"/>
          <w:sz w:val="24"/>
          <w:szCs w:val="24"/>
        </w:rPr>
        <w:t xml:space="preserve">)“. </w:t>
      </w:r>
    </w:p>
    <w:p w:rsidR="001D2FF3" w:rsidP="00D82F95">
      <w:pPr>
        <w:pStyle w:val="ListParagraph0"/>
        <w:ind w:left="36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ind w:left="43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</w:t>
      </w:r>
      <w:r>
        <w:rPr>
          <w:rFonts w:ascii="Times New Roman" w:hAnsi="Times New Roman"/>
          <w:sz w:val="24"/>
          <w:szCs w:val="24"/>
        </w:rPr>
        <w:t>o-technická úprava.</w:t>
      </w:r>
    </w:p>
    <w:p w:rsidR="001D2FF3" w:rsidP="00D82F95">
      <w:pPr>
        <w:pStyle w:val="ListParagraph0"/>
        <w:ind w:left="432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ind w:left="43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Smernica na viacerých miestach odkazuje okrem požiadaviek v smernici aj na iné harmonizované predpisy spoločenstva, ktoré musí hračka spĺňať. Navrhovaná zmena reflektuje túto skutočnosť.</w:t>
      </w:r>
    </w:p>
    <w:p w:rsidR="001D2FF3" w:rsidP="00D82F95">
      <w:pPr>
        <w:pStyle w:val="ListParagraph0"/>
        <w:ind w:left="432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7 ods. 2 písm. c) sa za slovo „dohľadu“ vkladajú slová „a orgány dohľadu členských štátov, v ktorých bola hračka sprístupnená na trhu“ a za slovo „zákonom“ sa vkladajú slová „alebo osobitným predpisom</w:t>
      </w:r>
      <w:r w:rsidRPr="003A3CC5">
        <w:rPr>
          <w:rFonts w:ascii="Times New Roman" w:hAnsi="Times New Roman"/>
          <w:sz w:val="24"/>
          <w:szCs w:val="24"/>
          <w:vertAlign w:val="superscript"/>
        </w:rPr>
        <w:t>8</w:t>
      </w:r>
      <w:r>
        <w:rPr>
          <w:rFonts w:ascii="Times New Roman" w:hAnsi="Times New Roman"/>
          <w:sz w:val="24"/>
          <w:szCs w:val="24"/>
        </w:rPr>
        <w:t xml:space="preserve">)“. </w:t>
      </w:r>
    </w:p>
    <w:p w:rsidR="001D2FF3" w:rsidP="00D82F95">
      <w:pPr>
        <w:pStyle w:val="ListParagraph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ind w:left="43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Smernica ustanovuje, že podnikatelia sú povinní poskytovať súčinnosť aj orgánom dohľadu z iných členských štátov, v ktorých sprístupnili hračku. Ďalej sa navrhuje legislatívno-technická úprava, ktorá spočíva v zavedení legislatívnej skratky.</w:t>
      </w:r>
    </w:p>
    <w:p w:rsidR="001D2FF3" w:rsidP="00D82F95">
      <w:pPr>
        <w:pStyle w:val="ListParagraph0"/>
        <w:ind w:left="432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ind w:left="43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Smernica na viacerých miestach odkazuje okrem požiadaviek v smernici aj na iné harmonizované predpisy spoločenstva, ktoré musí hračka spĺňať. Navrhovaná zmena reflektuje túto skutočnosť.</w:t>
      </w:r>
    </w:p>
    <w:p w:rsidR="001D2FF3" w:rsidP="00D82F95">
      <w:pPr>
        <w:pStyle w:val="ListParagraph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7 ods. 2 písm. d) sa za slovo „dohľadu“ vkladajú slová „a orgánu dohľadu členských štátov, v ktorých hračku sprístupnil na trhu,“.</w:t>
      </w:r>
    </w:p>
    <w:p w:rsidR="001D2FF3" w:rsidP="00D82F95">
      <w:pPr>
        <w:pStyle w:val="ListParagraph0"/>
        <w:ind w:left="36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ind w:left="43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Smernica ustanovuje, že podnikatelia sú povinní poskytovať súčinnosť aj orgánom dohľadu z iných členských štátov, v ktorých sprístupnili hračku.</w:t>
      </w:r>
    </w:p>
    <w:p w:rsidR="001D2FF3" w:rsidP="00D82F95">
      <w:pPr>
        <w:pStyle w:val="ListParagraph0"/>
        <w:ind w:left="36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7 ods. 2 písm. e) sa slovo „identifikovať“ nahrádza slovom „určiť“ a za slová „dohľadu“ vkladajú slová „a orgánu dohľadu členských štátov, v ktorých hračku sprístupnil na trhu,. </w:t>
      </w:r>
    </w:p>
    <w:p w:rsidR="001D2FF3" w:rsidP="00D82F95">
      <w:pPr>
        <w:pStyle w:val="ListParagraph0"/>
        <w:ind w:left="43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Legislatívno-technická úprava. </w:t>
      </w:r>
    </w:p>
    <w:p w:rsidR="001D2FF3" w:rsidP="00D82F95">
      <w:pPr>
        <w:pStyle w:val="ListParagraph0"/>
        <w:ind w:left="432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ind w:left="43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Smernica ustanovuje, že podnikatelia sú povinní poskytovať súčinnosť aj orgánom dohľadu z iných členských štátov, v ktorých sprístupnili hračku.</w:t>
      </w:r>
    </w:p>
    <w:p w:rsidR="001D2FF3" w:rsidP="00D82F95">
      <w:pPr>
        <w:pStyle w:val="ListParagraph0"/>
        <w:ind w:left="36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8 ods. 3 sa za slovo „dohľadu“ vkladajú slová „orgánu dohľadu členských štátov, v ktorých hračku sprístupnil na trhu,“.</w:t>
      </w:r>
    </w:p>
    <w:p w:rsidR="001D2FF3" w:rsidP="00D82F95">
      <w:pPr>
        <w:pStyle w:val="ListParagraph0"/>
        <w:ind w:left="43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Smernica ustanovuje, že podnikatelia sú povinní poskytovať súčinnosť aj orgánom dohľadu z iných členských štátov, v ktorých sprístupnili hračku.</w:t>
      </w:r>
    </w:p>
    <w:p w:rsidR="001D2FF3" w:rsidP="00D82F95">
      <w:pPr>
        <w:pStyle w:val="ListParagraph0"/>
        <w:ind w:left="360"/>
        <w:jc w:val="both"/>
        <w:rPr>
          <w:rFonts w:ascii="Times New Roman" w:hAnsi="Times New Roman"/>
          <w:sz w:val="24"/>
          <w:szCs w:val="24"/>
        </w:rPr>
      </w:pPr>
    </w:p>
    <w:p w:rsidR="001D2FF3" w:rsidP="00850B09">
      <w:pPr>
        <w:numPr>
          <w:ilvl w:val="0"/>
          <w:numId w:val="31"/>
        </w:numPr>
        <w:spacing w:line="276" w:lineRule="auto"/>
        <w:jc w:val="both"/>
      </w:pPr>
      <w:r>
        <w:t xml:space="preserve">V § 10 sa v celom texte slová „prílohy č. 4“ nahrádzajú slovami „prílohy č. 3“ a Príloha č. 3 sa označuje ako príloha č. 4 a doterajšia príloha č. 4 sa označuje ako príloha č. 3. </w:t>
      </w:r>
    </w:p>
    <w:p w:rsidR="001D2FF3" w:rsidP="00850B09">
      <w:pPr>
        <w:pStyle w:val="ListParagraph0"/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="00850B09">
        <w:rPr>
          <w:rFonts w:ascii="Times New Roman" w:hAnsi="Times New Roman"/>
          <w:sz w:val="24"/>
          <w:szCs w:val="24"/>
        </w:rPr>
        <w:t>Ide o legislatívno-technickú úpravu v nadväznosti na poradie vnútorných odkazov na prílohy návrhu zákon</w:t>
      </w:r>
      <w:r w:rsidR="00850B09">
        <w:rPr>
          <w:rFonts w:ascii="Times New Roman" w:hAnsi="Times New Roman"/>
          <w:sz w:val="24"/>
          <w:szCs w:val="24"/>
        </w:rPr>
        <w:t xml:space="preserve">a. </w:t>
      </w:r>
    </w:p>
    <w:p w:rsidR="00850B09" w:rsidP="00850B09">
      <w:pPr>
        <w:pStyle w:val="ListParagraph0"/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11 ods. 1 písmeno j) znie:</w:t>
      </w:r>
    </w:p>
    <w:p w:rsidR="001D2FF3" w:rsidP="00CC31D2">
      <w:pPr>
        <w:ind w:firstLine="709"/>
        <w:jc w:val="both"/>
      </w:pPr>
      <w:r>
        <w:t>„</w:t>
      </w:r>
      <w:r w:rsidR="00CC31D2">
        <w:t xml:space="preserve">j) </w:t>
      </w:r>
      <w:r>
        <w:t>doplňujúce informácie, ak sú potrebné.“.</w:t>
      </w:r>
    </w:p>
    <w:p w:rsidR="001D2FF3" w:rsidP="00D82F95">
      <w:pPr>
        <w:jc w:val="both"/>
      </w:pPr>
    </w:p>
    <w:p w:rsidR="001D2FF3" w:rsidP="00D82F95">
      <w:pPr>
        <w:ind w:left="4320"/>
        <w:jc w:val="both"/>
      </w:pPr>
      <w:r>
        <w:t>Ide o zosúladenie textu zákona s textom smernice a o odstránenie neurčitosti textu zákona.</w:t>
      </w:r>
    </w:p>
    <w:p w:rsidR="003A3CC5" w:rsidP="00D82F95">
      <w:pPr>
        <w:ind w:left="4320"/>
        <w:jc w:val="both"/>
      </w:pPr>
    </w:p>
    <w:p w:rsidR="001D2FF3" w:rsidP="00D82F95">
      <w:pPr>
        <w:pStyle w:val="ListParagraph0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 § 14 ods. 2 sa za slovo „povinný“ vkladajú slová „podľa § 12“ a slovo „zhody“ sa vypúšťa.</w:t>
      </w:r>
    </w:p>
    <w:p w:rsidR="001D2FF3" w:rsidP="00D82F95">
      <w:pPr>
        <w:pStyle w:val="ListParagraph0"/>
        <w:ind w:left="43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odstránenie neurčitosti textu zákona a spresnenie režimu umiestňovania označenia CE.</w:t>
      </w:r>
    </w:p>
    <w:p w:rsidR="001D2FF3" w:rsidP="00D82F95">
      <w:pPr>
        <w:pStyle w:val="ListParagraph0"/>
        <w:ind w:left="36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15 ods. 3 sa za slovo „umiestni“ vkladajú slová „podľa § 12“ a slovo „zhody“ sa vypúšťa.</w:t>
      </w:r>
    </w:p>
    <w:p w:rsidR="001D2FF3" w:rsidP="00D82F95">
      <w:pPr>
        <w:pStyle w:val="ListParagraph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ind w:left="43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odstránenie neurčitosti textu zákona a spresnenie režimu umiestňovania označenia CE.</w:t>
      </w:r>
    </w:p>
    <w:p w:rsidR="001D2FF3" w:rsidP="00D82F95">
      <w:pPr>
        <w:pStyle w:val="ListParagraph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16 ods. 3 sa za slovo „obsahuje“ vkladajú slová „opis hračky, adresu miesta výroby hračky a náležitosti podľa osobitného predpisu. </w:t>
      </w:r>
      <w:r w:rsidRPr="003A3CC5">
        <w:rPr>
          <w:rFonts w:ascii="Times New Roman" w:hAnsi="Times New Roman"/>
          <w:sz w:val="24"/>
          <w:szCs w:val="24"/>
          <w:vertAlign w:val="superscript"/>
        </w:rPr>
        <w:t>x</w:t>
      </w:r>
      <w:r>
        <w:rPr>
          <w:rFonts w:ascii="Times New Roman" w:hAnsi="Times New Roman"/>
          <w:sz w:val="24"/>
          <w:szCs w:val="24"/>
        </w:rPr>
        <w:t>)“ a písmená a) až g) sa vypúšťajú.</w:t>
      </w:r>
    </w:p>
    <w:p w:rsidR="001D2FF3" w:rsidP="00D82F95">
      <w:pPr>
        <w:pStyle w:val="ListParagraph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Nová poznámka pod čiarou k odkazu x) znie:</w:t>
      </w:r>
    </w:p>
    <w:p w:rsidR="001D2FF3" w:rsidP="00D82F95">
      <w:pPr>
        <w:pStyle w:val="ListParagraph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„x) Modul B prílohy II rozhodnutia Európskeho parlamentu a Rady č. 768/2008/ES z 9. júla 2008 o spoločnom rámci na uvádzanie výrobkov na trh a o zrušení rozhodnutia 93/465/EHS (Ú. v. EÚ L 218, 13. 8. 2008).“.</w:t>
      </w:r>
    </w:p>
    <w:p w:rsidR="001D2FF3" w:rsidP="00D82F95">
      <w:pPr>
        <w:pStyle w:val="ListParagraph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tejto súvislosti sa vykoná prečíslovanie odkazov a poznámok pod čiarou. </w:t>
      </w:r>
    </w:p>
    <w:p w:rsidR="001D2FF3" w:rsidP="00D82F95">
      <w:pPr>
        <w:pStyle w:val="ListParagraph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ind w:left="43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legislatívno-technickú úpravu, aby sa odstránila duplicitná úprava s rozhodnutím 768/2008.</w:t>
      </w:r>
    </w:p>
    <w:p w:rsidR="001D2FF3" w:rsidP="00D82F95">
      <w:pPr>
        <w:pStyle w:val="ListParagraph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16 ods. 4 </w:t>
      </w:r>
      <w:r w:rsidR="00737DCB">
        <w:rPr>
          <w:rFonts w:ascii="Times New Roman" w:hAnsi="Times New Roman"/>
          <w:sz w:val="24"/>
          <w:szCs w:val="24"/>
        </w:rPr>
        <w:t xml:space="preserve">v úvodnej vete </w:t>
      </w:r>
      <w:r>
        <w:rPr>
          <w:rFonts w:ascii="Times New Roman" w:hAnsi="Times New Roman"/>
          <w:sz w:val="24"/>
          <w:szCs w:val="24"/>
        </w:rPr>
        <w:t>sa za slovo „typu“ vkladajú slová „postupuje podľa osobitného predpisu.</w:t>
      </w:r>
      <w:r w:rsidRPr="003A3CC5">
        <w:rPr>
          <w:rFonts w:ascii="Times New Roman" w:hAnsi="Times New Roman"/>
          <w:sz w:val="24"/>
          <w:szCs w:val="24"/>
          <w:vertAlign w:val="superscript"/>
        </w:rPr>
        <w:t>18</w:t>
      </w:r>
      <w:r>
        <w:rPr>
          <w:rFonts w:ascii="Times New Roman" w:hAnsi="Times New Roman"/>
          <w:sz w:val="24"/>
          <w:szCs w:val="24"/>
        </w:rPr>
        <w:t>)“ a písmená a) až d) sa vypúšťajú.</w:t>
      </w:r>
    </w:p>
    <w:p w:rsidR="001D2FF3" w:rsidP="00D82F95">
      <w:pPr>
        <w:pStyle w:val="ListParagraph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ind w:left="43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legislatívno-technickú úpravu, aby sa odstránila duplicitná úprava s rozhodnutím 768/2008.</w:t>
      </w:r>
    </w:p>
    <w:p w:rsidR="001D2FF3" w:rsidP="00D82F95">
      <w:pPr>
        <w:pStyle w:val="ListParagraph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16 ods. 8 druhá veta znie:</w:t>
      </w:r>
    </w:p>
    <w:p w:rsidR="001D2FF3" w:rsidP="00D82F95">
      <w:pPr>
        <w:pStyle w:val="ListParagraph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„Notifikovaná osoba môže so súhlasom výrobcu v plnom rozsahu alebo čiastočne sprístupniť obsah tejto správy.“.</w:t>
      </w:r>
    </w:p>
    <w:p w:rsidR="001D2FF3" w:rsidP="00D82F95">
      <w:pPr>
        <w:pStyle w:val="ListParagraph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ind w:left="43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sp</w:t>
      </w:r>
      <w:r>
        <w:rPr>
          <w:rFonts w:ascii="Times New Roman" w:hAnsi="Times New Roman"/>
          <w:sz w:val="24"/>
          <w:szCs w:val="24"/>
        </w:rPr>
        <w:t>resnenie textu.</w:t>
      </w:r>
    </w:p>
    <w:p w:rsidR="003A3CC5" w:rsidP="00D82F95">
      <w:pPr>
        <w:pStyle w:val="ListParagraph0"/>
        <w:ind w:left="432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17 ods. 3 sa vypúšťajú slová „Európskej únie (ďalej len „členský štát“)“.</w:t>
      </w:r>
    </w:p>
    <w:p w:rsidR="001D2FF3" w:rsidP="00D82F95">
      <w:pPr>
        <w:pStyle w:val="ListParagraph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ind w:left="43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legislatívno-technickú úpravu v súvislosti so zmenou navrhovanou v bode 6.</w:t>
      </w:r>
    </w:p>
    <w:p w:rsidR="001D2FF3" w:rsidP="00D82F95">
      <w:pPr>
        <w:pStyle w:val="ListParagraph0"/>
        <w:jc w:val="both"/>
        <w:rPr>
          <w:rFonts w:ascii="Times New Roman" w:hAnsi="Times New Roman"/>
          <w:sz w:val="24"/>
          <w:szCs w:val="24"/>
        </w:rPr>
      </w:pPr>
    </w:p>
    <w:p w:rsidR="001D2FF3" w:rsidP="00D82F95">
      <w:pPr>
        <w:pStyle w:val="ListParagraph0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</w:t>
      </w:r>
      <w:smartTag w:uri="urn:schemas-microsoft-com:office:smarttags" w:element="metricconverter">
        <w:smartTagPr>
          <w:attr w:name="ProductID" w:val="18 a"/>
        </w:smartTagPr>
        <w:r>
          <w:rPr>
            <w:rFonts w:ascii="Times New Roman" w:hAnsi="Times New Roman"/>
            <w:sz w:val="24"/>
            <w:szCs w:val="24"/>
          </w:rPr>
          <w:t>18 a</w:t>
        </w:r>
      </w:smartTag>
      <w:r>
        <w:rPr>
          <w:rFonts w:ascii="Times New Roman" w:hAnsi="Times New Roman"/>
          <w:sz w:val="24"/>
          <w:szCs w:val="24"/>
        </w:rPr>
        <w:t xml:space="preserve"> § 19 vrátane nadpisu znejú:</w:t>
      </w:r>
    </w:p>
    <w:p w:rsidR="001D2FF3" w:rsidP="003E7824">
      <w:pPr>
        <w:jc w:val="center"/>
      </w:pPr>
      <w:r>
        <w:t>„Notifikácia</w:t>
      </w:r>
    </w:p>
    <w:p w:rsidR="001D2FF3" w:rsidP="003E7824">
      <w:pPr>
        <w:jc w:val="center"/>
      </w:pPr>
      <w:r>
        <w:t xml:space="preserve">§ 18 </w:t>
        <w:br/>
      </w:r>
    </w:p>
    <w:p w:rsidR="001D2FF3" w:rsidP="00D82F95">
      <w:pPr>
        <w:numPr>
          <w:ilvl w:val="0"/>
          <w:numId w:val="32"/>
        </w:numPr>
        <w:jc w:val="both"/>
      </w:pPr>
      <w:r>
        <w:t>Posudzovanie zhody podľa tohto zákona môže vykonávať len notifikovaná osoba podľa § 19 ods. 2 a 3, ktorá spĺňa požiadavky podľa osobitného predpisu.xx)</w:t>
      </w:r>
    </w:p>
    <w:p w:rsidR="001D2FF3" w:rsidP="00D82F95">
      <w:pPr>
        <w:jc w:val="both"/>
      </w:pPr>
    </w:p>
    <w:p w:rsidR="001D2FF3" w:rsidP="00D82F95">
      <w:pPr>
        <w:numPr>
          <w:ilvl w:val="0"/>
          <w:numId w:val="32"/>
        </w:numPr>
        <w:jc w:val="both"/>
      </w:pPr>
      <w:r>
        <w:t>Žiadosť o notifikáciu sa podáva písomne na úrad. Žiadosť o notifikáciu môže podať iba právnická osoba (ďalej len „žiadateľ“).</w:t>
      </w:r>
    </w:p>
    <w:p w:rsidR="001D2FF3" w:rsidP="00D82F95">
      <w:pPr>
        <w:ind w:left="720"/>
        <w:jc w:val="both"/>
      </w:pPr>
    </w:p>
    <w:p w:rsidR="001D2FF3" w:rsidP="00D82F95">
      <w:pPr>
        <w:ind w:firstLine="708"/>
        <w:jc w:val="both"/>
      </w:pPr>
      <w:r>
        <w:t>(3)  Žiadateľ v žiadosti o notifikáciu uvedie</w:t>
      </w:r>
    </w:p>
    <w:p w:rsidR="001D2FF3" w:rsidP="00D82F95">
      <w:pPr>
        <w:ind w:firstLine="708"/>
        <w:jc w:val="both"/>
      </w:pPr>
      <w:r>
        <w:t xml:space="preserve">a) zoznam činností, ktoré sa týkajú posudzovania zhody, </w:t>
      </w:r>
    </w:p>
    <w:p w:rsidR="001D2FF3" w:rsidP="00D82F95">
      <w:pPr>
        <w:ind w:firstLine="708"/>
        <w:jc w:val="both"/>
      </w:pPr>
      <w:r>
        <w:t xml:space="preserve">b) opis postupov posudzovania zhody, </w:t>
      </w:r>
    </w:p>
    <w:p w:rsidR="001D2FF3" w:rsidP="00D82F95">
      <w:pPr>
        <w:ind w:firstLine="708"/>
        <w:jc w:val="both"/>
      </w:pPr>
      <w:r>
        <w:t xml:space="preserve">c) opis hračky, o ktorom žiadateľ tvrdí, že je spôsobilý posudzovať jeho zhodu podľa technických požiadaviek. </w:t>
      </w:r>
    </w:p>
    <w:p w:rsidR="001D2FF3" w:rsidP="00D82F95">
      <w:pPr>
        <w:ind w:firstLine="708"/>
        <w:jc w:val="both"/>
      </w:pPr>
    </w:p>
    <w:p w:rsidR="001D2FF3" w:rsidP="00D82F95">
      <w:pPr>
        <w:ind w:firstLine="708"/>
        <w:jc w:val="both"/>
      </w:pPr>
      <w:r>
        <w:t>(4) Prílohou k žiadosti o notifikáciu sú</w:t>
      </w:r>
    </w:p>
    <w:p w:rsidR="001D2FF3" w:rsidP="00D82F95">
      <w:pPr>
        <w:ind w:firstLine="709"/>
        <w:jc w:val="both"/>
      </w:pPr>
      <w:r>
        <w:t>a) osvedčen</w:t>
      </w:r>
      <w:r w:rsidR="0047069C">
        <w:t>i</w:t>
      </w:r>
      <w:r>
        <w:t>e </w:t>
      </w:r>
      <w:r w:rsidR="000A1162">
        <w:t xml:space="preserve">o </w:t>
      </w:r>
      <w:r>
        <w:t>akreditácii,</w:t>
      </w:r>
      <w:r w:rsidRPr="003A3CC5">
        <w:rPr>
          <w:vertAlign w:val="superscript"/>
        </w:rPr>
        <w:t>xxx</w:t>
      </w:r>
      <w:r>
        <w:rPr>
          <w:vertAlign w:val="superscript"/>
        </w:rPr>
        <w:t>)</w:t>
      </w:r>
      <w:r>
        <w:t xml:space="preserve"> ktoré osvedčuje, že žiadateľ spĺňa požiadavky podľa osobitného predpisu</w:t>
      </w:r>
      <w:r w:rsidRPr="00F71553">
        <w:rPr>
          <w:vertAlign w:val="superscript"/>
        </w:rPr>
        <w:t>xx</w:t>
      </w:r>
      <w:r>
        <w:t xml:space="preserve">) alebo </w:t>
      </w:r>
    </w:p>
    <w:p w:rsidR="001D2FF3" w:rsidP="00D82F95">
      <w:pPr>
        <w:ind w:firstLine="709"/>
        <w:jc w:val="both"/>
      </w:pPr>
      <w:r>
        <w:t>b) iné písomné doklady, ktoré sú potrebné na overenie, uznanie a pravidelné sledovanie plnenia požiadaviek podľa osobitného predpisu,</w:t>
      </w:r>
      <w:r w:rsidRPr="003A3CC5">
        <w:rPr>
          <w:vertAlign w:val="superscript"/>
        </w:rPr>
        <w:t>xx</w:t>
      </w:r>
      <w:r>
        <w:t>) ak žiadateľ nemôže predložiť osvedčenie o akreditácii podľa písmena a).</w:t>
      </w:r>
    </w:p>
    <w:p w:rsidR="001D2FF3" w:rsidP="00D82F95">
      <w:pPr>
        <w:jc w:val="both"/>
      </w:pPr>
    </w:p>
    <w:p w:rsidR="001D2FF3" w:rsidP="00D82F95">
      <w:pPr>
        <w:ind w:left="180" w:firstLine="528"/>
        <w:jc w:val="both"/>
      </w:pPr>
      <w:r>
        <w:t>(5) Ak žiadateľ predložil osvedčenie o akreditácii podľa odseku 4 písm. a), má sa za to, že žiadateľ spĺňa požiadavky podľa osobitného predpisu</w:t>
      </w:r>
      <w:r w:rsidRPr="003A3CC5">
        <w:rPr>
          <w:vertAlign w:val="superscript"/>
        </w:rPr>
        <w:t>xx</w:t>
      </w:r>
      <w:r>
        <w:t xml:space="preserve">) v plnom rozsahu a úrad ich splnenie neskúma. </w:t>
      </w:r>
    </w:p>
    <w:p w:rsidR="001D2FF3" w:rsidP="00D82F95">
      <w:pPr>
        <w:ind w:left="180"/>
        <w:jc w:val="both"/>
      </w:pPr>
    </w:p>
    <w:p w:rsidR="001D2FF3" w:rsidP="00D82F95">
      <w:pPr>
        <w:ind w:left="180" w:firstLine="528"/>
        <w:jc w:val="both"/>
      </w:pPr>
      <w:r>
        <w:t>(6) Ak žiadateľ predložil iné písomné doklady, ktoré sú potrebné na overenie, uznanie a pravidelné sledovanie plnenia požiadaviek podľa osobitného predpisu,</w:t>
      </w:r>
      <w:r w:rsidRPr="003A3CC5">
        <w:rPr>
          <w:vertAlign w:val="superscript"/>
        </w:rPr>
        <w:t>xx</w:t>
      </w:r>
      <w:r>
        <w:t>) podľa odseku 4 písm. b), úrad skúma splnenie požiadaviek podľa osobitného predpisu.</w:t>
      </w:r>
      <w:r w:rsidRPr="003A3CC5">
        <w:rPr>
          <w:vertAlign w:val="superscript"/>
        </w:rPr>
        <w:t>xx</w:t>
      </w:r>
      <w:r>
        <w:t>)</w:t>
      </w:r>
    </w:p>
    <w:p w:rsidR="001D2FF3" w:rsidP="00D82F95">
      <w:pPr>
        <w:ind w:left="180" w:firstLine="528"/>
        <w:jc w:val="both"/>
      </w:pPr>
    </w:p>
    <w:p w:rsidR="001D2FF3" w:rsidP="00D82F95">
      <w:pPr>
        <w:ind w:left="180" w:firstLine="528"/>
        <w:jc w:val="both"/>
      </w:pPr>
      <w:r>
        <w:t>(7) Úrad rozhodne o zamietnutí žiadosti o notifikáciu, ak žiadateľ</w:t>
      </w:r>
    </w:p>
    <w:p w:rsidR="001D2FF3" w:rsidP="00D82F95">
      <w:pPr>
        <w:numPr>
          <w:ilvl w:val="0"/>
          <w:numId w:val="33"/>
        </w:numPr>
        <w:jc w:val="both"/>
      </w:pPr>
      <w:r>
        <w:t>nespĺňa požiadavky podľa osobitného predpisu</w:t>
      </w:r>
      <w:r w:rsidRPr="003A3CC5">
        <w:rPr>
          <w:vertAlign w:val="superscript"/>
        </w:rPr>
        <w:t>xx</w:t>
      </w:r>
      <w:r>
        <w:t>) alebo</w:t>
      </w:r>
    </w:p>
    <w:p w:rsidR="001D2FF3" w:rsidP="00D82F95">
      <w:pPr>
        <w:numPr>
          <w:ilvl w:val="0"/>
          <w:numId w:val="33"/>
        </w:numPr>
        <w:jc w:val="both"/>
      </w:pPr>
      <w:r>
        <w:t>nepreukázal dostatočne splnenie podmienok podľa osobitného predpisu.</w:t>
      </w:r>
      <w:r w:rsidRPr="003A3CC5">
        <w:rPr>
          <w:vertAlign w:val="superscript"/>
        </w:rPr>
        <w:t>xx</w:t>
      </w:r>
      <w:r>
        <w:t>)</w:t>
      </w:r>
    </w:p>
    <w:p w:rsidR="001D2FF3" w:rsidP="00D82F95">
      <w:pPr>
        <w:ind w:left="142"/>
        <w:jc w:val="both"/>
      </w:pPr>
    </w:p>
    <w:p w:rsidR="001D2FF3" w:rsidP="00D82F95">
      <w:pPr>
        <w:ind w:left="142" w:firstLine="566"/>
        <w:jc w:val="both"/>
      </w:pPr>
      <w:r>
        <w:t>(8) Úrad vykoná notifikáciu podľa § 19 ods. 1, ak žiadateľ predložil úplnú a správnu žiadosť o notifikáciu a zároveň spĺňa podmienky podľa osobitného predpisu.</w:t>
      </w:r>
      <w:r w:rsidRPr="003A3CC5">
        <w:rPr>
          <w:vertAlign w:val="superscript"/>
        </w:rPr>
        <w:t>x</w:t>
      </w:r>
      <w:r w:rsidRPr="00F71553">
        <w:rPr>
          <w:vertAlign w:val="superscript"/>
        </w:rPr>
        <w:t>x</w:t>
      </w:r>
      <w:r>
        <w:t>)</w:t>
      </w:r>
    </w:p>
    <w:p w:rsidR="001D2FF3" w:rsidP="00D82F95">
      <w:pPr>
        <w:jc w:val="both"/>
      </w:pPr>
    </w:p>
    <w:p w:rsidR="001D2FF3" w:rsidP="0022021E">
      <w:pPr>
        <w:spacing w:before="120"/>
        <w:jc w:val="center"/>
      </w:pPr>
      <w:r>
        <w:t>§ 19</w:t>
      </w:r>
    </w:p>
    <w:p w:rsidR="001D2FF3" w:rsidP="0022021E">
      <w:pPr>
        <w:spacing w:before="120"/>
        <w:ind w:firstLine="709"/>
        <w:jc w:val="both"/>
      </w:pPr>
      <w:r w:rsidR="00F71553">
        <w:t xml:space="preserve"> </w:t>
      </w:r>
      <w:r>
        <w:t>(1) Notifikácia je oznámenie úradu Európskej komisii a ostatným členským štátom o tom, že žiadateľ spĺňa požiadavky podľa osobitného predpisu.</w:t>
      </w:r>
      <w:r w:rsidRPr="003A3CC5">
        <w:rPr>
          <w:vertAlign w:val="superscript"/>
        </w:rPr>
        <w:t>xx</w:t>
      </w:r>
      <w:r>
        <w:t xml:space="preserve">) V notifikácii sa uvedú podrobnosti podľa § 18 ods. </w:t>
      </w:r>
      <w:smartTag w:uri="urn:schemas-microsoft-com:office:smarttags" w:element="metricconverter">
        <w:smartTagPr>
          <w:attr w:name="ProductID" w:val="3 a"/>
        </w:smartTagPr>
        <w:r>
          <w:t>3 a</w:t>
        </w:r>
      </w:smartTag>
      <w:r>
        <w:t xml:space="preserve"> 4.  </w:t>
      </w:r>
    </w:p>
    <w:p w:rsidR="00F71553" w:rsidP="00D82F95">
      <w:pPr>
        <w:ind w:firstLine="709"/>
        <w:jc w:val="both"/>
      </w:pPr>
    </w:p>
    <w:p w:rsidR="001D2FF3" w:rsidP="00D82F95">
      <w:pPr>
        <w:ind w:firstLine="709"/>
        <w:jc w:val="both"/>
      </w:pPr>
      <w:r>
        <w:t>(2) Žiadateľ, ktorý preukázal splnenie podmienok podľa osobitného predpisu</w:t>
      </w:r>
      <w:r w:rsidRPr="003A3CC5">
        <w:rPr>
          <w:vertAlign w:val="superscript"/>
        </w:rPr>
        <w:t>xx</w:t>
      </w:r>
      <w:r>
        <w:t xml:space="preserve">) v plnom rozsahu predložením osvedčenia o akreditácii sa považuje za notifikovanú osobu, ak Európska komisia alebo ostatné členské štáty nevznesú námietky do dvoch týždňov od oznámenia podľa odseku </w:t>
      </w:r>
      <w:smartTag w:uri="urn:schemas-microsoft-com:office:smarttags" w:element="metricconverter">
        <w:smartTagPr>
          <w:attr w:name="ProductID" w:val="1 a"/>
        </w:smartTagPr>
        <w:r>
          <w:t>1 a</w:t>
        </w:r>
      </w:smartTag>
      <w:r>
        <w:t xml:space="preserve"> Európska komisia ju uvedie v zozname notifikovaných osôb. </w:t>
      </w:r>
    </w:p>
    <w:p w:rsidR="001D2FF3" w:rsidP="00D82F95">
      <w:pPr>
        <w:ind w:firstLine="709"/>
        <w:jc w:val="both"/>
      </w:pPr>
    </w:p>
    <w:p w:rsidR="001D2FF3" w:rsidP="00D82F95">
      <w:pPr>
        <w:ind w:firstLine="709"/>
        <w:jc w:val="both"/>
      </w:pPr>
      <w:r>
        <w:t>(3) Žiadateľ, ktorý preukázal splnenie podmienok podľa osobitného predpisu</w:t>
      </w:r>
      <w:r w:rsidRPr="003A3CC5">
        <w:rPr>
          <w:vertAlign w:val="superscript"/>
        </w:rPr>
        <w:t>xx</w:t>
      </w:r>
      <w:r>
        <w:t xml:space="preserve">) čiastočne alebo inak ako predložením osvedčenia o akreditácii, sa považuje za notifikovanú osobu, ak Európska komisia alebo ostatné členské štáty nevznesú námietky do dvoch mesiacov od oznámenia podľa odseku </w:t>
      </w:r>
      <w:smartTag w:uri="urn:schemas-microsoft-com:office:smarttags" w:element="metricconverter">
        <w:smartTagPr>
          <w:attr w:name="ProductID" w:val="1 a"/>
        </w:smartTagPr>
        <w:r>
          <w:t>1 a</w:t>
        </w:r>
      </w:smartTag>
      <w:r>
        <w:t xml:space="preserve"> Európska komisia ju uvedie v zozname notifikovaných osôb; úrad zašle Európskej komisii a ostatným členským štátom písomnosti preukazujúce splnenie podmienok podľa osobitného predpisu.</w:t>
      </w:r>
      <w:r w:rsidRPr="003A3CC5">
        <w:rPr>
          <w:vertAlign w:val="superscript"/>
        </w:rPr>
        <w:t>xx</w:t>
      </w:r>
      <w:r>
        <w:t xml:space="preserve">) </w:t>
      </w:r>
    </w:p>
    <w:p w:rsidR="001D2FF3" w:rsidP="00D82F95">
      <w:pPr>
        <w:ind w:firstLine="709"/>
        <w:jc w:val="both"/>
      </w:pPr>
    </w:p>
    <w:p w:rsidR="001D2FF3" w:rsidP="00D82F95">
      <w:pPr>
        <w:ind w:firstLine="709"/>
        <w:jc w:val="both"/>
      </w:pPr>
      <w:r>
        <w:t xml:space="preserve">(4) Úrad oznamuje Európskej komisii a členským štátom </w:t>
      </w:r>
    </w:p>
    <w:p w:rsidR="001D2FF3" w:rsidP="00D82F95">
      <w:pPr>
        <w:jc w:val="both"/>
      </w:pPr>
      <w:r>
        <w:t xml:space="preserve">a) zmeny súvisiace s notifikáciou, </w:t>
      </w:r>
    </w:p>
    <w:p w:rsidR="001D2FF3" w:rsidP="00D82F95">
      <w:pPr>
        <w:jc w:val="both"/>
      </w:pPr>
      <w:r>
        <w:t xml:space="preserve">b) rozhodnutie o zákaze činnosti notifikovanej osobe podľa § 21 ods. 12 a rozhodnutie, ktorým sa toto rozhodnutie zrušuje a </w:t>
      </w:r>
    </w:p>
    <w:p w:rsidR="001D2FF3" w:rsidP="00D82F95">
      <w:pPr>
        <w:jc w:val="both"/>
      </w:pPr>
      <w:r>
        <w:t>c) rozhodnutie o obmedzení notifikácie a rozhodnutie o späť vzatí notifikácie podľa § 21 ods. 14.</w:t>
      </w:r>
    </w:p>
    <w:p w:rsidR="001D2FF3" w:rsidP="00D82F95">
      <w:pPr>
        <w:ind w:firstLine="709"/>
        <w:jc w:val="both"/>
      </w:pPr>
      <w:r>
        <w:t>(5) Úrad oznamuje Európskej komisii postup preverovania splnenia požiadaviek podľa osobitného predpisu,</w:t>
      </w:r>
      <w:r w:rsidRPr="003A3CC5">
        <w:rPr>
          <w:vertAlign w:val="superscript"/>
        </w:rPr>
        <w:t>20</w:t>
      </w:r>
      <w:r>
        <w:t>) postup notifikácie, spôsob kontroly notifikovanej osoby a ich zmeny.</w:t>
      </w:r>
    </w:p>
    <w:p w:rsidR="001D2FF3" w:rsidP="00D82F95">
      <w:pPr>
        <w:ind w:firstLine="709"/>
        <w:jc w:val="both"/>
      </w:pPr>
    </w:p>
    <w:p w:rsidR="001D2FF3" w:rsidP="00D82F95">
      <w:pPr>
        <w:jc w:val="both"/>
      </w:pPr>
      <w:r>
        <w:tab/>
        <w:t>(6) Úrad použije na oznámenie údajov podľa odsekov 1 až 5  elektronický nástroj notifikácie vyvinutý a riadený Európskou komisiou.</w:t>
      </w:r>
    </w:p>
    <w:p w:rsidR="001D2FF3" w:rsidP="00D82F95">
      <w:pPr>
        <w:jc w:val="both"/>
      </w:pPr>
    </w:p>
    <w:p w:rsidR="001D2FF3" w:rsidP="00D82F95">
      <w:pPr>
        <w:ind w:firstLine="709"/>
        <w:jc w:val="both"/>
      </w:pPr>
      <w:r>
        <w:t xml:space="preserve">(7) Ak úrad vydá rozhodnutie podľa § 21 ods. 12 alebo rozhodnutie podľa § 21 ods. 14, alebo ak notifikovaná osoba svoju činnosť už nevykonáva, úrad zabezpečí, aby </w:t>
      </w:r>
    </w:p>
    <w:p w:rsidR="001D2FF3" w:rsidP="00D82F95">
      <w:pPr>
        <w:jc w:val="both"/>
      </w:pPr>
      <w:r>
        <w:t xml:space="preserve">a) iná notifikovaná osoba spracovala dokumentáciu týkajúcu sa posudzovania zhody tejto notifikovanej osoby alebo </w:t>
      </w:r>
    </w:p>
    <w:p w:rsidR="001D2FF3" w:rsidP="00D82F95">
      <w:pPr>
        <w:jc w:val="both"/>
      </w:pPr>
      <w:r>
        <w:t>b) dokumentácia týkajúca sa posudzovania zhody bola k dispozícii úradu alebo na základe žiadosti orgánu dohľadu nad trhom tomuto orgánu.“.</w:t>
      </w:r>
    </w:p>
    <w:p w:rsidR="001D2FF3" w:rsidP="00D82F95">
      <w:pPr>
        <w:jc w:val="both"/>
      </w:pPr>
    </w:p>
    <w:p w:rsidR="001D2FF3" w:rsidP="00D82F95">
      <w:pPr>
        <w:jc w:val="both"/>
      </w:pPr>
      <w:r>
        <w:t>Poznámka pod čiarou k odkazu  xx) znie:</w:t>
      </w:r>
    </w:p>
    <w:p w:rsidR="001D2FF3" w:rsidP="00D82F95">
      <w:pPr>
        <w:jc w:val="both"/>
      </w:pPr>
      <w:r>
        <w:t>„xx) čl. R17 prílohy I rozhodnutia č. 768/2008/ES.</w:t>
      </w:r>
      <w:r w:rsidR="00F71553">
        <w:t>“</w:t>
      </w:r>
    </w:p>
    <w:p w:rsidR="001D2FF3" w:rsidP="00D82F95">
      <w:pPr>
        <w:jc w:val="both"/>
      </w:pPr>
      <w:r>
        <w:t>Poznámka: Odkaz xxx) je v návrhu zákona  uvedený ako 19).</w:t>
      </w:r>
    </w:p>
    <w:p w:rsidR="001D2FF3" w:rsidP="00D82F95">
      <w:pPr>
        <w:jc w:val="both"/>
      </w:pPr>
    </w:p>
    <w:p w:rsidR="001D2FF3" w:rsidP="00D82F95">
      <w:pPr>
        <w:jc w:val="both"/>
      </w:pPr>
      <w:r>
        <w:t>V tejto súvislosti sa vykoná prečíslovanie odkazov a poznámok pod čiarou.</w:t>
      </w:r>
    </w:p>
    <w:p w:rsidR="001D2FF3" w:rsidP="00D82F95">
      <w:pPr>
        <w:jc w:val="both"/>
      </w:pPr>
    </w:p>
    <w:p w:rsidR="001D2FF3" w:rsidP="00D82F95">
      <w:pPr>
        <w:ind w:left="4320"/>
        <w:jc w:val="both"/>
      </w:pPr>
      <w:r>
        <w:t>Ide o zosúladenie procesu notifikácie s požiadavkami smernice. Zároveň sa odstraňuje inštitút autorizácie, ktorý je pre nový typ smerníc, akým je aj smernica o bezpečnosti hračiek, zastaralým a zbytočným inštitútom.</w:t>
      </w:r>
    </w:p>
    <w:p w:rsidR="00F71553" w:rsidP="00D82F95">
      <w:pPr>
        <w:ind w:left="4320"/>
        <w:jc w:val="both"/>
      </w:pPr>
    </w:p>
    <w:p w:rsidR="001D2FF3" w:rsidP="00D82F95">
      <w:pPr>
        <w:numPr>
          <w:ilvl w:val="0"/>
          <w:numId w:val="31"/>
        </w:numPr>
        <w:spacing w:after="200" w:line="276" w:lineRule="auto"/>
        <w:jc w:val="both"/>
      </w:pPr>
      <w:r>
        <w:t>Slová „podľa § 18 ods. 2“ sa v celom texte zákona nahrádzajú slovami „podľa osobitného predpisu</w:t>
      </w:r>
      <w:r w:rsidRPr="003A3CC5">
        <w:rPr>
          <w:vertAlign w:val="superscript"/>
        </w:rPr>
        <w:t>xx</w:t>
      </w:r>
      <w:r>
        <w:t>)“.</w:t>
      </w:r>
    </w:p>
    <w:p w:rsidR="001D2FF3" w:rsidP="00D82F95">
      <w:pPr>
        <w:ind w:left="4320"/>
        <w:jc w:val="both"/>
      </w:pPr>
      <w:r>
        <w:t>Ide o legislatívno-technickú úpravu, aby sa odstránila duplicitná úprava s rozhodnutím 768/2008.</w:t>
      </w:r>
    </w:p>
    <w:p w:rsidR="001D2FF3" w:rsidP="00D82F95">
      <w:pPr>
        <w:jc w:val="both"/>
      </w:pPr>
    </w:p>
    <w:p w:rsidR="001D2FF3" w:rsidP="00D82F95">
      <w:pPr>
        <w:numPr>
          <w:ilvl w:val="0"/>
          <w:numId w:val="31"/>
        </w:numPr>
        <w:spacing w:after="200" w:line="276" w:lineRule="auto"/>
        <w:jc w:val="both"/>
      </w:pPr>
      <w:r>
        <w:t xml:space="preserve"> V § 20 ods. 7 sa za písmeno e) vkladá písmeno f), ktoré znie:</w:t>
      </w:r>
    </w:p>
    <w:p w:rsidR="001D2FF3" w:rsidP="00D82F95">
      <w:pPr>
        <w:jc w:val="both"/>
      </w:pPr>
      <w:r>
        <w:t>„f) o všetkých zmenách, ktoré ovplyvňujú splnenie požiadaviek podľa osobitného predpisu</w:t>
      </w:r>
      <w:r w:rsidRPr="003A3CC5">
        <w:rPr>
          <w:vertAlign w:val="superscript"/>
        </w:rPr>
        <w:t>xx</w:t>
      </w:r>
      <w:r>
        <w:t>) notifikovanou osobou.“.</w:t>
      </w:r>
    </w:p>
    <w:p w:rsidR="001D2FF3" w:rsidP="00D82F95">
      <w:pPr>
        <w:ind w:left="4320"/>
        <w:jc w:val="both"/>
      </w:pPr>
    </w:p>
    <w:p w:rsidR="001D2FF3" w:rsidP="00D82F95">
      <w:pPr>
        <w:ind w:left="4320"/>
        <w:jc w:val="both"/>
      </w:pPr>
      <w:r>
        <w:t>Ide o zosúladenie s ustanovením smernice a rozhodnutia 768/2008.</w:t>
      </w:r>
    </w:p>
    <w:p w:rsidR="001D2FF3" w:rsidP="00D82F95">
      <w:pPr>
        <w:jc w:val="both"/>
      </w:pPr>
    </w:p>
    <w:p w:rsidR="001D2FF3" w:rsidP="00D82F95">
      <w:pPr>
        <w:numPr>
          <w:ilvl w:val="0"/>
          <w:numId w:val="31"/>
        </w:numPr>
        <w:spacing w:after="200" w:line="276" w:lineRule="auto"/>
        <w:jc w:val="both"/>
      </w:pPr>
      <w:r>
        <w:t>§ 20 odsek 8 znie:</w:t>
      </w:r>
    </w:p>
    <w:p w:rsidR="001D2FF3" w:rsidP="00D82F95">
      <w:pPr>
        <w:jc w:val="both"/>
      </w:pPr>
      <w:r>
        <w:t>„(8) Notifikovaná osoba môže so súhlasom žiadateľa o vykonanie posúdenia zhody zabezpečiť výkon niektorých činností spojených s posudzovaním zhody prostredníctvom svojej organizačnej zložky alebo uzavrieť s treťou osobou zmluvu o výkone činností spojených s posudzovaním zhody (ďalej len „subdodávateľ“); notifikovaná osoba pritom zodpovedá za to, že subdodávateľ spĺňa požiadavky podľa osobitného predpisu.</w:t>
      </w:r>
      <w:r w:rsidRPr="003A3CC5">
        <w:rPr>
          <w:vertAlign w:val="superscript"/>
        </w:rPr>
        <w:t>xx</w:t>
      </w:r>
      <w:r>
        <w:t>)“.</w:t>
      </w:r>
    </w:p>
    <w:p w:rsidR="001D2FF3" w:rsidP="00D82F95">
      <w:pPr>
        <w:jc w:val="both"/>
      </w:pPr>
    </w:p>
    <w:p w:rsidR="001D2FF3" w:rsidP="00D82F95">
      <w:pPr>
        <w:ind w:left="4320"/>
        <w:jc w:val="both"/>
      </w:pPr>
      <w:r>
        <w:t>Ide o zosúladenie textu s textom smernice a o presun legislatívnej skratky z § 18 ods. 2, ktorý sa navrhuje v bode 29 upraviť nanovo.</w:t>
      </w:r>
    </w:p>
    <w:p w:rsidR="001D2FF3" w:rsidP="00D82F95">
      <w:pPr>
        <w:ind w:left="4320"/>
        <w:jc w:val="both"/>
      </w:pPr>
    </w:p>
    <w:p w:rsidR="001D2FF3" w:rsidP="00D82F95">
      <w:pPr>
        <w:numPr>
          <w:ilvl w:val="0"/>
          <w:numId w:val="31"/>
        </w:numPr>
        <w:spacing w:after="200" w:line="276" w:lineRule="auto"/>
        <w:jc w:val="both"/>
      </w:pPr>
      <w:r>
        <w:t>V § 20 ods. 10 sa vypúšťajú slová „a uplatňovať rozhodnutia a dokumenty, ktoré sú výsledkom činnosti tejto koordinačnej skupiny“.</w:t>
      </w:r>
    </w:p>
    <w:p w:rsidR="001D2FF3" w:rsidP="00D82F95">
      <w:pPr>
        <w:ind w:left="360"/>
        <w:jc w:val="both"/>
      </w:pPr>
    </w:p>
    <w:p w:rsidR="001D2FF3" w:rsidP="00D82F95">
      <w:pPr>
        <w:ind w:left="4320"/>
        <w:jc w:val="both"/>
      </w:pPr>
      <w:r>
        <w:t>Ide o zosúladenie textu s textom smernice.</w:t>
      </w:r>
    </w:p>
    <w:p w:rsidR="001D2FF3" w:rsidP="00D82F95">
      <w:pPr>
        <w:ind w:left="4320"/>
        <w:jc w:val="both"/>
      </w:pPr>
    </w:p>
    <w:p w:rsidR="001D2FF3" w:rsidP="00D82F95">
      <w:pPr>
        <w:numPr>
          <w:ilvl w:val="0"/>
          <w:numId w:val="31"/>
        </w:numPr>
        <w:spacing w:after="200" w:line="276" w:lineRule="auto"/>
        <w:jc w:val="both"/>
      </w:pPr>
      <w:r>
        <w:t xml:space="preserve">V § 20 ods. 11 písm. d) sa slová „podľa § 18 ods. 8“ nahrádzajú slovami „podľa § 21 ods. 1.“. </w:t>
      </w:r>
    </w:p>
    <w:p w:rsidR="001D2FF3" w:rsidP="00D82F95">
      <w:pPr>
        <w:ind w:left="4320"/>
        <w:jc w:val="both"/>
      </w:pPr>
      <w:r>
        <w:t>Ide o legislatívno-technickú úpravu v súvislosti so zmenou navrhovanou v bode 29.</w:t>
      </w:r>
    </w:p>
    <w:p w:rsidR="001D2FF3" w:rsidP="00D82F95">
      <w:pPr>
        <w:ind w:left="360"/>
        <w:jc w:val="both"/>
      </w:pPr>
    </w:p>
    <w:p w:rsidR="001D2FF3" w:rsidP="00D82F95">
      <w:pPr>
        <w:numPr>
          <w:ilvl w:val="0"/>
          <w:numId w:val="31"/>
        </w:numPr>
        <w:spacing w:after="200" w:line="276" w:lineRule="auto"/>
        <w:jc w:val="both"/>
      </w:pPr>
      <w:r>
        <w:t>V § 21 ods. 2 písm. f) sa odkaz 21) nahrádza odkazom 16). Poznámka pod čiarou k odkazu 21) sa vypúšťa.</w:t>
      </w:r>
    </w:p>
    <w:p w:rsidR="001D2FF3" w:rsidP="00D82F95">
      <w:pPr>
        <w:jc w:val="both"/>
      </w:pPr>
      <w:r>
        <w:t>V tejto súvislosti sa vykoná prečíslovanie odkazov a poznámok pod čiarou.</w:t>
      </w:r>
    </w:p>
    <w:p w:rsidR="001D2FF3" w:rsidP="00D82F95">
      <w:pPr>
        <w:ind w:left="720"/>
        <w:jc w:val="both"/>
      </w:pPr>
    </w:p>
    <w:p w:rsidR="001D2FF3" w:rsidP="00D82F95">
      <w:pPr>
        <w:ind w:left="4320"/>
        <w:jc w:val="both"/>
      </w:pPr>
      <w:r>
        <w:t>Ide o legislatívno-technickú úpravu.</w:t>
      </w:r>
    </w:p>
    <w:p w:rsidR="001D2FF3" w:rsidP="00D82F95">
      <w:pPr>
        <w:ind w:left="720"/>
        <w:jc w:val="both"/>
      </w:pPr>
    </w:p>
    <w:p w:rsidR="001D2FF3" w:rsidP="00D82F95">
      <w:pPr>
        <w:numPr>
          <w:ilvl w:val="0"/>
          <w:numId w:val="31"/>
        </w:numPr>
        <w:spacing w:after="200" w:line="276" w:lineRule="auto"/>
        <w:jc w:val="both"/>
      </w:pPr>
      <w:r>
        <w:t>§ 21 sa dopĺňa odsekmi 11 až 14, ktoré znejú:</w:t>
      </w:r>
    </w:p>
    <w:p w:rsidR="001D2FF3" w:rsidP="00D82F95">
      <w:pPr>
        <w:jc w:val="both"/>
      </w:pPr>
      <w:r>
        <w:t>„(11) Dohľad nad dodržiavaním povinností notifikovaných osôb vykonáva úrad.</w:t>
      </w:r>
    </w:p>
    <w:p w:rsidR="001D2FF3" w:rsidP="00D82F95">
      <w:pPr>
        <w:jc w:val="both"/>
      </w:pPr>
    </w:p>
    <w:p w:rsidR="001D2FF3" w:rsidP="00D82F95">
      <w:pPr>
        <w:jc w:val="both"/>
      </w:pPr>
      <w:r>
        <w:t xml:space="preserve"> (12) Úrad rozhodne o zákaze činnosti notifikovanej osobe najviac na 90 dní, ak notifikovaná osoba dočasne nespĺňa požiadavky ustanovené osobitným predpisom.</w:t>
      </w:r>
      <w:r w:rsidRPr="003A3CC5">
        <w:rPr>
          <w:vertAlign w:val="superscript"/>
        </w:rPr>
        <w:t>xx</w:t>
      </w:r>
      <w:r>
        <w:t>)</w:t>
      </w:r>
    </w:p>
    <w:p w:rsidR="001D2FF3" w:rsidP="00D82F95">
      <w:pPr>
        <w:jc w:val="both"/>
      </w:pPr>
    </w:p>
    <w:p w:rsidR="001D2FF3" w:rsidP="00D82F95">
      <w:pPr>
        <w:jc w:val="both"/>
      </w:pPr>
      <w:r>
        <w:t>(13) Úrad zruší rozhodnutie o zákaze činnosti notifikovanej osobe podľa odseku 12 bez zbytočného odkladu po tom, ako odpadol dôvod na vydanie takéhoto rozhodnutia.</w:t>
      </w:r>
    </w:p>
    <w:p w:rsidR="001D2FF3" w:rsidP="00D82F95">
      <w:pPr>
        <w:jc w:val="both"/>
      </w:pPr>
    </w:p>
    <w:p w:rsidR="001D2FF3" w:rsidP="00D82F95">
      <w:pPr>
        <w:jc w:val="both"/>
      </w:pPr>
      <w:r>
        <w:t>(14) Úrad rozhodne o obmedzení notifikácie alebo rozhodne o späť vzatí notifikácie, ak žiadateľ alebo notifikovaná osoba</w:t>
      </w:r>
    </w:p>
    <w:p w:rsidR="001D2FF3" w:rsidP="00D82F95">
      <w:pPr>
        <w:jc w:val="both"/>
      </w:pPr>
      <w:r>
        <w:t xml:space="preserve">a) prestala spĺňať požiadavky ustanovené osobitným predpisom </w:t>
      </w:r>
      <w:r w:rsidRPr="003A3CC5">
        <w:rPr>
          <w:vertAlign w:val="superscript"/>
        </w:rPr>
        <w:t>xx</w:t>
      </w:r>
      <w:r>
        <w:t>),</w:t>
      </w:r>
    </w:p>
    <w:p w:rsidR="001D2FF3" w:rsidP="00D82F95">
      <w:pPr>
        <w:jc w:val="both"/>
      </w:pPr>
      <w:r>
        <w:t>b) porušila opakovane pri svojej činnosti ustanovenia tohto zákona,</w:t>
      </w:r>
    </w:p>
    <w:p w:rsidR="001D2FF3" w:rsidP="00D82F95">
      <w:pPr>
        <w:jc w:val="both"/>
      </w:pPr>
      <w:r>
        <w:t>c) neodstránila v určenej lehote nedostatky vo svojej činnosti zistené pri kontrole,</w:t>
      </w:r>
    </w:p>
    <w:p w:rsidR="001D2FF3" w:rsidP="00D82F95">
      <w:pPr>
        <w:jc w:val="both"/>
      </w:pPr>
      <w:r>
        <w:t>d) požiadala o obmedzenie notifikácie alebo o späť vzatie notifikácie najmenej 30 dní pred</w:t>
      </w:r>
    </w:p>
    <w:p w:rsidR="001D2FF3" w:rsidP="00D82F95">
      <w:pPr>
        <w:jc w:val="both"/>
      </w:pPr>
      <w:r>
        <w:t>navrhovaným dátumom obmedzenia notifikácie alebo späť vzatia notifikácie,</w:t>
      </w:r>
    </w:p>
    <w:p w:rsidR="001D2FF3" w:rsidP="00D82F95">
      <w:pPr>
        <w:jc w:val="both"/>
      </w:pPr>
      <w:r>
        <w:t>e) konala nad rozsah činností uvedených v notifikácii,</w:t>
      </w:r>
    </w:p>
    <w:p w:rsidR="001D2FF3" w:rsidP="00D82F95">
      <w:pPr>
        <w:jc w:val="both"/>
      </w:pPr>
      <w:r>
        <w:t>f) porušila povinnosti podľa § 20.“.</w:t>
      </w:r>
    </w:p>
    <w:p w:rsidR="001D2FF3" w:rsidP="00D82F95">
      <w:pPr>
        <w:ind w:left="4320"/>
        <w:jc w:val="both"/>
      </w:pPr>
      <w:r>
        <w:t>Ide o presun kompetencií úradu z pôvodného § 18 do § 21, ktorý pojednáva o dohľade. Zároveň sa reflektuje skutočnosť, že úrad nebude vydávať autorizáciu.</w:t>
      </w:r>
    </w:p>
    <w:p w:rsidR="001D2FF3" w:rsidP="00D82F95">
      <w:pPr>
        <w:ind w:left="4320"/>
        <w:jc w:val="both"/>
      </w:pPr>
    </w:p>
    <w:p w:rsidR="001D2FF3" w:rsidP="00D82F95">
      <w:pPr>
        <w:numPr>
          <w:ilvl w:val="0"/>
          <w:numId w:val="31"/>
        </w:numPr>
        <w:spacing w:after="200"/>
        <w:jc w:val="both"/>
      </w:pPr>
      <w:r>
        <w:t>V § 22 ods. 2 písm. e) sa odkaz 26) nahrádza odkazom 22) a poznámka pod čiarou k odkazu 26) sa vypúšťa.</w:t>
      </w:r>
    </w:p>
    <w:p w:rsidR="001D2FF3" w:rsidP="00D82F95">
      <w:pPr>
        <w:jc w:val="both"/>
      </w:pPr>
      <w:r>
        <w:t>V tejto súvislosti sa vykoná prečíslovanie odkazov a poznámok pod čiarou.</w:t>
      </w:r>
    </w:p>
    <w:p w:rsidR="001D2FF3" w:rsidP="00D82F95">
      <w:pPr>
        <w:ind w:left="360"/>
        <w:jc w:val="both"/>
      </w:pPr>
    </w:p>
    <w:p w:rsidR="001D2FF3" w:rsidP="00D82F95">
      <w:pPr>
        <w:ind w:left="4320"/>
        <w:jc w:val="both"/>
      </w:pPr>
      <w:r>
        <w:t>Ide o legislatívno-technickú úpravu.</w:t>
      </w:r>
    </w:p>
    <w:p w:rsidR="001D2FF3" w:rsidP="00D82F95">
      <w:pPr>
        <w:ind w:left="4320"/>
        <w:jc w:val="both"/>
      </w:pPr>
    </w:p>
    <w:p w:rsidR="001D2FF3" w:rsidP="00D82F95">
      <w:pPr>
        <w:numPr>
          <w:ilvl w:val="0"/>
          <w:numId w:val="31"/>
        </w:numPr>
        <w:spacing w:after="200"/>
        <w:jc w:val="both"/>
      </w:pPr>
      <w:r>
        <w:t>V § 23 ods. 1 písm</w:t>
      </w:r>
      <w:r w:rsidR="00316C37">
        <w:t>eno</w:t>
      </w:r>
      <w:r>
        <w:t xml:space="preserve"> b) znie:</w:t>
      </w:r>
    </w:p>
    <w:p w:rsidR="001D2FF3" w:rsidP="00D82F95">
      <w:pPr>
        <w:jc w:val="both"/>
      </w:pPr>
      <w:r>
        <w:t>„b) od 500 do 30 000 eur, ak poruší povinnosť podľa § 4 ods. 1 písm. b) až f), i) a j), písm. l) až n) a p), § 5 ods. 2, § 6 ods. 1 písm. a), c) a d), § 6 ods. 2 písm. a) až d), písm. g) a písm. i) a j), § 7 ods. 1 písm. a) až c), § 7 ods. 2 písm. a),c) až f), § 8, § 10 alebo § 16 ods. 11,“.</w:t>
      </w:r>
    </w:p>
    <w:p w:rsidR="001D2FF3" w:rsidP="00D82F95">
      <w:pPr>
        <w:jc w:val="both"/>
      </w:pPr>
    </w:p>
    <w:p w:rsidR="001D2FF3" w:rsidP="00D82F95">
      <w:pPr>
        <w:ind w:left="4320"/>
        <w:jc w:val="both"/>
      </w:pPr>
      <w:r>
        <w:t>Ide o legislatívno-technickú úpravu.</w:t>
      </w:r>
    </w:p>
    <w:p w:rsidR="001D2FF3" w:rsidP="00D82F95">
      <w:pPr>
        <w:jc w:val="both"/>
      </w:pPr>
    </w:p>
    <w:p w:rsidR="001D2FF3" w:rsidP="00D82F95">
      <w:pPr>
        <w:numPr>
          <w:ilvl w:val="0"/>
          <w:numId w:val="31"/>
        </w:numPr>
        <w:spacing w:after="200"/>
        <w:jc w:val="both"/>
      </w:pPr>
      <w:r>
        <w:t>V § 23 ods. 1 písm. c) sa slová „§ 16 ods. 2 a 3“ nahrádzajú slovami „§ 12“.</w:t>
      </w:r>
    </w:p>
    <w:p w:rsidR="001D2FF3" w:rsidP="00D82F95">
      <w:pPr>
        <w:ind w:left="4320"/>
        <w:jc w:val="both"/>
      </w:pPr>
      <w:r>
        <w:t>Ide o legislatívno-technickú úpravu.</w:t>
      </w:r>
    </w:p>
    <w:p w:rsidR="001D2FF3" w:rsidP="00D82F95">
      <w:pPr>
        <w:ind w:left="4320"/>
        <w:jc w:val="both"/>
      </w:pPr>
    </w:p>
    <w:p w:rsidR="001D2FF3" w:rsidP="00D82F95">
      <w:pPr>
        <w:numPr>
          <w:ilvl w:val="0"/>
          <w:numId w:val="31"/>
        </w:numPr>
        <w:spacing w:after="200"/>
        <w:jc w:val="both"/>
      </w:pPr>
      <w:r>
        <w:t>V § 23 ods. 2 sa v úvodnej vete slová „právnickej osobe alebo fyzickej osobe podnikateľovi“ nahrádzajú slovom „osobe“.</w:t>
      </w:r>
    </w:p>
    <w:p w:rsidR="001D2FF3" w:rsidP="00D82F95">
      <w:pPr>
        <w:ind w:left="4320"/>
        <w:jc w:val="both"/>
      </w:pPr>
      <w:r>
        <w:t>Ide o legislatívno-technickú úpravu.</w:t>
      </w:r>
    </w:p>
    <w:p w:rsidR="001D2FF3" w:rsidP="00D82F95">
      <w:pPr>
        <w:ind w:left="360"/>
        <w:jc w:val="both"/>
      </w:pPr>
    </w:p>
    <w:p w:rsidR="001D2FF3" w:rsidP="00D82F95">
      <w:pPr>
        <w:numPr>
          <w:ilvl w:val="0"/>
          <w:numId w:val="31"/>
        </w:numPr>
        <w:spacing w:after="200"/>
        <w:jc w:val="both"/>
      </w:pPr>
      <w:r>
        <w:t>V § 23 ods. 2 pí</w:t>
      </w:r>
      <w:r w:rsidR="00316C37">
        <w:t>s</w:t>
      </w:r>
      <w:r>
        <w:t xml:space="preserve">m. a) sa slová „rozhodnutia o autorizácii a notifikácie“ nahrádzajú slovami „činností uvedených v notifikácii“. </w:t>
      </w:r>
    </w:p>
    <w:p w:rsidR="001D2FF3" w:rsidP="00D82F95">
      <w:pPr>
        <w:ind w:left="4320"/>
        <w:jc w:val="both"/>
      </w:pPr>
      <w:r>
        <w:t>Ide o legislatívno-technickú úpravu v súvislosti s vypustením inštitútu autorizácie.</w:t>
      </w:r>
    </w:p>
    <w:p w:rsidR="001D2FF3" w:rsidP="00D82F95">
      <w:pPr>
        <w:ind w:left="360"/>
        <w:jc w:val="both"/>
      </w:pPr>
    </w:p>
    <w:p w:rsidR="001D2FF3" w:rsidP="00D82F95">
      <w:pPr>
        <w:numPr>
          <w:ilvl w:val="0"/>
          <w:numId w:val="31"/>
        </w:numPr>
        <w:spacing w:after="200"/>
        <w:jc w:val="both"/>
      </w:pPr>
      <w:r>
        <w:t>V § 29 odsek</w:t>
      </w:r>
      <w:r w:rsidR="00316C37">
        <w:t>y</w:t>
      </w:r>
      <w:r>
        <w:t xml:space="preserve"> 1 a 2 znejú:</w:t>
      </w:r>
    </w:p>
    <w:p w:rsidR="001D2FF3" w:rsidRPr="00316C37" w:rsidP="00D82F95">
      <w:pPr>
        <w:ind w:left="360"/>
        <w:jc w:val="both"/>
      </w:pPr>
      <w:r>
        <w:t xml:space="preserve">„(1) Do 31. </w:t>
      </w:r>
      <w:r w:rsidRPr="00316C37">
        <w:t xml:space="preserve">mája 2015 </w:t>
      </w:r>
    </w:p>
    <w:p w:rsidR="001D2FF3" w:rsidRPr="003A3CC5" w:rsidP="00D82F95">
      <w:pPr>
        <w:numPr>
          <w:ilvl w:val="0"/>
          <w:numId w:val="34"/>
        </w:numPr>
        <w:jc w:val="both"/>
      </w:pPr>
      <w:r w:rsidRPr="00316C37">
        <w:t xml:space="preserve">na </w:t>
      </w:r>
      <w:r w:rsidRPr="003A3CC5">
        <w:t xml:space="preserve">účely </w:t>
      </w:r>
      <w:hyperlink r:id="rId5" w:history="1">
        <w:r w:rsidRPr="003A3CC5">
          <w:rPr>
            <w:rStyle w:val="Hyperlink"/>
            <w:bCs/>
            <w:color w:val="auto"/>
            <w:u w:val="none"/>
          </w:rPr>
          <w:t>prílohy č. 2 ods. 2 písm. b)</w:t>
        </w:r>
      </w:hyperlink>
      <w:r w:rsidRPr="003A3CC5">
        <w:t xml:space="preserve"> musí chemická látka spĺňať kritériá ktorejkoľvek z tried nebezpečnosti podľa osobitného predpisu</w:t>
      </w:r>
      <w:r w:rsidRPr="003A3CC5">
        <w:rPr>
          <w:rStyle w:val="FootnoteReference"/>
        </w:rPr>
        <w:t>29</w:t>
      </w:r>
      <w:r w:rsidRPr="003A3CC5">
        <w:t>) a nebezpečnosť chemickej zmesi sa určuje podľa osobitného predpisu</w:t>
      </w:r>
      <w:r w:rsidRPr="003A3CC5">
        <w:rPr>
          <w:rStyle w:val="FootnoteReference"/>
        </w:rPr>
        <w:t>30</w:t>
      </w:r>
      <w:r w:rsidRPr="003A3CC5">
        <w:t>) a </w:t>
      </w:r>
    </w:p>
    <w:p w:rsidR="001D2FF3" w:rsidRPr="003A3CC5" w:rsidP="00D82F95">
      <w:pPr>
        <w:numPr>
          <w:ilvl w:val="0"/>
          <w:numId w:val="34"/>
        </w:numPr>
        <w:jc w:val="both"/>
      </w:pPr>
      <w:r w:rsidRPr="003A3CC5">
        <w:t>na účely</w:t>
      </w:r>
      <w:r w:rsidRPr="003A3CC5">
        <w:rPr>
          <w:rStyle w:val="apple-converted-space"/>
        </w:rPr>
        <w:t> </w:t>
      </w:r>
      <w:hyperlink r:id="rId6" w:history="1">
        <w:r w:rsidRPr="003A3CC5">
          <w:rPr>
            <w:rStyle w:val="Hyperlink"/>
            <w:bCs/>
            <w:color w:val="auto"/>
            <w:u w:val="none"/>
          </w:rPr>
          <w:t>prílohy č. 2 ods. 3 písm. d) prvého bodu</w:t>
        </w:r>
      </w:hyperlink>
      <w:r w:rsidRPr="003A3CC5">
        <w:rPr>
          <w:rStyle w:val="apple-converted-space"/>
        </w:rPr>
        <w:t> </w:t>
      </w:r>
      <w:r w:rsidRPr="003A3CC5">
        <w:t>a</w:t>
      </w:r>
      <w:r w:rsidRPr="003A3CC5">
        <w:rPr>
          <w:rStyle w:val="apple-converted-space"/>
        </w:rPr>
        <w:t> </w:t>
      </w:r>
      <w:hyperlink r:id="rId7" w:history="1">
        <w:r w:rsidRPr="003A3CC5">
          <w:rPr>
            <w:rStyle w:val="Hyperlink"/>
            <w:bCs/>
            <w:color w:val="auto"/>
            <w:u w:val="none"/>
          </w:rPr>
          <w:t>písm. e) prvého bodu</w:t>
        </w:r>
      </w:hyperlink>
      <w:r w:rsidRPr="003A3CC5">
        <w:t xml:space="preserve"> sa určia príslušné koncentrácie pre klasifikáciu chemických zmesí obsahujúcich tieto látky podľa osobitného predpisu30). </w:t>
      </w:r>
    </w:p>
    <w:p w:rsidR="001D2FF3" w:rsidRPr="00316C37" w:rsidP="00D82F95">
      <w:pPr>
        <w:ind w:left="360"/>
        <w:jc w:val="both"/>
      </w:pPr>
    </w:p>
    <w:p w:rsidR="001D2FF3" w:rsidRPr="003A3CC5" w:rsidP="00D82F95">
      <w:pPr>
        <w:numPr>
          <w:ilvl w:val="0"/>
          <w:numId w:val="35"/>
        </w:numPr>
        <w:jc w:val="both"/>
      </w:pPr>
      <w:r w:rsidRPr="001D2FF3">
        <w:t xml:space="preserve">Od 1. </w:t>
      </w:r>
      <w:r w:rsidRPr="003A3CC5">
        <w:t xml:space="preserve">júna 2015 </w:t>
      </w:r>
    </w:p>
    <w:p w:rsidR="001D2FF3" w:rsidRPr="003A3CC5" w:rsidP="00D82F95">
      <w:pPr>
        <w:numPr>
          <w:ilvl w:val="0"/>
          <w:numId w:val="36"/>
        </w:numPr>
        <w:jc w:val="both"/>
      </w:pPr>
      <w:r w:rsidRPr="003A3CC5">
        <w:t xml:space="preserve">na účely </w:t>
      </w:r>
      <w:hyperlink r:id="rId5" w:history="1">
        <w:r w:rsidRPr="003A3CC5">
          <w:rPr>
            <w:rStyle w:val="Hyperlink"/>
            <w:bCs/>
            <w:color w:val="auto"/>
            <w:u w:val="none"/>
          </w:rPr>
          <w:t>prílohy č. 2 ods. 2 písm. b)</w:t>
        </w:r>
      </w:hyperlink>
      <w:r w:rsidRPr="003A3CC5">
        <w:t xml:space="preserve"> chemická látka alebo chemická zmes musí spĺňať kritériá ktorejkoľvek z tried nebezpečnosti podľa osobitného predpisu29) a</w:t>
      </w:r>
    </w:p>
    <w:p w:rsidR="001D2FF3" w:rsidRPr="003A3CC5" w:rsidP="00D82F95">
      <w:pPr>
        <w:numPr>
          <w:ilvl w:val="0"/>
          <w:numId w:val="36"/>
        </w:numPr>
        <w:spacing w:after="200" w:line="276" w:lineRule="auto"/>
        <w:jc w:val="both"/>
      </w:pPr>
      <w:r w:rsidRPr="003A3CC5">
        <w:t>na účely</w:t>
      </w:r>
      <w:r w:rsidRPr="003A3CC5">
        <w:rPr>
          <w:rStyle w:val="apple-converted-space"/>
        </w:rPr>
        <w:t> </w:t>
      </w:r>
      <w:hyperlink r:id="rId6" w:history="1">
        <w:r w:rsidRPr="003A3CC5">
          <w:rPr>
            <w:rStyle w:val="Hyperlink"/>
            <w:bCs/>
            <w:color w:val="auto"/>
            <w:u w:val="none"/>
          </w:rPr>
          <w:t>prílohy č. 2 ods. 3 písm. d) prvého bodu</w:t>
        </w:r>
      </w:hyperlink>
      <w:r w:rsidRPr="003A3CC5">
        <w:rPr>
          <w:rStyle w:val="apple-converted-space"/>
        </w:rPr>
        <w:t> </w:t>
      </w:r>
      <w:r w:rsidRPr="003A3CC5">
        <w:t>a</w:t>
      </w:r>
      <w:r w:rsidRPr="003A3CC5">
        <w:rPr>
          <w:rStyle w:val="apple-converted-space"/>
        </w:rPr>
        <w:t> </w:t>
      </w:r>
      <w:hyperlink r:id="rId7" w:history="1">
        <w:r w:rsidRPr="003A3CC5">
          <w:rPr>
            <w:rStyle w:val="Hyperlink"/>
            <w:bCs/>
            <w:color w:val="auto"/>
            <w:u w:val="none"/>
          </w:rPr>
          <w:t>písm. e) prvého bodu</w:t>
        </w:r>
      </w:hyperlink>
      <w:r w:rsidRPr="003A3CC5">
        <w:t xml:space="preserve"> sa určia príslušné koncentrácie pre klasifikáciu chemických zmesí obsahujúcich tieto látky podľa osobitného predpisu.</w:t>
      </w:r>
      <w:r w:rsidRPr="00AB007D">
        <w:rPr>
          <w:vertAlign w:val="superscript"/>
        </w:rPr>
        <w:t>29</w:t>
      </w:r>
      <w:r w:rsidRPr="003A3CC5">
        <w:t>)“.</w:t>
      </w:r>
    </w:p>
    <w:p w:rsidR="001D2FF3" w:rsidRPr="001D2FF3" w:rsidP="00D82F95">
      <w:pPr>
        <w:ind w:left="4320"/>
        <w:jc w:val="both"/>
      </w:pPr>
      <w:r w:rsidRPr="001D2FF3">
        <w:t>Ide o legislatívno-technickú úpravu smerujúcu k sprehľadneniu textu.</w:t>
      </w:r>
    </w:p>
    <w:p w:rsidR="001D2FF3" w:rsidRPr="001D2FF3" w:rsidP="00D82F95">
      <w:pPr>
        <w:ind w:left="360"/>
        <w:jc w:val="both"/>
      </w:pPr>
    </w:p>
    <w:p w:rsidR="001D2FF3" w:rsidRPr="001D2FF3" w:rsidP="00D82F95">
      <w:pPr>
        <w:numPr>
          <w:ilvl w:val="0"/>
          <w:numId w:val="31"/>
        </w:numPr>
        <w:spacing w:after="200" w:line="276" w:lineRule="auto"/>
        <w:jc w:val="both"/>
      </w:pPr>
      <w:r w:rsidRPr="001D2FF3">
        <w:t xml:space="preserve">V prílohe č. 2 ods. 2 písm. b) sa slová „prílohe č. 3 prvom bode“ nahrádzajú slovami „§ 29 ods. 1 a 2“. </w:t>
      </w:r>
    </w:p>
    <w:p w:rsidR="001D2FF3" w:rsidP="00D82F95">
      <w:pPr>
        <w:ind w:left="4320"/>
        <w:jc w:val="both"/>
      </w:pPr>
      <w:r w:rsidRPr="001D2FF3">
        <w:t>Ide o legislatívno-technickú úpravu súvisiaca s</w:t>
      </w:r>
      <w:r w:rsidR="000E7F77">
        <w:t xml:space="preserve"> novým znením prechodných ustanovení v § 29 ods. 1 a 2. </w:t>
      </w:r>
    </w:p>
    <w:p w:rsidR="000E7F77" w:rsidRPr="001D2FF3" w:rsidP="00D82F95">
      <w:pPr>
        <w:ind w:left="4320"/>
        <w:jc w:val="both"/>
      </w:pPr>
    </w:p>
    <w:p w:rsidR="001D2FF3" w:rsidRPr="001D2FF3" w:rsidP="00D82F95">
      <w:pPr>
        <w:numPr>
          <w:ilvl w:val="0"/>
          <w:numId w:val="31"/>
        </w:numPr>
        <w:spacing w:after="200" w:line="276" w:lineRule="auto"/>
        <w:jc w:val="both"/>
      </w:pPr>
      <w:r w:rsidRPr="001D2FF3">
        <w:t>V prílohe č. 2 ods. 3 písm. b) sa odkaz 31) nahrádza odkazom xy).</w:t>
      </w:r>
    </w:p>
    <w:p w:rsidR="001D2FF3" w:rsidRPr="001D2FF3" w:rsidP="00D82F95">
      <w:pPr>
        <w:ind w:left="720"/>
        <w:jc w:val="both"/>
      </w:pPr>
      <w:r w:rsidRPr="001D2FF3">
        <w:t>Nová poznámka pod čiarou k odkazu xy) znie:</w:t>
      </w:r>
    </w:p>
    <w:p w:rsidR="001D2FF3" w:rsidRPr="001D2FF3" w:rsidP="00D82F95">
      <w:pPr>
        <w:ind w:left="720"/>
        <w:jc w:val="both"/>
      </w:pPr>
      <w:r w:rsidRPr="001D2FF3">
        <w:t xml:space="preserve">„xy) Zákon č. 67/2010 Z. z. a Nariadenie č. 1272/2008 (ES). </w:t>
      </w:r>
    </w:p>
    <w:p w:rsidR="001D2FF3" w:rsidRPr="001D2FF3" w:rsidP="00D82F95">
      <w:pPr>
        <w:ind w:left="720"/>
        <w:jc w:val="both"/>
      </w:pPr>
      <w:r w:rsidRPr="001D2FF3">
        <w:t>V tejto súvislosti sa vykoná prečíslovanie odkazov a poznámok pod čiarou.</w:t>
      </w:r>
    </w:p>
    <w:p w:rsidR="001D2FF3" w:rsidRPr="001D2FF3" w:rsidP="00D82F95">
      <w:pPr>
        <w:ind w:left="720"/>
        <w:jc w:val="both"/>
      </w:pPr>
    </w:p>
    <w:p w:rsidR="001D2FF3" w:rsidRPr="001D2FF3" w:rsidP="00D82F95">
      <w:pPr>
        <w:ind w:left="4320"/>
        <w:jc w:val="both"/>
      </w:pPr>
      <w:r w:rsidRPr="001D2FF3">
        <w:t>Ide o legislatívno-technickú úpravu.</w:t>
      </w:r>
    </w:p>
    <w:p w:rsidR="001D2FF3" w:rsidRPr="001D2FF3" w:rsidP="00D82F95">
      <w:pPr>
        <w:ind w:left="4320"/>
        <w:jc w:val="both"/>
      </w:pPr>
    </w:p>
    <w:p w:rsidR="001D2FF3" w:rsidRPr="001D2FF3" w:rsidP="00D82F95">
      <w:pPr>
        <w:numPr>
          <w:ilvl w:val="0"/>
          <w:numId w:val="31"/>
        </w:numPr>
        <w:spacing w:after="200" w:line="276" w:lineRule="auto"/>
        <w:jc w:val="both"/>
      </w:pPr>
      <w:r w:rsidRPr="001D2FF3">
        <w:t xml:space="preserve">V prílohe č. 2 ods. 3 psím. d) </w:t>
      </w:r>
      <w:r w:rsidR="0028749F">
        <w:t xml:space="preserve">v </w:t>
      </w:r>
      <w:r w:rsidRPr="001D2FF3">
        <w:t>úvodnej vete sa slovo „treťom“ nahrádza slovom „prvom“ a v prvom bode sa slová „prílohe č. 3 dru</w:t>
      </w:r>
      <w:r w:rsidR="003A3CC5">
        <w:t>hom bode“ nahrádzajú slovami „§ </w:t>
      </w:r>
      <w:r w:rsidRPr="001D2FF3">
        <w:t xml:space="preserve">29 ods. 1 a 2“. </w:t>
      </w:r>
    </w:p>
    <w:p w:rsidR="001D2FF3" w:rsidP="00D82F95">
      <w:pPr>
        <w:ind w:left="4320"/>
        <w:jc w:val="both"/>
      </w:pPr>
      <w:r w:rsidRPr="001D2FF3">
        <w:t>Ide o legislatívno-technickú úpravu súvisiaca s</w:t>
      </w:r>
      <w:r w:rsidR="000E7F77">
        <w:t> novým znením prechodných ustanovení v § 29 ods. 1 a 2.</w:t>
      </w:r>
      <w:r w:rsidRPr="001D2FF3" w:rsidR="000E7F77">
        <w:t xml:space="preserve"> </w:t>
      </w:r>
    </w:p>
    <w:p w:rsidR="000E7F77" w:rsidRPr="001D2FF3" w:rsidP="00D82F95">
      <w:pPr>
        <w:ind w:left="4320"/>
        <w:jc w:val="both"/>
      </w:pPr>
    </w:p>
    <w:p w:rsidR="001D2FF3" w:rsidRPr="001D2FF3" w:rsidP="00D82F95">
      <w:pPr>
        <w:numPr>
          <w:ilvl w:val="0"/>
          <w:numId w:val="31"/>
        </w:numPr>
        <w:spacing w:after="200" w:line="276" w:lineRule="auto"/>
        <w:jc w:val="both"/>
      </w:pPr>
      <w:r w:rsidRPr="001D2FF3">
        <w:t xml:space="preserve">V prílohe č. 2 ods. 3 písm. e) </w:t>
      </w:r>
      <w:r w:rsidR="0028749F">
        <w:t xml:space="preserve">v </w:t>
      </w:r>
      <w:r w:rsidRPr="001D2FF3">
        <w:t xml:space="preserve">úvodnej vete sa slová „prílohe č. 3 štvrtom bode“ nahrádzajú slovami „§ 29 ods. 4 “ a v prvom bode sa nad slovo „predpise“ umiestňuje odkaz 31) a vypúšťajú sa slová „uvedenom v prílohe č. 3 druhom bode“.  </w:t>
      </w:r>
    </w:p>
    <w:p w:rsidR="001D2FF3" w:rsidP="00D82F95">
      <w:pPr>
        <w:ind w:left="4320"/>
        <w:jc w:val="both"/>
      </w:pPr>
      <w:r w:rsidRPr="001D2FF3">
        <w:t>Ide o legislatívno-technickú úpravu súvisiaca s</w:t>
      </w:r>
      <w:r w:rsidR="000E7F77">
        <w:t xml:space="preserve"> novým znením prechodných ustanovení v § 29 ods. 1 a 2. </w:t>
      </w:r>
    </w:p>
    <w:p w:rsidR="000E7F77" w:rsidP="00D82F95">
      <w:pPr>
        <w:ind w:left="4320"/>
        <w:jc w:val="both"/>
      </w:pPr>
    </w:p>
    <w:p w:rsidR="001D2FF3" w:rsidRPr="001D2FF3" w:rsidP="00D82F95">
      <w:pPr>
        <w:numPr>
          <w:ilvl w:val="0"/>
          <w:numId w:val="31"/>
        </w:numPr>
        <w:spacing w:after="200" w:line="276" w:lineRule="auto"/>
        <w:jc w:val="both"/>
      </w:pPr>
      <w:r w:rsidRPr="001D2FF3">
        <w:t>Príloha č. 3  znie:</w:t>
      </w:r>
    </w:p>
    <w:p w:rsidR="001D2FF3" w:rsidRPr="001D2FF3" w:rsidP="00D82F95">
      <w:pPr>
        <w:spacing w:after="200" w:line="276" w:lineRule="auto"/>
        <w:ind w:left="360"/>
        <w:jc w:val="both"/>
      </w:pPr>
    </w:p>
    <w:p w:rsidR="001D2FF3" w:rsidRPr="001D2FF3" w:rsidP="00D82F95">
      <w:pPr>
        <w:jc w:val="both"/>
        <w:outlineLvl w:val="0"/>
        <w:rPr>
          <w:b/>
          <w:bCs/>
        </w:rPr>
      </w:pPr>
      <w:r w:rsidRPr="001D2FF3">
        <w:t>„</w:t>
      </w:r>
      <w:r w:rsidRPr="001D2FF3">
        <w:rPr>
          <w:b/>
          <w:bCs/>
        </w:rPr>
        <w:t>Príloha č. 3 k zákonu č. .../2011 Z. z.</w:t>
      </w:r>
    </w:p>
    <w:p w:rsidR="001D2FF3" w:rsidRPr="001D2FF3" w:rsidP="00D82F95">
      <w:pPr>
        <w:jc w:val="both"/>
      </w:pPr>
    </w:p>
    <w:p w:rsidR="001D2FF3" w:rsidRPr="001D2FF3" w:rsidP="00D82F95">
      <w:pPr>
        <w:jc w:val="both"/>
        <w:outlineLvl w:val="0"/>
        <w:rPr>
          <w:b/>
          <w:bCs/>
        </w:rPr>
      </w:pPr>
      <w:r w:rsidRPr="001D2FF3">
        <w:rPr>
          <w:b/>
          <w:bCs/>
        </w:rPr>
        <w:t>KLASIFIKÁCIA LÁTOK A ZMESÍ</w:t>
      </w:r>
    </w:p>
    <w:p w:rsidR="001D2FF3" w:rsidRPr="001D2FF3" w:rsidP="00D82F95">
      <w:pPr>
        <w:jc w:val="both"/>
      </w:pPr>
    </w:p>
    <w:p w:rsidR="001D2FF3" w:rsidRPr="001D2FF3" w:rsidP="00D82F95">
      <w:pPr>
        <w:jc w:val="both"/>
      </w:pPr>
      <w:r w:rsidRPr="001D2FF3">
        <w:t>V dôsledku uplatňovania osobitného predpisu31) existujú rovnocenné spôsoby odkazovania na príslušnú klasifikáciu, ktoré sa používajú v rozličných časových obdobiach.</w:t>
      </w:r>
    </w:p>
    <w:p w:rsidR="001D2FF3" w:rsidRPr="001D2FF3" w:rsidP="00D82F95">
      <w:pPr>
        <w:jc w:val="both"/>
      </w:pPr>
    </w:p>
    <w:p w:rsidR="001D2FF3" w:rsidRPr="001D2FF3" w:rsidP="00D82F95">
      <w:pPr>
        <w:jc w:val="both"/>
        <w:outlineLvl w:val="0"/>
      </w:pPr>
      <w:r w:rsidRPr="001D2FF3">
        <w:t>1. Chemické látky podľa prílohy č. 2 ods. 3 písm. d)</w:t>
      </w:r>
    </w:p>
    <w:p w:rsidR="001D2FF3" w:rsidRPr="003A3CC5" w:rsidP="00D82F95">
      <w:pPr>
        <w:jc w:val="both"/>
      </w:pPr>
      <w:hyperlink r:id="rId8" w:history="1">
        <w:r w:rsidRPr="003A3CC5">
          <w:rPr>
            <w:rStyle w:val="Hyperlink"/>
            <w:bCs/>
            <w:color w:val="auto"/>
            <w:u w:val="none"/>
          </w:rPr>
          <w:t>Príloha č. 2 ods. 3 písm. d)</w:t>
        </w:r>
      </w:hyperlink>
      <w:r w:rsidRPr="003A3CC5">
        <w:rPr>
          <w:rStyle w:val="apple-converted-space"/>
        </w:rPr>
        <w:t> </w:t>
      </w:r>
      <w:r w:rsidRPr="003A3CC5">
        <w:t>sa vzťahuje na chemické látky klasifikované ako karcinogénne, mutagénne alebo toxické pre reprodukciu kategórie 1A a 1B podľa osobitného predpisu.31)</w:t>
      </w:r>
    </w:p>
    <w:p w:rsidR="001D2FF3" w:rsidRPr="003A3CC5" w:rsidP="00D82F95">
      <w:pPr>
        <w:jc w:val="both"/>
      </w:pPr>
    </w:p>
    <w:p w:rsidR="001D2FF3" w:rsidRPr="003A3CC5" w:rsidP="00D82F95">
      <w:pPr>
        <w:jc w:val="both"/>
        <w:outlineLvl w:val="0"/>
      </w:pPr>
      <w:r w:rsidRPr="003A3CC5">
        <w:t>2. Chemické látky podľa prílohy č. 2 ods. 3 písm. e)</w:t>
      </w:r>
    </w:p>
    <w:p w:rsidR="001D2FF3" w:rsidRPr="003A3CC5" w:rsidP="00D82F95">
      <w:pPr>
        <w:jc w:val="both"/>
      </w:pPr>
      <w:hyperlink r:id="rId9" w:history="1">
        <w:r w:rsidRPr="003A3CC5">
          <w:rPr>
            <w:rStyle w:val="Hyperlink"/>
            <w:bCs/>
            <w:color w:val="auto"/>
            <w:u w:val="none"/>
          </w:rPr>
          <w:t>Príloha č. 2 ods. 3 písm. e)</w:t>
        </w:r>
      </w:hyperlink>
      <w:r w:rsidRPr="003A3CC5">
        <w:rPr>
          <w:rStyle w:val="apple-converted-space"/>
        </w:rPr>
        <w:t> </w:t>
      </w:r>
      <w:r w:rsidRPr="003A3CC5">
        <w:t>sa vzťahuje na chemické látky klasifikované ako karcinogénne, mutagénne alebo toxické pre reprodukciu kategórie 2 podľa osobitného predpisu.31)“.</w:t>
      </w:r>
    </w:p>
    <w:p w:rsidR="003A3CC5" w:rsidRPr="003A3CC5" w:rsidP="00D82F95">
      <w:pPr>
        <w:jc w:val="both"/>
      </w:pPr>
    </w:p>
    <w:p w:rsidR="001D2FF3" w:rsidRPr="001D2FF3" w:rsidP="00D82F95">
      <w:pPr>
        <w:ind w:left="4320"/>
        <w:jc w:val="both"/>
      </w:pPr>
      <w:r w:rsidRPr="003A3CC5">
        <w:t>Ide o legislatívno-technickú úpravu smerujúcu</w:t>
      </w:r>
      <w:r w:rsidRPr="001D2FF3">
        <w:t xml:space="preserve"> k sprehľadneniu textu.</w:t>
      </w:r>
    </w:p>
    <w:p w:rsidR="001D2FF3" w:rsidRPr="001D2FF3" w:rsidP="00D82F95">
      <w:pPr>
        <w:ind w:left="4320"/>
        <w:jc w:val="both"/>
      </w:pPr>
    </w:p>
    <w:p w:rsidR="001D2FF3" w:rsidRPr="001D2FF3" w:rsidP="00D82F95">
      <w:pPr>
        <w:numPr>
          <w:ilvl w:val="0"/>
          <w:numId w:val="37"/>
        </w:numPr>
        <w:spacing w:after="200" w:line="276" w:lineRule="auto"/>
        <w:jc w:val="both"/>
      </w:pPr>
      <w:r w:rsidRPr="001D2FF3">
        <w:t xml:space="preserve">V prílohe č. 5 písmene c) sa odkaz 29) nahrádza odkazom 30) a odkaz 28) sa nahrádza odkazom 29), v písmene d) sa odkaz 28) nahrádza odkazom 29) a v písmene e) sa odkaz 30) nahrádza odkazom 31) a odkaz 28) sa nahrádza odkazom 29).  </w:t>
      </w:r>
    </w:p>
    <w:p w:rsidR="001D2FF3" w:rsidRPr="001D2FF3" w:rsidP="00D82F95">
      <w:pPr>
        <w:ind w:left="4320"/>
        <w:jc w:val="both"/>
      </w:pPr>
      <w:r w:rsidRPr="001D2FF3">
        <w:t xml:space="preserve"> Ide o legislatívno-technickú úpravu.</w:t>
      </w:r>
    </w:p>
    <w:p w:rsidR="001D2FF3" w:rsidRPr="001D2FF3" w:rsidP="00D82F95">
      <w:pPr>
        <w:ind w:left="360"/>
        <w:jc w:val="both"/>
      </w:pPr>
    </w:p>
    <w:p w:rsidR="001D2FF3" w:rsidRPr="001D2FF3" w:rsidP="00D82F95">
      <w:pPr>
        <w:ind w:left="720"/>
        <w:jc w:val="both"/>
      </w:pPr>
    </w:p>
    <w:p w:rsidR="001D2FF3" w:rsidRPr="001D2FF3" w:rsidP="00D82F95">
      <w:pPr>
        <w:jc w:val="both"/>
      </w:pPr>
    </w:p>
    <w:p w:rsidR="001D2FF3" w:rsidRPr="001D2FF3" w:rsidP="00D82F95">
      <w:pPr>
        <w:ind w:left="360"/>
        <w:jc w:val="both"/>
      </w:pPr>
      <w:r w:rsidRPr="001D2FF3">
        <w:t xml:space="preserve"> </w:t>
      </w:r>
    </w:p>
    <w:p w:rsidR="001D2FF3" w:rsidRPr="001D2FF3" w:rsidP="00D82F95">
      <w:pPr>
        <w:jc w:val="both"/>
      </w:pPr>
    </w:p>
    <w:p w:rsidR="001D2FF3" w:rsidRPr="001D2FF3" w:rsidP="00D82F95">
      <w:pPr>
        <w:jc w:val="both"/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264F"/>
    <w:multiLevelType w:val="hybridMultilevel"/>
    <w:tmpl w:val="FC027D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F41059"/>
    <w:multiLevelType w:val="hybridMultilevel"/>
    <w:tmpl w:val="23D29C5A"/>
    <w:lvl w:ilvl="0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797E80"/>
    <w:multiLevelType w:val="hybridMultilevel"/>
    <w:tmpl w:val="5EBA61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F18B0"/>
    <w:multiLevelType w:val="hybridMultilevel"/>
    <w:tmpl w:val="A712FFC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FA58CC"/>
    <w:multiLevelType w:val="hybridMultilevel"/>
    <w:tmpl w:val="338CF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C77C3D"/>
    <w:multiLevelType w:val="hybridMultilevel"/>
    <w:tmpl w:val="EE2239FE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EEE531C"/>
    <w:multiLevelType w:val="hybridMultilevel"/>
    <w:tmpl w:val="169CCB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9">
    <w:nsid w:val="22BC30B7"/>
    <w:multiLevelType w:val="hybridMultilevel"/>
    <w:tmpl w:val="263C2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BA24E6"/>
    <w:multiLevelType w:val="hybridMultilevel"/>
    <w:tmpl w:val="263C2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254AB4"/>
    <w:multiLevelType w:val="hybridMultilevel"/>
    <w:tmpl w:val="14C4F91C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49C71DC3"/>
    <w:multiLevelType w:val="hybridMultilevel"/>
    <w:tmpl w:val="0DD4E6AE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1A156E"/>
    <w:multiLevelType w:val="hybridMultilevel"/>
    <w:tmpl w:val="8CECD85C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DD5251"/>
    <w:multiLevelType w:val="hybridMultilevel"/>
    <w:tmpl w:val="844CF1F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A62008"/>
    <w:multiLevelType w:val="hybridMultilevel"/>
    <w:tmpl w:val="58DA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5">
    <w:nsid w:val="6A870F77"/>
    <w:multiLevelType w:val="hybridMultilevel"/>
    <w:tmpl w:val="163A2EF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765116"/>
    <w:multiLevelType w:val="hybridMultilevel"/>
    <w:tmpl w:val="0C128F5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9AC012D"/>
    <w:multiLevelType w:val="hybridMultilevel"/>
    <w:tmpl w:val="9A78966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DAB6A23"/>
    <w:multiLevelType w:val="hybridMultilevel"/>
    <w:tmpl w:val="8AC6486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5"/>
  </w:num>
  <w:num w:numId="3">
    <w:abstractNumId w:val="20"/>
  </w:num>
  <w:num w:numId="4">
    <w:abstractNumId w:val="22"/>
  </w:num>
  <w:num w:numId="5">
    <w:abstractNumId w:val="10"/>
  </w:num>
  <w:num w:numId="6">
    <w:abstractNumId w:val="13"/>
  </w:num>
  <w:num w:numId="7">
    <w:abstractNumId w:val="14"/>
  </w:num>
  <w:num w:numId="8">
    <w:abstractNumId w:val="12"/>
  </w:num>
  <w:num w:numId="9">
    <w:abstractNumId w:val="26"/>
  </w:num>
  <w:num w:numId="10">
    <w:abstractNumId w:val="8"/>
  </w:num>
  <w:num w:numId="11">
    <w:abstractNumId w:val="19"/>
  </w:num>
  <w:num w:numId="12">
    <w:abstractNumId w:val="5"/>
  </w:num>
  <w:num w:numId="13">
    <w:abstractNumId w:val="23"/>
  </w:num>
  <w:num w:numId="14">
    <w:abstractNumId w:val="2"/>
  </w:num>
  <w:num w:numId="15">
    <w:abstractNumId w:val="29"/>
  </w:num>
  <w:num w:numId="16">
    <w:abstractNumId w:val="11"/>
  </w:num>
  <w:num w:numId="17">
    <w:abstractNumId w:val="4"/>
  </w:num>
  <w:num w:numId="18">
    <w:abstractNumId w:val="6"/>
  </w:num>
  <w:num w:numId="19">
    <w:abstractNumId w:val="16"/>
  </w:num>
  <w:num w:numId="20">
    <w:abstractNumId w:val="0"/>
  </w:num>
  <w:num w:numId="21">
    <w:abstractNumId w:val="7"/>
  </w:num>
  <w:num w:numId="22">
    <w:abstractNumId w:val="1"/>
  </w:num>
  <w:num w:numId="23">
    <w:abstractNumId w:val="18"/>
  </w:num>
  <w:num w:numId="24">
    <w:abstractNumId w:val="17"/>
  </w:num>
  <w:num w:numId="25">
    <w:abstractNumId w:val="21"/>
  </w:num>
  <w:num w:numId="26">
    <w:abstractNumId w:val="27"/>
  </w:num>
  <w:num w:numId="27">
    <w:abstractNumId w:val="3"/>
  </w:num>
  <w:num w:numId="28">
    <w:abstractNumId w:val="28"/>
  </w:num>
  <w:num w:numId="29">
    <w:abstractNumId w:val="25"/>
  </w:num>
  <w:num w:numId="30">
    <w:abstractNumId w:val="9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2BD5"/>
    <w:rsid w:val="00013F34"/>
    <w:rsid w:val="000140E6"/>
    <w:rsid w:val="00014B9E"/>
    <w:rsid w:val="00015958"/>
    <w:rsid w:val="00016CB6"/>
    <w:rsid w:val="00020BBC"/>
    <w:rsid w:val="00021A48"/>
    <w:rsid w:val="00021E05"/>
    <w:rsid w:val="000222B4"/>
    <w:rsid w:val="000223D3"/>
    <w:rsid w:val="00023AC9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68A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1EA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16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41"/>
    <w:rsid w:val="000B2DA9"/>
    <w:rsid w:val="000B382C"/>
    <w:rsid w:val="000B39BA"/>
    <w:rsid w:val="000B44C6"/>
    <w:rsid w:val="000B4614"/>
    <w:rsid w:val="000C083B"/>
    <w:rsid w:val="000C0DE1"/>
    <w:rsid w:val="000C166C"/>
    <w:rsid w:val="000C1882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0E6B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3C4"/>
    <w:rsid w:val="000D6EE5"/>
    <w:rsid w:val="000E1327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E7F77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8A8"/>
    <w:rsid w:val="00111EBC"/>
    <w:rsid w:val="001139C9"/>
    <w:rsid w:val="00121B61"/>
    <w:rsid w:val="001226C6"/>
    <w:rsid w:val="00124398"/>
    <w:rsid w:val="00125F06"/>
    <w:rsid w:val="00126219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31AF"/>
    <w:rsid w:val="00144490"/>
    <w:rsid w:val="001448AD"/>
    <w:rsid w:val="00144FDB"/>
    <w:rsid w:val="00146611"/>
    <w:rsid w:val="00150317"/>
    <w:rsid w:val="001517FD"/>
    <w:rsid w:val="001520F4"/>
    <w:rsid w:val="00153EFA"/>
    <w:rsid w:val="001544DC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15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C8D"/>
    <w:rsid w:val="00186F61"/>
    <w:rsid w:val="001875DF"/>
    <w:rsid w:val="00187EB6"/>
    <w:rsid w:val="0019012D"/>
    <w:rsid w:val="00190398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17DC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5A7E"/>
    <w:rsid w:val="001B6101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2FF3"/>
    <w:rsid w:val="001D36C6"/>
    <w:rsid w:val="001D3CA3"/>
    <w:rsid w:val="001D7B17"/>
    <w:rsid w:val="001E1BAF"/>
    <w:rsid w:val="001E27B5"/>
    <w:rsid w:val="001E3994"/>
    <w:rsid w:val="001E7371"/>
    <w:rsid w:val="001F0873"/>
    <w:rsid w:val="001F0A53"/>
    <w:rsid w:val="001F0D47"/>
    <w:rsid w:val="001F118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0B81"/>
    <w:rsid w:val="0021335E"/>
    <w:rsid w:val="00213B5F"/>
    <w:rsid w:val="0021452B"/>
    <w:rsid w:val="0021461D"/>
    <w:rsid w:val="00215DB5"/>
    <w:rsid w:val="0022021E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49F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9F9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3AFA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16C37"/>
    <w:rsid w:val="00322015"/>
    <w:rsid w:val="0032307E"/>
    <w:rsid w:val="00323199"/>
    <w:rsid w:val="003237E4"/>
    <w:rsid w:val="0032579A"/>
    <w:rsid w:val="00326CC7"/>
    <w:rsid w:val="003274E6"/>
    <w:rsid w:val="00327A02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3D79"/>
    <w:rsid w:val="003754F4"/>
    <w:rsid w:val="00377596"/>
    <w:rsid w:val="003777FD"/>
    <w:rsid w:val="00377979"/>
    <w:rsid w:val="00381A45"/>
    <w:rsid w:val="00381B54"/>
    <w:rsid w:val="0038270A"/>
    <w:rsid w:val="00382E79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1A6A"/>
    <w:rsid w:val="003A2262"/>
    <w:rsid w:val="003A3A00"/>
    <w:rsid w:val="003A3CC5"/>
    <w:rsid w:val="003A4AE3"/>
    <w:rsid w:val="003A4CA4"/>
    <w:rsid w:val="003A4F49"/>
    <w:rsid w:val="003A55A7"/>
    <w:rsid w:val="003A5748"/>
    <w:rsid w:val="003A5906"/>
    <w:rsid w:val="003A6600"/>
    <w:rsid w:val="003A6B83"/>
    <w:rsid w:val="003A7B09"/>
    <w:rsid w:val="003B04A9"/>
    <w:rsid w:val="003B1E0C"/>
    <w:rsid w:val="003B1E9B"/>
    <w:rsid w:val="003B2698"/>
    <w:rsid w:val="003B2AA0"/>
    <w:rsid w:val="003B2C22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0DE"/>
    <w:rsid w:val="003C2698"/>
    <w:rsid w:val="003C2B6C"/>
    <w:rsid w:val="003C30F0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4BEB"/>
    <w:rsid w:val="003D5923"/>
    <w:rsid w:val="003D7F4F"/>
    <w:rsid w:val="003E0B99"/>
    <w:rsid w:val="003E11CE"/>
    <w:rsid w:val="003E17D2"/>
    <w:rsid w:val="003E3BA2"/>
    <w:rsid w:val="003E470A"/>
    <w:rsid w:val="003E4D85"/>
    <w:rsid w:val="003E5895"/>
    <w:rsid w:val="003E658A"/>
    <w:rsid w:val="003E6BA0"/>
    <w:rsid w:val="003E6CD3"/>
    <w:rsid w:val="003E7064"/>
    <w:rsid w:val="003E7485"/>
    <w:rsid w:val="003E7824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5D7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6BCB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67ECA"/>
    <w:rsid w:val="00470195"/>
    <w:rsid w:val="0047069C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3579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711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53C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07DAA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5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5772A"/>
    <w:rsid w:val="00560F60"/>
    <w:rsid w:val="0056201C"/>
    <w:rsid w:val="0056331D"/>
    <w:rsid w:val="005634FC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54CB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1888"/>
    <w:rsid w:val="00602F8F"/>
    <w:rsid w:val="006047B3"/>
    <w:rsid w:val="0060481C"/>
    <w:rsid w:val="00604CCA"/>
    <w:rsid w:val="00604FF3"/>
    <w:rsid w:val="00605510"/>
    <w:rsid w:val="006071A8"/>
    <w:rsid w:val="00610292"/>
    <w:rsid w:val="00615E73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2CCE"/>
    <w:rsid w:val="0062336F"/>
    <w:rsid w:val="00623F7B"/>
    <w:rsid w:val="0062428D"/>
    <w:rsid w:val="00624425"/>
    <w:rsid w:val="00624492"/>
    <w:rsid w:val="0062527C"/>
    <w:rsid w:val="00625572"/>
    <w:rsid w:val="006255F4"/>
    <w:rsid w:val="00625716"/>
    <w:rsid w:val="00626DB1"/>
    <w:rsid w:val="00626FD9"/>
    <w:rsid w:val="006322FE"/>
    <w:rsid w:val="00632306"/>
    <w:rsid w:val="00632715"/>
    <w:rsid w:val="006330BE"/>
    <w:rsid w:val="006333AD"/>
    <w:rsid w:val="00633451"/>
    <w:rsid w:val="00635EC5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484"/>
    <w:rsid w:val="00662DD5"/>
    <w:rsid w:val="0066318E"/>
    <w:rsid w:val="00663358"/>
    <w:rsid w:val="00663A25"/>
    <w:rsid w:val="00663CB4"/>
    <w:rsid w:val="006665C8"/>
    <w:rsid w:val="00666C2D"/>
    <w:rsid w:val="00667013"/>
    <w:rsid w:val="00667607"/>
    <w:rsid w:val="00667E72"/>
    <w:rsid w:val="0067109A"/>
    <w:rsid w:val="0067117D"/>
    <w:rsid w:val="0067314F"/>
    <w:rsid w:val="00674022"/>
    <w:rsid w:val="0067474C"/>
    <w:rsid w:val="00674A79"/>
    <w:rsid w:val="00675D56"/>
    <w:rsid w:val="00675FC0"/>
    <w:rsid w:val="00676F2E"/>
    <w:rsid w:val="00677E20"/>
    <w:rsid w:val="0068009D"/>
    <w:rsid w:val="006807D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6472"/>
    <w:rsid w:val="006A6E2A"/>
    <w:rsid w:val="006A771A"/>
    <w:rsid w:val="006A7AE6"/>
    <w:rsid w:val="006A7E10"/>
    <w:rsid w:val="006B0A52"/>
    <w:rsid w:val="006B161B"/>
    <w:rsid w:val="006B223F"/>
    <w:rsid w:val="006B2C7F"/>
    <w:rsid w:val="006B381F"/>
    <w:rsid w:val="006B3A1E"/>
    <w:rsid w:val="006B4635"/>
    <w:rsid w:val="006B500A"/>
    <w:rsid w:val="006B6478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6775"/>
    <w:rsid w:val="006C7CD5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0A4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377C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CBB"/>
    <w:rsid w:val="00723D34"/>
    <w:rsid w:val="00725ED9"/>
    <w:rsid w:val="007269B9"/>
    <w:rsid w:val="00726F71"/>
    <w:rsid w:val="00730996"/>
    <w:rsid w:val="00730A75"/>
    <w:rsid w:val="00730BB4"/>
    <w:rsid w:val="007311DC"/>
    <w:rsid w:val="00733389"/>
    <w:rsid w:val="00736408"/>
    <w:rsid w:val="00736686"/>
    <w:rsid w:val="00736BB2"/>
    <w:rsid w:val="00737764"/>
    <w:rsid w:val="00737C6F"/>
    <w:rsid w:val="00737DCB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2269"/>
    <w:rsid w:val="00762B90"/>
    <w:rsid w:val="00763932"/>
    <w:rsid w:val="00764BD7"/>
    <w:rsid w:val="00765769"/>
    <w:rsid w:val="0076578D"/>
    <w:rsid w:val="00767C87"/>
    <w:rsid w:val="00770CF4"/>
    <w:rsid w:val="00770E83"/>
    <w:rsid w:val="00771091"/>
    <w:rsid w:val="00771ADE"/>
    <w:rsid w:val="00772CCB"/>
    <w:rsid w:val="00774331"/>
    <w:rsid w:val="0077480D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5DFF"/>
    <w:rsid w:val="00786461"/>
    <w:rsid w:val="007864CD"/>
    <w:rsid w:val="00786CB1"/>
    <w:rsid w:val="00786DC6"/>
    <w:rsid w:val="00786E09"/>
    <w:rsid w:val="00787663"/>
    <w:rsid w:val="00787E48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3B31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352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0A9C"/>
    <w:rsid w:val="00841415"/>
    <w:rsid w:val="00842075"/>
    <w:rsid w:val="00842177"/>
    <w:rsid w:val="0084738D"/>
    <w:rsid w:val="00847626"/>
    <w:rsid w:val="00847CF6"/>
    <w:rsid w:val="00850B09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1E4"/>
    <w:rsid w:val="00885B7C"/>
    <w:rsid w:val="00885E6B"/>
    <w:rsid w:val="00886D57"/>
    <w:rsid w:val="008876A6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17F1"/>
    <w:rsid w:val="008B20B2"/>
    <w:rsid w:val="008B2DC5"/>
    <w:rsid w:val="008B3808"/>
    <w:rsid w:val="008B4100"/>
    <w:rsid w:val="008B41CC"/>
    <w:rsid w:val="008B52DD"/>
    <w:rsid w:val="008B5F9B"/>
    <w:rsid w:val="008B72E4"/>
    <w:rsid w:val="008B75EC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2A88"/>
    <w:rsid w:val="008D3855"/>
    <w:rsid w:val="008D4FDE"/>
    <w:rsid w:val="008D60D9"/>
    <w:rsid w:val="008D762B"/>
    <w:rsid w:val="008E2165"/>
    <w:rsid w:val="008E2D54"/>
    <w:rsid w:val="008E35F5"/>
    <w:rsid w:val="008E37BA"/>
    <w:rsid w:val="008E6A01"/>
    <w:rsid w:val="008E6B75"/>
    <w:rsid w:val="008F1910"/>
    <w:rsid w:val="008F1F50"/>
    <w:rsid w:val="008F2577"/>
    <w:rsid w:val="008F2A0B"/>
    <w:rsid w:val="008F5629"/>
    <w:rsid w:val="008F57AA"/>
    <w:rsid w:val="008F6120"/>
    <w:rsid w:val="008F7975"/>
    <w:rsid w:val="009007BA"/>
    <w:rsid w:val="00901295"/>
    <w:rsid w:val="00901804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06A3"/>
    <w:rsid w:val="00951FC1"/>
    <w:rsid w:val="00952716"/>
    <w:rsid w:val="009533FE"/>
    <w:rsid w:val="009535E4"/>
    <w:rsid w:val="00955BF1"/>
    <w:rsid w:val="00957801"/>
    <w:rsid w:val="00957923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1406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192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B07AD"/>
    <w:rsid w:val="009B19FB"/>
    <w:rsid w:val="009B1DAC"/>
    <w:rsid w:val="009B292A"/>
    <w:rsid w:val="009B338F"/>
    <w:rsid w:val="009B5482"/>
    <w:rsid w:val="009B57B9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2880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97C"/>
    <w:rsid w:val="009F3CE4"/>
    <w:rsid w:val="009F3F73"/>
    <w:rsid w:val="009F4811"/>
    <w:rsid w:val="009F51E9"/>
    <w:rsid w:val="009F5F5B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3F9C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30B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11BF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007D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95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E7594"/>
    <w:rsid w:val="00AF0B51"/>
    <w:rsid w:val="00AF124D"/>
    <w:rsid w:val="00AF1E73"/>
    <w:rsid w:val="00AF4E99"/>
    <w:rsid w:val="00AF5BED"/>
    <w:rsid w:val="00AF650C"/>
    <w:rsid w:val="00AF7C10"/>
    <w:rsid w:val="00B00F73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2E9"/>
    <w:rsid w:val="00B2365D"/>
    <w:rsid w:val="00B24957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44643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184D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469"/>
    <w:rsid w:val="00BA5B86"/>
    <w:rsid w:val="00BA6924"/>
    <w:rsid w:val="00BA702F"/>
    <w:rsid w:val="00BA7797"/>
    <w:rsid w:val="00BB1B78"/>
    <w:rsid w:val="00BB1D52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C72A2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09F0"/>
    <w:rsid w:val="00BF1D2B"/>
    <w:rsid w:val="00BF2177"/>
    <w:rsid w:val="00BF25F7"/>
    <w:rsid w:val="00BF41B2"/>
    <w:rsid w:val="00BF4240"/>
    <w:rsid w:val="00BF487A"/>
    <w:rsid w:val="00BF4C50"/>
    <w:rsid w:val="00BF4DBC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4ADF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2096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512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957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131"/>
    <w:rsid w:val="00CA121E"/>
    <w:rsid w:val="00CA31C9"/>
    <w:rsid w:val="00CA3816"/>
    <w:rsid w:val="00CA3D6D"/>
    <w:rsid w:val="00CA408D"/>
    <w:rsid w:val="00CA4B4E"/>
    <w:rsid w:val="00CA509F"/>
    <w:rsid w:val="00CA6970"/>
    <w:rsid w:val="00CA74A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1D2"/>
    <w:rsid w:val="00CC385D"/>
    <w:rsid w:val="00CC462E"/>
    <w:rsid w:val="00CC4F86"/>
    <w:rsid w:val="00CC5984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4A57"/>
    <w:rsid w:val="00CF7429"/>
    <w:rsid w:val="00CF75FA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4F1"/>
    <w:rsid w:val="00D2268B"/>
    <w:rsid w:val="00D228F6"/>
    <w:rsid w:val="00D22AB2"/>
    <w:rsid w:val="00D233E4"/>
    <w:rsid w:val="00D2345C"/>
    <w:rsid w:val="00D23BCD"/>
    <w:rsid w:val="00D2637A"/>
    <w:rsid w:val="00D2775E"/>
    <w:rsid w:val="00D27D59"/>
    <w:rsid w:val="00D31437"/>
    <w:rsid w:val="00D31DDD"/>
    <w:rsid w:val="00D31F13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7E6"/>
    <w:rsid w:val="00D37815"/>
    <w:rsid w:val="00D37F8C"/>
    <w:rsid w:val="00D40C0E"/>
    <w:rsid w:val="00D40E9E"/>
    <w:rsid w:val="00D41071"/>
    <w:rsid w:val="00D42AAE"/>
    <w:rsid w:val="00D42D66"/>
    <w:rsid w:val="00D43CEC"/>
    <w:rsid w:val="00D44A89"/>
    <w:rsid w:val="00D44D48"/>
    <w:rsid w:val="00D45253"/>
    <w:rsid w:val="00D46430"/>
    <w:rsid w:val="00D46ED2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69CF"/>
    <w:rsid w:val="00D57108"/>
    <w:rsid w:val="00D571DE"/>
    <w:rsid w:val="00D57435"/>
    <w:rsid w:val="00D57D06"/>
    <w:rsid w:val="00D60DE2"/>
    <w:rsid w:val="00D61B70"/>
    <w:rsid w:val="00D6206F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76501"/>
    <w:rsid w:val="00D80715"/>
    <w:rsid w:val="00D80C0F"/>
    <w:rsid w:val="00D8128C"/>
    <w:rsid w:val="00D8137A"/>
    <w:rsid w:val="00D82566"/>
    <w:rsid w:val="00D828FF"/>
    <w:rsid w:val="00D82DF0"/>
    <w:rsid w:val="00D82F95"/>
    <w:rsid w:val="00D83F29"/>
    <w:rsid w:val="00D86070"/>
    <w:rsid w:val="00D8663B"/>
    <w:rsid w:val="00D86D67"/>
    <w:rsid w:val="00D86F5B"/>
    <w:rsid w:val="00D87F28"/>
    <w:rsid w:val="00D9063C"/>
    <w:rsid w:val="00D93130"/>
    <w:rsid w:val="00D932B4"/>
    <w:rsid w:val="00D93302"/>
    <w:rsid w:val="00D93BDB"/>
    <w:rsid w:val="00D93FE9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44C6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D6423"/>
    <w:rsid w:val="00DE0A4F"/>
    <w:rsid w:val="00DE0AD9"/>
    <w:rsid w:val="00DE1BCE"/>
    <w:rsid w:val="00DE2558"/>
    <w:rsid w:val="00DE2591"/>
    <w:rsid w:val="00DE2B05"/>
    <w:rsid w:val="00DE3EEA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2E0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67FEF"/>
    <w:rsid w:val="00E70009"/>
    <w:rsid w:val="00E710AC"/>
    <w:rsid w:val="00E733B4"/>
    <w:rsid w:val="00E733BD"/>
    <w:rsid w:val="00E73A41"/>
    <w:rsid w:val="00E73FB2"/>
    <w:rsid w:val="00E7624D"/>
    <w:rsid w:val="00E762E0"/>
    <w:rsid w:val="00E76759"/>
    <w:rsid w:val="00E80721"/>
    <w:rsid w:val="00E81C9A"/>
    <w:rsid w:val="00E8201B"/>
    <w:rsid w:val="00E827B1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5BB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4B66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4AD1"/>
    <w:rsid w:val="00F24C1D"/>
    <w:rsid w:val="00F25084"/>
    <w:rsid w:val="00F25412"/>
    <w:rsid w:val="00F25D86"/>
    <w:rsid w:val="00F267AB"/>
    <w:rsid w:val="00F27B6D"/>
    <w:rsid w:val="00F27C46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3C97"/>
    <w:rsid w:val="00F66171"/>
    <w:rsid w:val="00F66EA8"/>
    <w:rsid w:val="00F67B0B"/>
    <w:rsid w:val="00F707AB"/>
    <w:rsid w:val="00F71553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30E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5B73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017"/>
    <w:rsid w:val="00FE5E6A"/>
    <w:rsid w:val="00FE6F35"/>
    <w:rsid w:val="00FF1168"/>
    <w:rsid w:val="00FF1386"/>
    <w:rsid w:val="00FF1443"/>
    <w:rsid w:val="00FF1547"/>
    <w:rsid w:val="00FF4122"/>
    <w:rsid w:val="00FF52DF"/>
    <w:rsid w:val="00FF560F"/>
    <w:rsid w:val="00FF5A2C"/>
    <w:rsid w:val="00FF7D0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link w:val="Nadpis2Char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Nadpis5Char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link w:val="Zarkazkladnhotextu2Char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link w:val="ZkladntextChar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Textpoznmkypodiarou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TextpoznmkypodiarouChar">
    <w:name w:val="Text poznámky pod čiarou Char"/>
    <w:link w:val="FootnoteText"/>
    <w:semiHidden/>
    <w:locked/>
    <w:rsid w:val="00BD060B"/>
    <w:rPr>
      <w:rFonts w:eastAsia="Calibri"/>
      <w:color w:val="000000"/>
      <w:lang w:val="sk-SK" w:eastAsia="cs-CZ" w:bidi="ar-SA"/>
    </w:rPr>
  </w:style>
  <w:style w:type="paragraph" w:styleId="ListParagraph0">
    <w:name w:val="List Paragraph"/>
    <w:basedOn w:val="Normal"/>
    <w:qFormat/>
    <w:rsid w:val="006018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3B2C22"/>
  </w:style>
  <w:style w:type="character" w:styleId="Hyperlink">
    <w:name w:val="Hyperlink"/>
    <w:rsid w:val="003B2C22"/>
    <w:rPr>
      <w:color w:val="0000FF"/>
      <w:u w:val="single"/>
    </w:rPr>
  </w:style>
  <w:style w:type="character" w:styleId="FootnoteReference">
    <w:name w:val="footnote reference"/>
    <w:rsid w:val="003B2C22"/>
    <w:rPr>
      <w:vertAlign w:val="superscript"/>
    </w:rPr>
  </w:style>
  <w:style w:type="character" w:customStyle="1" w:styleId="Nadpis1Char">
    <w:name w:val="Nadpis 1 Char"/>
    <w:link w:val="Heading1"/>
    <w:rsid w:val="00D82F95"/>
    <w:rPr>
      <w:rFonts w:eastAsia="Arial Unicode MS"/>
      <w:b/>
      <w:sz w:val="24"/>
    </w:rPr>
  </w:style>
  <w:style w:type="character" w:customStyle="1" w:styleId="Nadpis2Char">
    <w:name w:val="Nadpis 2 Char"/>
    <w:link w:val="Heading2"/>
    <w:rsid w:val="00D82F95"/>
    <w:rPr>
      <w:rFonts w:eastAsia="Arial Unicode MS"/>
      <w:b/>
      <w:bCs/>
      <w:sz w:val="24"/>
      <w:szCs w:val="24"/>
      <w:lang w:eastAsia="en-US"/>
    </w:rPr>
  </w:style>
  <w:style w:type="character" w:customStyle="1" w:styleId="Nadpis5Char">
    <w:name w:val="Nadpis 5 Char"/>
    <w:link w:val="Heading5"/>
    <w:rsid w:val="00D82F95"/>
    <w:rPr>
      <w:rFonts w:eastAsia="Arial Unicode MS"/>
      <w:b/>
      <w:sz w:val="24"/>
      <w:lang w:eastAsia="cs-CZ"/>
    </w:rPr>
  </w:style>
  <w:style w:type="character" w:customStyle="1" w:styleId="ZkladntextChar">
    <w:name w:val="Základný text Char"/>
    <w:link w:val="BodyText"/>
    <w:rsid w:val="00D82F95"/>
    <w:rPr>
      <w:sz w:val="24"/>
      <w:szCs w:val="24"/>
    </w:rPr>
  </w:style>
  <w:style w:type="character" w:customStyle="1" w:styleId="Zarkazkladnhotextu2Char">
    <w:name w:val="Zarážka základného textu 2 Char"/>
    <w:link w:val="BodyTextIndent2"/>
    <w:rsid w:val="00D82F95"/>
    <w:rPr>
      <w:sz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javascript:%20fZzSRInternal('2968241',%20'7872004',%20'7872004',%20'5517649',%20'5517649',%20'0')" TargetMode="External" /><Relationship Id="rId6" Type="http://schemas.openxmlformats.org/officeDocument/2006/relationships/hyperlink" Target="javascript:%20fZzSRInternal('2968241',%20'7872004',%20'7872004',%20'5517660',%20'5517660',%20'0')" TargetMode="External" /><Relationship Id="rId7" Type="http://schemas.openxmlformats.org/officeDocument/2006/relationships/hyperlink" Target="javascript:%20fZzSRInternal('2968241',%20'7872004',%20'7872004',%20'5517664',%20'5517664',%20'0')" TargetMode="External" /><Relationship Id="rId8" Type="http://schemas.openxmlformats.org/officeDocument/2006/relationships/hyperlink" Target="javascript:%20fZzSRInternal('2968241',%20'7872004',%20'7872004',%20'5517659',%20'5517662',%20'0')" TargetMode="External" /><Relationship Id="rId9" Type="http://schemas.openxmlformats.org/officeDocument/2006/relationships/hyperlink" Target="javascript:%20fZzSRInternal('2968241',%20'7872004',%20'7872004',%20'5517663',%20'5517666',%20'0')" TargetMode="Externa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60F58-2358-4EF8-BC0E-73EB7E8DE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2227</TotalTime>
  <Pages>13</Pages>
  <Words>3402</Words>
  <Characters>19393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bezpečnosti hračiek</vt:lpstr>
    </vt:vector>
  </TitlesOfParts>
  <Manager>Magdaléna Šuchaňová</Manager>
  <Company>Kancelária NR SR, ÚPV NR SR</Company>
  <LinksUpToDate>false</LinksUpToDate>
  <CharactersWithSpaces>22750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bezpečnosti hračiek</dc:title>
  <dc:subject>sch.54, 24.1.2012</dc:subject>
  <dc:creator>Viera Ebringerová</dc:creator>
  <cp:keywords>UPV XXX tlač 564</cp:keywords>
  <dc:description>vládny návrh  zákona</dc:description>
  <cp:lastModifiedBy>Ebringerová, Viera</cp:lastModifiedBy>
  <cp:revision>2182</cp:revision>
  <cp:lastPrinted>2012-01-26T10:24:00Z</cp:lastPrinted>
  <dcterms:created xsi:type="dcterms:W3CDTF">2002-05-15T11:56:00Z</dcterms:created>
  <dcterms:modified xsi:type="dcterms:W3CDTF">2012-01-26T10:26:00Z</dcterms:modified>
  <cp:category>Uznesenie</cp:category>
</cp:coreProperties>
</file>