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F56" w:rsidRDefault="00C86F56" w:rsidP="00C86F56">
      <w:pPr>
        <w:rPr>
          <w:b/>
          <w:bCs/>
          <w:i/>
          <w:sz w:val="22"/>
          <w:szCs w:val="22"/>
        </w:rPr>
      </w:pPr>
      <w:r>
        <w:rPr>
          <w:b/>
          <w:bCs/>
          <w:i/>
          <w:sz w:val="22"/>
          <w:szCs w:val="22"/>
        </w:rPr>
        <w:t xml:space="preserve">                           Výbor</w:t>
      </w:r>
    </w:p>
    <w:p w:rsidR="00C86F56" w:rsidRDefault="00C86F56" w:rsidP="00C86F56">
      <w:pPr>
        <w:rPr>
          <w:b/>
          <w:bCs/>
          <w:i/>
          <w:sz w:val="22"/>
          <w:szCs w:val="22"/>
        </w:rPr>
      </w:pPr>
      <w:r>
        <w:rPr>
          <w:b/>
          <w:bCs/>
          <w:i/>
          <w:sz w:val="22"/>
          <w:szCs w:val="22"/>
        </w:rPr>
        <w:t xml:space="preserve">  Národnej rady Slovenskej republiky</w:t>
      </w:r>
    </w:p>
    <w:p w:rsidR="00C86F56" w:rsidRPr="00961086" w:rsidRDefault="00C86F56" w:rsidP="00C86F56">
      <w:pPr>
        <w:rPr>
          <w:sz w:val="22"/>
          <w:szCs w:val="22"/>
        </w:rPr>
      </w:pPr>
      <w:r>
        <w:rPr>
          <w:b/>
          <w:bCs/>
          <w:i/>
          <w:sz w:val="22"/>
          <w:szCs w:val="22"/>
        </w:rPr>
        <w:t xml:space="preserve">pre verejnú správu a regionálny rozvoj </w:t>
      </w:r>
      <w:r>
        <w:rPr>
          <w:sz w:val="22"/>
          <w:szCs w:val="22"/>
        </w:rPr>
        <w:t xml:space="preserve">                                                   </w:t>
      </w:r>
    </w:p>
    <w:p w:rsidR="00C86F56" w:rsidRDefault="00C86F56" w:rsidP="00C86F56">
      <w:pPr>
        <w:ind w:left="5664" w:firstLine="708"/>
        <w:rPr>
          <w:sz w:val="22"/>
          <w:szCs w:val="22"/>
        </w:rPr>
      </w:pPr>
    </w:p>
    <w:p w:rsidR="00C86F56" w:rsidRDefault="00C86F56" w:rsidP="00C86F56">
      <w:pPr>
        <w:ind w:left="5664" w:firstLine="708"/>
        <w:rPr>
          <w:sz w:val="22"/>
          <w:szCs w:val="22"/>
        </w:rPr>
      </w:pPr>
    </w:p>
    <w:p w:rsidR="00C86F56" w:rsidRDefault="00C86F56" w:rsidP="00C86F56">
      <w:pPr>
        <w:ind w:left="5664" w:firstLine="708"/>
        <w:rPr>
          <w:sz w:val="22"/>
          <w:szCs w:val="22"/>
        </w:rPr>
      </w:pPr>
      <w:r>
        <w:rPr>
          <w:sz w:val="22"/>
          <w:szCs w:val="22"/>
        </w:rPr>
        <w:t xml:space="preserve">              34. schôdza výboru                                                                                                     </w:t>
      </w:r>
    </w:p>
    <w:p w:rsidR="00C86F56" w:rsidRDefault="00C86F56" w:rsidP="00C86F56">
      <w:pPr>
        <w:ind w:left="2832" w:firstLine="708"/>
        <w:jc w:val="both"/>
        <w:rPr>
          <w:b/>
          <w:sz w:val="22"/>
          <w:szCs w:val="22"/>
        </w:rPr>
      </w:pPr>
      <w:r>
        <w:t xml:space="preserve">                                                            Číslo: 4499/2011</w:t>
      </w:r>
    </w:p>
    <w:p w:rsidR="00C86F56" w:rsidRDefault="00C86F56" w:rsidP="00C86F56">
      <w:pPr>
        <w:rPr>
          <w:b/>
          <w:sz w:val="22"/>
          <w:szCs w:val="22"/>
        </w:rPr>
      </w:pPr>
    </w:p>
    <w:p w:rsidR="00C86F56" w:rsidRDefault="00C86F56" w:rsidP="00C86F56">
      <w:pPr>
        <w:rPr>
          <w:b/>
          <w:sz w:val="22"/>
          <w:szCs w:val="22"/>
        </w:rPr>
      </w:pPr>
    </w:p>
    <w:p w:rsidR="00C86F56" w:rsidRDefault="00C86F56" w:rsidP="00C86F56">
      <w:pPr>
        <w:rPr>
          <w:b/>
          <w:sz w:val="22"/>
          <w:szCs w:val="22"/>
        </w:rPr>
      </w:pPr>
    </w:p>
    <w:p w:rsidR="00C86F56" w:rsidRDefault="00C86F56" w:rsidP="00C86F56">
      <w:pPr>
        <w:jc w:val="center"/>
        <w:rPr>
          <w:b/>
          <w:sz w:val="22"/>
          <w:szCs w:val="22"/>
        </w:rPr>
      </w:pPr>
      <w:r>
        <w:rPr>
          <w:b/>
          <w:sz w:val="22"/>
          <w:szCs w:val="22"/>
        </w:rPr>
        <w:t>143</w:t>
      </w:r>
    </w:p>
    <w:p w:rsidR="00C86F56" w:rsidRDefault="00C86F56" w:rsidP="00C86F56">
      <w:pPr>
        <w:jc w:val="center"/>
        <w:rPr>
          <w:b/>
          <w:sz w:val="22"/>
          <w:szCs w:val="22"/>
        </w:rPr>
      </w:pPr>
      <w:r>
        <w:rPr>
          <w:b/>
          <w:sz w:val="22"/>
          <w:szCs w:val="22"/>
        </w:rPr>
        <w:t>U z n e s e n i e</w:t>
      </w:r>
    </w:p>
    <w:p w:rsidR="00C86F56" w:rsidRDefault="00C86F56" w:rsidP="00C86F56">
      <w:pPr>
        <w:jc w:val="center"/>
        <w:rPr>
          <w:b/>
          <w:bCs/>
          <w:sz w:val="22"/>
          <w:szCs w:val="22"/>
        </w:rPr>
      </w:pPr>
      <w:r>
        <w:rPr>
          <w:b/>
          <w:bCs/>
          <w:sz w:val="22"/>
          <w:szCs w:val="22"/>
        </w:rPr>
        <w:t>Výboru Národnej rady Slovenskej republiky</w:t>
      </w:r>
    </w:p>
    <w:p w:rsidR="00C86F56" w:rsidRDefault="00C86F56" w:rsidP="00C86F56">
      <w:pPr>
        <w:jc w:val="center"/>
        <w:rPr>
          <w:b/>
          <w:sz w:val="22"/>
          <w:szCs w:val="22"/>
        </w:rPr>
      </w:pPr>
      <w:r>
        <w:rPr>
          <w:b/>
          <w:bCs/>
          <w:sz w:val="22"/>
          <w:szCs w:val="22"/>
        </w:rPr>
        <w:t>pre verejnú správu a regionálny rozvoj</w:t>
      </w:r>
    </w:p>
    <w:p w:rsidR="00C86F56" w:rsidRDefault="00C86F56" w:rsidP="00C86F56">
      <w:pPr>
        <w:jc w:val="center"/>
        <w:rPr>
          <w:b/>
          <w:sz w:val="22"/>
          <w:szCs w:val="22"/>
        </w:rPr>
      </w:pPr>
      <w:r>
        <w:rPr>
          <w:b/>
          <w:sz w:val="22"/>
          <w:szCs w:val="22"/>
        </w:rPr>
        <w:t>z 26. januára 2012</w:t>
      </w:r>
    </w:p>
    <w:p w:rsidR="00C86F56" w:rsidRDefault="00C86F56" w:rsidP="00C86F56">
      <w:pPr>
        <w:jc w:val="both"/>
      </w:pPr>
    </w:p>
    <w:p w:rsidR="00C86F56" w:rsidRDefault="00C86F56" w:rsidP="00C86F56">
      <w:pPr>
        <w:jc w:val="both"/>
      </w:pPr>
      <w:r>
        <w:t>k v</w:t>
      </w:r>
      <w:r w:rsidRPr="00961086">
        <w:t>ládn</w:t>
      </w:r>
      <w:r>
        <w:t>emu</w:t>
      </w:r>
      <w:r w:rsidRPr="00961086">
        <w:t xml:space="preserve"> návrh</w:t>
      </w:r>
      <w:r>
        <w:t>u</w:t>
      </w:r>
      <w:r w:rsidRPr="00961086">
        <w:t xml:space="preserve"> </w:t>
      </w:r>
      <w:r w:rsidRPr="000423B2">
        <w:t>zákona o cestnej doprave (tlač 559)</w:t>
      </w:r>
    </w:p>
    <w:p w:rsidR="00C86F56" w:rsidRDefault="00C86F56" w:rsidP="00C86F56">
      <w:pPr>
        <w:jc w:val="both"/>
        <w:rPr>
          <w:sz w:val="22"/>
          <w:szCs w:val="22"/>
        </w:rPr>
      </w:pPr>
    </w:p>
    <w:p w:rsidR="00C86F56" w:rsidRDefault="00C86F56" w:rsidP="00C86F56">
      <w:pPr>
        <w:ind w:firstLine="708"/>
        <w:jc w:val="both"/>
        <w:rPr>
          <w:b/>
          <w:sz w:val="22"/>
          <w:szCs w:val="22"/>
        </w:rPr>
      </w:pPr>
      <w:r>
        <w:rPr>
          <w:b/>
          <w:sz w:val="22"/>
          <w:szCs w:val="22"/>
        </w:rPr>
        <w:t xml:space="preserve">Výbor Národnej rady Slovenskej republiky </w:t>
      </w:r>
    </w:p>
    <w:p w:rsidR="00C86F56" w:rsidRDefault="00C86F56" w:rsidP="00C86F56">
      <w:pPr>
        <w:ind w:firstLine="708"/>
        <w:jc w:val="both"/>
        <w:rPr>
          <w:b/>
          <w:sz w:val="22"/>
          <w:szCs w:val="22"/>
        </w:rPr>
      </w:pPr>
      <w:r>
        <w:rPr>
          <w:b/>
          <w:sz w:val="22"/>
          <w:szCs w:val="22"/>
        </w:rPr>
        <w:t xml:space="preserve">pre verejnú správu a regionálny rozvoj </w:t>
      </w:r>
    </w:p>
    <w:p w:rsidR="00C86F56" w:rsidRDefault="00C86F56" w:rsidP="00C86F56">
      <w:pPr>
        <w:jc w:val="both"/>
        <w:rPr>
          <w:sz w:val="22"/>
          <w:szCs w:val="22"/>
        </w:rPr>
      </w:pPr>
    </w:p>
    <w:p w:rsidR="00C86F56" w:rsidRDefault="00C86F56" w:rsidP="00C86F56">
      <w:pPr>
        <w:ind w:firstLine="708"/>
        <w:jc w:val="both"/>
        <w:rPr>
          <w:b/>
          <w:sz w:val="22"/>
          <w:szCs w:val="22"/>
        </w:rPr>
      </w:pPr>
      <w:r>
        <w:rPr>
          <w:b/>
          <w:sz w:val="22"/>
          <w:szCs w:val="22"/>
        </w:rPr>
        <w:t xml:space="preserve">p r e r o k o v a l  </w:t>
      </w:r>
    </w:p>
    <w:p w:rsidR="00C86F56" w:rsidRPr="00961086" w:rsidRDefault="00C86F56" w:rsidP="00C86F56">
      <w:pPr>
        <w:jc w:val="both"/>
      </w:pPr>
      <w:r>
        <w:rPr>
          <w:sz w:val="22"/>
          <w:szCs w:val="22"/>
        </w:rPr>
        <w:t xml:space="preserve">            vládny návrh </w:t>
      </w:r>
      <w:r w:rsidRPr="000423B2">
        <w:t>zákona o cestnej doprave (tlač 559)</w:t>
      </w:r>
      <w:r>
        <w:t>;</w:t>
      </w:r>
    </w:p>
    <w:p w:rsidR="00C86F56" w:rsidRDefault="00C86F56" w:rsidP="00C86F56">
      <w:pPr>
        <w:jc w:val="both"/>
        <w:rPr>
          <w:sz w:val="22"/>
          <w:szCs w:val="22"/>
        </w:rPr>
      </w:pPr>
    </w:p>
    <w:p w:rsidR="00C86F56" w:rsidRDefault="00C86F56" w:rsidP="00C86F56">
      <w:pPr>
        <w:tabs>
          <w:tab w:val="left" w:pos="709"/>
          <w:tab w:val="left" w:pos="1077"/>
        </w:tabs>
        <w:jc w:val="both"/>
        <w:rPr>
          <w:b/>
          <w:sz w:val="22"/>
          <w:szCs w:val="22"/>
        </w:rPr>
      </w:pPr>
      <w:r>
        <w:rPr>
          <w:sz w:val="22"/>
          <w:szCs w:val="22"/>
        </w:rPr>
        <w:tab/>
      </w:r>
      <w:r>
        <w:rPr>
          <w:b/>
          <w:sz w:val="22"/>
          <w:szCs w:val="22"/>
        </w:rPr>
        <w:t>A.  s ú h l a s í</w:t>
      </w:r>
    </w:p>
    <w:p w:rsidR="00C86F56" w:rsidRDefault="00C86F56" w:rsidP="00C86F56">
      <w:pPr>
        <w:jc w:val="both"/>
      </w:pPr>
      <w:r>
        <w:rPr>
          <w:sz w:val="22"/>
          <w:szCs w:val="22"/>
        </w:rPr>
        <w:t xml:space="preserve">                  s  vládnym návrhom </w:t>
      </w:r>
      <w:r w:rsidRPr="000423B2">
        <w:t>zákona o cestnej doprave (tlač 559)</w:t>
      </w:r>
      <w:r>
        <w:t>;</w:t>
      </w:r>
    </w:p>
    <w:p w:rsidR="00C86F56" w:rsidRDefault="00C86F56" w:rsidP="00C86F56">
      <w:pPr>
        <w:jc w:val="both"/>
        <w:rPr>
          <w:sz w:val="22"/>
          <w:szCs w:val="22"/>
        </w:rPr>
      </w:pPr>
    </w:p>
    <w:p w:rsidR="00C86F56" w:rsidRDefault="00C86F56" w:rsidP="00C86F56">
      <w:pPr>
        <w:tabs>
          <w:tab w:val="left" w:pos="709"/>
          <w:tab w:val="left" w:pos="1077"/>
        </w:tabs>
        <w:jc w:val="both"/>
        <w:rPr>
          <w:b/>
          <w:sz w:val="22"/>
          <w:szCs w:val="22"/>
        </w:rPr>
      </w:pPr>
      <w:r>
        <w:rPr>
          <w:sz w:val="22"/>
          <w:szCs w:val="22"/>
        </w:rPr>
        <w:tab/>
      </w:r>
      <w:r>
        <w:rPr>
          <w:b/>
          <w:sz w:val="22"/>
          <w:szCs w:val="22"/>
        </w:rPr>
        <w:t>B.  o d p o r ú č a</w:t>
      </w:r>
    </w:p>
    <w:p w:rsidR="00C86F56" w:rsidRDefault="00C86F56" w:rsidP="00C86F56">
      <w:pPr>
        <w:tabs>
          <w:tab w:val="left" w:pos="709"/>
          <w:tab w:val="left" w:pos="1077"/>
        </w:tabs>
        <w:jc w:val="both"/>
        <w:rPr>
          <w:b/>
          <w:sz w:val="22"/>
          <w:szCs w:val="22"/>
        </w:rPr>
      </w:pPr>
      <w:r>
        <w:rPr>
          <w:b/>
          <w:sz w:val="22"/>
          <w:szCs w:val="22"/>
        </w:rPr>
        <w:tab/>
      </w:r>
      <w:r>
        <w:rPr>
          <w:b/>
          <w:sz w:val="22"/>
          <w:szCs w:val="22"/>
        </w:rPr>
        <w:tab/>
        <w:t>Národnej rade Slovenskej republiky</w:t>
      </w:r>
    </w:p>
    <w:p w:rsidR="00C86F56" w:rsidRPr="00C86F56" w:rsidRDefault="00C86F56" w:rsidP="00C86F56">
      <w:pPr>
        <w:jc w:val="both"/>
      </w:pPr>
      <w:r w:rsidRPr="00C86F56">
        <w:t xml:space="preserve">                   vládny návrh zákona o cestnej doprave (tlač 559) </w:t>
      </w:r>
      <w:r w:rsidRPr="00C86F56">
        <w:rPr>
          <w:b/>
        </w:rPr>
        <w:t xml:space="preserve">schváliť </w:t>
      </w:r>
      <w:r w:rsidRPr="00C86F56">
        <w:t>s týmito pozmeňujúcimi a doplňujúcimi návrhmi, ktoré sú uvedené v prílohe tohto  uznesenia;</w:t>
      </w:r>
    </w:p>
    <w:p w:rsidR="00C86F56" w:rsidRDefault="00C86F56" w:rsidP="00C86F56">
      <w:pPr>
        <w:jc w:val="both"/>
        <w:rPr>
          <w:sz w:val="22"/>
          <w:szCs w:val="22"/>
        </w:rPr>
      </w:pPr>
      <w:r>
        <w:rPr>
          <w:sz w:val="22"/>
          <w:szCs w:val="22"/>
        </w:rPr>
        <w:t xml:space="preserve"> </w:t>
      </w:r>
    </w:p>
    <w:p w:rsidR="00C86F56" w:rsidRDefault="00C86F56" w:rsidP="00C86F56">
      <w:pPr>
        <w:ind w:firstLine="708"/>
        <w:jc w:val="both"/>
        <w:rPr>
          <w:b/>
          <w:bCs/>
          <w:sz w:val="22"/>
          <w:szCs w:val="22"/>
        </w:rPr>
      </w:pPr>
      <w:r>
        <w:rPr>
          <w:b/>
          <w:bCs/>
          <w:sz w:val="22"/>
          <w:szCs w:val="22"/>
        </w:rPr>
        <w:t>C. u k l a d á</w:t>
      </w:r>
    </w:p>
    <w:p w:rsidR="00C86F56" w:rsidRDefault="00C86F56" w:rsidP="00C86F56">
      <w:pPr>
        <w:ind w:firstLine="708"/>
        <w:jc w:val="both"/>
        <w:rPr>
          <w:b/>
          <w:bCs/>
          <w:sz w:val="22"/>
          <w:szCs w:val="22"/>
        </w:rPr>
      </w:pPr>
      <w:r>
        <w:rPr>
          <w:b/>
          <w:bCs/>
          <w:sz w:val="22"/>
          <w:szCs w:val="22"/>
        </w:rPr>
        <w:t xml:space="preserve">     predsedovi výboru</w:t>
      </w:r>
    </w:p>
    <w:p w:rsidR="00C86F56" w:rsidRDefault="00C86F56" w:rsidP="00C86F56">
      <w:pPr>
        <w:tabs>
          <w:tab w:val="left" w:pos="709"/>
          <w:tab w:val="left" w:pos="1049"/>
        </w:tabs>
        <w:jc w:val="both"/>
      </w:pPr>
      <w:r>
        <w:t xml:space="preserve">    </w:t>
      </w:r>
      <w:r>
        <w:tab/>
        <w:t xml:space="preserve">     predložiť stanovisko výboru k uvedenému vládnemu návrhu zákona predsedovi  Výboru Národnej rady Slovenskej re</w:t>
      </w:r>
      <w:r w:rsidR="00F15354">
        <w:t xml:space="preserve">publiky pre hospodárstvo, výstavbu a dopravu. </w:t>
      </w:r>
    </w:p>
    <w:p w:rsidR="00C86F56" w:rsidRDefault="00C86F56" w:rsidP="00C86F56">
      <w:pPr>
        <w:pStyle w:val="Zkladntext"/>
        <w:ind w:firstLine="708"/>
        <w:jc w:val="both"/>
      </w:pPr>
    </w:p>
    <w:p w:rsidR="00C86F56" w:rsidRDefault="00C86F56" w:rsidP="00C86F56">
      <w:pPr>
        <w:pStyle w:val="Zkladntext"/>
        <w:ind w:firstLine="708"/>
        <w:jc w:val="both"/>
      </w:pPr>
    </w:p>
    <w:p w:rsidR="00C86F56" w:rsidRDefault="00C86F56" w:rsidP="00C86F56">
      <w:pPr>
        <w:pStyle w:val="Zkladntext"/>
        <w:ind w:firstLine="708"/>
        <w:jc w:val="both"/>
      </w:pPr>
      <w:r>
        <w:t xml:space="preserve">     </w:t>
      </w:r>
    </w:p>
    <w:p w:rsidR="00C86F56" w:rsidRDefault="00C86F56" w:rsidP="00C86F56">
      <w:pPr>
        <w:rPr>
          <w:b/>
          <w:sz w:val="22"/>
          <w:szCs w:val="22"/>
        </w:rPr>
      </w:pPr>
      <w:r>
        <w:rPr>
          <w:b/>
          <w:sz w:val="22"/>
          <w:szCs w:val="22"/>
        </w:rPr>
        <w:t xml:space="preserve">                                                                                                    Igor  C H O M A</w:t>
      </w:r>
    </w:p>
    <w:p w:rsidR="00C86F56" w:rsidRDefault="00C86F56" w:rsidP="00C86F56">
      <w:pPr>
        <w:rPr>
          <w:sz w:val="22"/>
          <w:szCs w:val="22"/>
        </w:rPr>
      </w:pPr>
      <w:r>
        <w:rPr>
          <w:sz w:val="22"/>
          <w:szCs w:val="22"/>
        </w:rPr>
        <w:t xml:space="preserve">                                                                                                     predseda výboru</w:t>
      </w:r>
    </w:p>
    <w:p w:rsidR="00C86F56" w:rsidRDefault="00C86F56" w:rsidP="00C86F56">
      <w:pPr>
        <w:rPr>
          <w:b/>
          <w:sz w:val="22"/>
          <w:szCs w:val="22"/>
        </w:rPr>
      </w:pPr>
    </w:p>
    <w:p w:rsidR="00C86F56" w:rsidRDefault="00C86F56" w:rsidP="00C86F56">
      <w:pPr>
        <w:rPr>
          <w:b/>
          <w:sz w:val="22"/>
          <w:szCs w:val="22"/>
        </w:rPr>
      </w:pPr>
    </w:p>
    <w:p w:rsidR="000F5135" w:rsidRDefault="000F5135" w:rsidP="000F5135">
      <w:pPr>
        <w:rPr>
          <w:b/>
          <w:sz w:val="22"/>
          <w:szCs w:val="22"/>
        </w:rPr>
      </w:pPr>
      <w:r>
        <w:rPr>
          <w:b/>
          <w:sz w:val="22"/>
          <w:szCs w:val="22"/>
        </w:rPr>
        <w:t xml:space="preserve">  </w:t>
      </w:r>
      <w:r>
        <w:rPr>
          <w:b/>
          <w:sz w:val="22"/>
          <w:szCs w:val="22"/>
        </w:rPr>
        <w:t xml:space="preserve">Milan  H O R T </w:t>
      </w:r>
    </w:p>
    <w:p w:rsidR="00C86F56" w:rsidRDefault="00C86F56" w:rsidP="00C86F56">
      <w:pPr>
        <w:rPr>
          <w:sz w:val="22"/>
          <w:szCs w:val="22"/>
        </w:rPr>
      </w:pPr>
      <w:r>
        <w:rPr>
          <w:sz w:val="22"/>
          <w:szCs w:val="22"/>
        </w:rPr>
        <w:t>overovateľ výboru</w:t>
      </w:r>
    </w:p>
    <w:p w:rsidR="00C86F56" w:rsidRDefault="00C86F56" w:rsidP="00C86F56">
      <w:pPr>
        <w:rPr>
          <w:sz w:val="22"/>
          <w:szCs w:val="22"/>
        </w:rPr>
      </w:pPr>
    </w:p>
    <w:p w:rsidR="00C86F56" w:rsidRDefault="00C86F56" w:rsidP="00C86F56">
      <w:pPr>
        <w:rPr>
          <w:sz w:val="22"/>
          <w:szCs w:val="22"/>
        </w:rPr>
      </w:pPr>
    </w:p>
    <w:p w:rsidR="00C86F56" w:rsidRDefault="00C86F56" w:rsidP="00C86F56">
      <w:pPr>
        <w:rPr>
          <w:sz w:val="22"/>
          <w:szCs w:val="22"/>
        </w:rPr>
      </w:pPr>
    </w:p>
    <w:p w:rsidR="00C86F56" w:rsidRDefault="00C86F56" w:rsidP="00C86F56">
      <w:pPr>
        <w:rPr>
          <w:sz w:val="22"/>
          <w:szCs w:val="22"/>
        </w:rPr>
      </w:pPr>
    </w:p>
    <w:p w:rsidR="00C86F56" w:rsidRDefault="00C86F56" w:rsidP="00C86F56">
      <w:pPr>
        <w:rPr>
          <w:sz w:val="22"/>
          <w:szCs w:val="22"/>
        </w:rPr>
      </w:pPr>
    </w:p>
    <w:p w:rsidR="00C86F56" w:rsidRDefault="00C86F56" w:rsidP="00C86F56">
      <w:pPr>
        <w:rPr>
          <w:sz w:val="22"/>
          <w:szCs w:val="22"/>
        </w:rPr>
      </w:pPr>
    </w:p>
    <w:p w:rsidR="00C86F56" w:rsidRDefault="00C86F56" w:rsidP="00C86F56">
      <w:pPr>
        <w:rPr>
          <w:sz w:val="22"/>
          <w:szCs w:val="22"/>
        </w:rPr>
      </w:pPr>
    </w:p>
    <w:p w:rsidR="00C86F56" w:rsidRDefault="00C86F56" w:rsidP="00C86F56">
      <w:pPr>
        <w:ind w:firstLine="708"/>
        <w:rPr>
          <w:sz w:val="22"/>
          <w:szCs w:val="22"/>
        </w:rPr>
      </w:pPr>
      <w:r>
        <w:rPr>
          <w:sz w:val="22"/>
          <w:szCs w:val="22"/>
        </w:rPr>
        <w:lastRenderedPageBreak/>
        <w:t xml:space="preserve">                                                                                                                          Príloha k </w:t>
      </w:r>
      <w:proofErr w:type="spellStart"/>
      <w:r>
        <w:rPr>
          <w:sz w:val="22"/>
          <w:szCs w:val="22"/>
        </w:rPr>
        <w:t>uzn</w:t>
      </w:r>
      <w:proofErr w:type="spellEnd"/>
      <w:r>
        <w:rPr>
          <w:sz w:val="22"/>
          <w:szCs w:val="22"/>
        </w:rPr>
        <w:t>. 143</w:t>
      </w:r>
    </w:p>
    <w:p w:rsidR="00C86F56" w:rsidRDefault="00C86F56" w:rsidP="00C86F56">
      <w:pPr>
        <w:rPr>
          <w:sz w:val="22"/>
          <w:szCs w:val="22"/>
        </w:rPr>
      </w:pPr>
      <w:r>
        <w:rPr>
          <w:sz w:val="22"/>
          <w:szCs w:val="22"/>
        </w:rPr>
        <w:t xml:space="preserve">                                                                                                                                                 34. schôdza </w:t>
      </w:r>
    </w:p>
    <w:p w:rsidR="00C86F56" w:rsidRDefault="00C86F56" w:rsidP="00C86F56">
      <w:pPr>
        <w:rPr>
          <w:sz w:val="22"/>
          <w:szCs w:val="22"/>
        </w:rPr>
      </w:pPr>
    </w:p>
    <w:p w:rsidR="00C86F56" w:rsidRDefault="00C86F56" w:rsidP="00C86F56">
      <w:pPr>
        <w:rPr>
          <w:sz w:val="22"/>
          <w:szCs w:val="22"/>
        </w:rPr>
      </w:pPr>
    </w:p>
    <w:p w:rsidR="00C86F56" w:rsidRPr="00C86F56" w:rsidRDefault="00C86F56" w:rsidP="00C86F56">
      <w:pPr>
        <w:jc w:val="center"/>
      </w:pPr>
      <w:r w:rsidRPr="00C86F56">
        <w:t>Pozmeňujúce a doplňujúce návrhy</w:t>
      </w:r>
    </w:p>
    <w:p w:rsidR="00C86F56" w:rsidRPr="00C86F56" w:rsidRDefault="00C86F56" w:rsidP="00C86F56">
      <w:pPr>
        <w:jc w:val="center"/>
      </w:pPr>
    </w:p>
    <w:p w:rsidR="00C86F56" w:rsidRPr="00C86F56" w:rsidRDefault="00C86F56" w:rsidP="00C86F56">
      <w:pPr>
        <w:pBdr>
          <w:bottom w:val="single" w:sz="12" w:space="1" w:color="auto"/>
        </w:pBdr>
        <w:jc w:val="both"/>
      </w:pPr>
      <w:r w:rsidRPr="00C86F56">
        <w:t>k vládnemu návrhu zákona o cestnej premávke (tlač 559)</w:t>
      </w:r>
    </w:p>
    <w:p w:rsidR="00C86F56" w:rsidRDefault="00C86F56" w:rsidP="00C86F56">
      <w:pPr>
        <w:rPr>
          <w:sz w:val="22"/>
          <w:szCs w:val="22"/>
        </w:rPr>
      </w:pPr>
    </w:p>
    <w:p w:rsidR="00C86F56" w:rsidRDefault="00C86F56" w:rsidP="00C86F56">
      <w:pPr>
        <w:rPr>
          <w:sz w:val="22"/>
          <w:szCs w:val="22"/>
        </w:rPr>
      </w:pPr>
    </w:p>
    <w:p w:rsidR="00C86F56" w:rsidRPr="00C86F56" w:rsidRDefault="00C86F56" w:rsidP="00C86F56">
      <w:pPr>
        <w:numPr>
          <w:ilvl w:val="0"/>
          <w:numId w:val="1"/>
        </w:numPr>
        <w:autoSpaceDE w:val="0"/>
        <w:autoSpaceDN w:val="0"/>
        <w:adjustRightInd w:val="0"/>
        <w:jc w:val="both"/>
        <w:rPr>
          <w:sz w:val="22"/>
          <w:szCs w:val="22"/>
        </w:rPr>
      </w:pPr>
      <w:r w:rsidRPr="00C86F56">
        <w:rPr>
          <w:sz w:val="22"/>
          <w:szCs w:val="22"/>
        </w:rPr>
        <w:t>V § 1 písm. d) v poznámke pod čiarou k odkazu 2 nahradiť slová „zo 16. februára 2011 č. 181/2011“ slovami „č. 181/2011 zo 16. februára 2011“.</w:t>
      </w:r>
    </w:p>
    <w:p w:rsidR="00C86F56" w:rsidRPr="00C86F56" w:rsidRDefault="00C86F56" w:rsidP="00C86F56">
      <w:pPr>
        <w:ind w:left="360"/>
        <w:jc w:val="both"/>
        <w:rPr>
          <w:sz w:val="22"/>
          <w:szCs w:val="22"/>
        </w:rPr>
      </w:pPr>
    </w:p>
    <w:p w:rsidR="00C86F56" w:rsidRPr="00C86F56" w:rsidRDefault="00C86F56" w:rsidP="00C86F56">
      <w:pPr>
        <w:ind w:left="2829"/>
        <w:jc w:val="both"/>
        <w:rPr>
          <w:sz w:val="22"/>
          <w:szCs w:val="22"/>
        </w:rPr>
      </w:pPr>
      <w:r w:rsidRPr="00C86F56">
        <w:rPr>
          <w:rStyle w:val="Zvraznenie"/>
          <w:i w:val="0"/>
          <w:sz w:val="22"/>
          <w:szCs w:val="22"/>
        </w:rPr>
        <w:t>Ide o legislatívno-technickú úpravu súvisiacu so zaužívaným spôsobom uvádzania právne záväzných aktov Európskej únie v poznámkach pod čiarou.</w:t>
      </w:r>
    </w:p>
    <w:p w:rsidR="00C86F56" w:rsidRPr="00C86F56" w:rsidRDefault="00C86F56" w:rsidP="00C86F56">
      <w:pPr>
        <w:ind w:left="360"/>
        <w:jc w:val="both"/>
        <w:rPr>
          <w:sz w:val="22"/>
          <w:szCs w:val="22"/>
        </w:rPr>
      </w:pPr>
    </w:p>
    <w:p w:rsidR="00C86F56" w:rsidRPr="00C86F56" w:rsidRDefault="00C86F56" w:rsidP="00C86F56">
      <w:pPr>
        <w:numPr>
          <w:ilvl w:val="0"/>
          <w:numId w:val="1"/>
        </w:numPr>
        <w:autoSpaceDE w:val="0"/>
        <w:autoSpaceDN w:val="0"/>
        <w:adjustRightInd w:val="0"/>
        <w:jc w:val="both"/>
        <w:rPr>
          <w:sz w:val="22"/>
          <w:szCs w:val="22"/>
        </w:rPr>
      </w:pPr>
      <w:r w:rsidRPr="00C86F56">
        <w:rPr>
          <w:sz w:val="22"/>
          <w:szCs w:val="22"/>
        </w:rPr>
        <w:t>V § 2 ods. 1 sa slovo „obsahom“ nahrádza slovom „predmetom“.</w:t>
      </w:r>
    </w:p>
    <w:p w:rsidR="00C86F56" w:rsidRPr="00C86F56" w:rsidRDefault="00C86F56" w:rsidP="00C86F56">
      <w:pPr>
        <w:jc w:val="both"/>
        <w:rPr>
          <w:sz w:val="22"/>
          <w:szCs w:val="22"/>
        </w:rPr>
      </w:pPr>
    </w:p>
    <w:p w:rsidR="00C86F56" w:rsidRPr="00C86F56" w:rsidRDefault="00C86F56" w:rsidP="00C86F56">
      <w:pPr>
        <w:tabs>
          <w:tab w:val="left" w:pos="2835"/>
        </w:tabs>
        <w:ind w:left="2835"/>
        <w:jc w:val="both"/>
        <w:rPr>
          <w:sz w:val="22"/>
          <w:szCs w:val="22"/>
        </w:rPr>
      </w:pPr>
      <w:r w:rsidRPr="00C86F56">
        <w:rPr>
          <w:sz w:val="22"/>
          <w:szCs w:val="22"/>
        </w:rPr>
        <w:t>Ide o legislatívno-technickú úpravu.</w:t>
      </w:r>
    </w:p>
    <w:p w:rsidR="00C86F56" w:rsidRPr="00C86F56" w:rsidRDefault="00C86F56" w:rsidP="00C86F56">
      <w:pPr>
        <w:pStyle w:val="Odsekzoznamu"/>
        <w:rPr>
          <w:sz w:val="22"/>
          <w:szCs w:val="22"/>
        </w:rPr>
      </w:pPr>
    </w:p>
    <w:p w:rsidR="00C86F56" w:rsidRPr="00C86F56" w:rsidRDefault="00C86F56" w:rsidP="00C86F56">
      <w:pPr>
        <w:numPr>
          <w:ilvl w:val="0"/>
          <w:numId w:val="1"/>
        </w:numPr>
        <w:autoSpaceDE w:val="0"/>
        <w:autoSpaceDN w:val="0"/>
        <w:adjustRightInd w:val="0"/>
        <w:jc w:val="both"/>
        <w:rPr>
          <w:sz w:val="22"/>
          <w:szCs w:val="22"/>
        </w:rPr>
      </w:pPr>
      <w:r w:rsidRPr="00C86F56">
        <w:rPr>
          <w:sz w:val="22"/>
          <w:szCs w:val="22"/>
        </w:rPr>
        <w:t>V § 2 ods. 2 písm. b) sa slovo „a“ za slovom „odosielateľom“ nahrádza slovom „alebo“, bodkočiarka sa nahrádza čiarkou a slová „nákladnou dopravou nie je prevádzka“ sa nahrádzajú slovami „okrem prevádzky“.</w:t>
      </w:r>
    </w:p>
    <w:p w:rsidR="00C86F56" w:rsidRPr="00C86F56" w:rsidRDefault="00C86F56" w:rsidP="00C86F56">
      <w:pPr>
        <w:pStyle w:val="Odsekzoznamu"/>
        <w:rPr>
          <w:sz w:val="22"/>
          <w:szCs w:val="22"/>
        </w:rPr>
      </w:pPr>
    </w:p>
    <w:p w:rsidR="00C86F56" w:rsidRPr="00C86F56" w:rsidRDefault="00C86F56" w:rsidP="00C86F56">
      <w:pPr>
        <w:pStyle w:val="Odsekzoznamu"/>
        <w:ind w:left="2832"/>
        <w:rPr>
          <w:sz w:val="22"/>
          <w:szCs w:val="22"/>
        </w:rPr>
      </w:pPr>
      <w:r w:rsidRPr="00C86F56">
        <w:rPr>
          <w:sz w:val="22"/>
          <w:szCs w:val="22"/>
        </w:rPr>
        <w:t>Ide o legislatívno-technickú úpravu.</w:t>
      </w:r>
    </w:p>
    <w:p w:rsidR="00C86F56" w:rsidRPr="00C86F56" w:rsidRDefault="00C86F56" w:rsidP="00C86F56">
      <w:pPr>
        <w:jc w:val="both"/>
        <w:rPr>
          <w:sz w:val="22"/>
          <w:szCs w:val="22"/>
        </w:rPr>
      </w:pPr>
    </w:p>
    <w:p w:rsidR="00C86F56" w:rsidRPr="00C86F56" w:rsidRDefault="00C86F56" w:rsidP="00C86F56">
      <w:pPr>
        <w:numPr>
          <w:ilvl w:val="0"/>
          <w:numId w:val="1"/>
        </w:numPr>
        <w:autoSpaceDE w:val="0"/>
        <w:autoSpaceDN w:val="0"/>
        <w:adjustRightInd w:val="0"/>
        <w:jc w:val="both"/>
        <w:rPr>
          <w:sz w:val="22"/>
          <w:szCs w:val="22"/>
        </w:rPr>
      </w:pPr>
      <w:r w:rsidRPr="00C86F56">
        <w:rPr>
          <w:sz w:val="22"/>
          <w:szCs w:val="22"/>
        </w:rPr>
        <w:t xml:space="preserve">V § 4 ods. </w:t>
      </w:r>
      <w:smartTag w:uri="urn:schemas-microsoft-com:office:smarttags" w:element="metricconverter">
        <w:smartTagPr>
          <w:attr w:name="ProductID" w:val="2 a"/>
        </w:smartTagPr>
        <w:r w:rsidRPr="00C86F56">
          <w:rPr>
            <w:sz w:val="22"/>
            <w:szCs w:val="22"/>
          </w:rPr>
          <w:t>2 a</w:t>
        </w:r>
      </w:smartTag>
      <w:r w:rsidRPr="00C86F56">
        <w:rPr>
          <w:sz w:val="22"/>
          <w:szCs w:val="22"/>
        </w:rPr>
        <w:t xml:space="preserve"> 5, § 24 ods. 6 a § 25 ods. 4 sa vypúšťa slovo „aj“.</w:t>
      </w:r>
    </w:p>
    <w:p w:rsidR="00C86F56" w:rsidRPr="00C86F56" w:rsidRDefault="00C86F56" w:rsidP="00C86F56">
      <w:pPr>
        <w:pStyle w:val="Odsekzoznamu"/>
        <w:rPr>
          <w:sz w:val="22"/>
          <w:szCs w:val="22"/>
        </w:rPr>
      </w:pPr>
    </w:p>
    <w:p w:rsidR="00C86F56" w:rsidRPr="00C86F56" w:rsidRDefault="00C86F56" w:rsidP="00C86F56">
      <w:pPr>
        <w:pStyle w:val="Odsekzoznamu"/>
        <w:ind w:left="2832"/>
        <w:rPr>
          <w:sz w:val="22"/>
          <w:szCs w:val="22"/>
        </w:rPr>
      </w:pPr>
      <w:r w:rsidRPr="00C86F56">
        <w:rPr>
          <w:sz w:val="22"/>
          <w:szCs w:val="22"/>
        </w:rPr>
        <w:t>Ide o legislatívno-technickú úpravu.</w:t>
      </w:r>
    </w:p>
    <w:p w:rsidR="00C86F56" w:rsidRPr="00C86F56" w:rsidRDefault="00C86F56" w:rsidP="00C86F56">
      <w:pPr>
        <w:rPr>
          <w:sz w:val="22"/>
          <w:szCs w:val="22"/>
        </w:rPr>
      </w:pPr>
    </w:p>
    <w:p w:rsidR="00C86F56" w:rsidRPr="00C86F56" w:rsidRDefault="00C86F56" w:rsidP="00C86F56">
      <w:pPr>
        <w:numPr>
          <w:ilvl w:val="0"/>
          <w:numId w:val="1"/>
        </w:numPr>
        <w:autoSpaceDE w:val="0"/>
        <w:autoSpaceDN w:val="0"/>
        <w:adjustRightInd w:val="0"/>
        <w:jc w:val="both"/>
        <w:rPr>
          <w:sz w:val="22"/>
          <w:szCs w:val="22"/>
        </w:rPr>
      </w:pPr>
      <w:r w:rsidRPr="00C86F56">
        <w:rPr>
          <w:sz w:val="22"/>
          <w:szCs w:val="22"/>
        </w:rPr>
        <w:t>V § 4 ods. 6 sa slovo „ponuky“ nahrádza slovom „návrhu“.</w:t>
      </w:r>
    </w:p>
    <w:p w:rsidR="00C86F56" w:rsidRPr="00C86F56" w:rsidRDefault="00C86F56" w:rsidP="00C86F56">
      <w:pPr>
        <w:jc w:val="both"/>
        <w:rPr>
          <w:sz w:val="22"/>
          <w:szCs w:val="22"/>
        </w:rPr>
      </w:pPr>
    </w:p>
    <w:p w:rsidR="00C86F56" w:rsidRPr="00C86F56" w:rsidRDefault="00C86F56" w:rsidP="00C86F56">
      <w:pPr>
        <w:ind w:left="2832"/>
        <w:jc w:val="both"/>
        <w:rPr>
          <w:sz w:val="22"/>
          <w:szCs w:val="22"/>
        </w:rPr>
      </w:pPr>
      <w:r w:rsidRPr="00C86F56">
        <w:rPr>
          <w:sz w:val="22"/>
          <w:szCs w:val="22"/>
        </w:rPr>
        <w:t>Ide o legislatívno-technickú úpravu.</w:t>
      </w:r>
    </w:p>
    <w:p w:rsidR="00C86F56" w:rsidRPr="00C86F56" w:rsidRDefault="00C86F56" w:rsidP="00C86F56">
      <w:pPr>
        <w:jc w:val="both"/>
        <w:rPr>
          <w:sz w:val="22"/>
          <w:szCs w:val="22"/>
        </w:rPr>
      </w:pPr>
    </w:p>
    <w:p w:rsidR="00C86F56" w:rsidRPr="00C86F56" w:rsidRDefault="00C86F56" w:rsidP="00C86F56">
      <w:pPr>
        <w:numPr>
          <w:ilvl w:val="0"/>
          <w:numId w:val="1"/>
        </w:numPr>
        <w:autoSpaceDE w:val="0"/>
        <w:autoSpaceDN w:val="0"/>
        <w:adjustRightInd w:val="0"/>
        <w:jc w:val="both"/>
        <w:rPr>
          <w:sz w:val="22"/>
          <w:szCs w:val="22"/>
        </w:rPr>
      </w:pPr>
      <w:r w:rsidRPr="00C86F56">
        <w:rPr>
          <w:sz w:val="22"/>
          <w:szCs w:val="22"/>
        </w:rPr>
        <w:t>V § 5 ods. 5 písm. f) sa na konci pripája slovo „alebo“.</w:t>
      </w:r>
    </w:p>
    <w:p w:rsidR="00C86F56" w:rsidRPr="00C86F56" w:rsidRDefault="00C86F56" w:rsidP="00C86F56">
      <w:pPr>
        <w:pStyle w:val="Odsekzoznamu"/>
        <w:ind w:left="0"/>
        <w:jc w:val="both"/>
        <w:rPr>
          <w:sz w:val="22"/>
          <w:szCs w:val="22"/>
        </w:rPr>
      </w:pPr>
    </w:p>
    <w:p w:rsidR="00C86F56" w:rsidRPr="00C86F56" w:rsidRDefault="00C86F56" w:rsidP="00C86F56">
      <w:pPr>
        <w:pStyle w:val="Odsekzoznamu"/>
        <w:ind w:left="2832"/>
        <w:jc w:val="both"/>
        <w:rPr>
          <w:sz w:val="22"/>
          <w:szCs w:val="22"/>
        </w:rPr>
      </w:pPr>
      <w:r w:rsidRPr="00C86F56">
        <w:rPr>
          <w:sz w:val="22"/>
          <w:szCs w:val="22"/>
        </w:rPr>
        <w:t>Ide o legislatívno-technickú úpravu.</w:t>
      </w:r>
    </w:p>
    <w:p w:rsidR="00C86F56" w:rsidRPr="00C86F56" w:rsidRDefault="00C86F56" w:rsidP="00C86F56">
      <w:pPr>
        <w:jc w:val="both"/>
        <w:rPr>
          <w:sz w:val="22"/>
          <w:szCs w:val="22"/>
        </w:rPr>
      </w:pPr>
    </w:p>
    <w:p w:rsidR="00C86F56" w:rsidRPr="00C86F56" w:rsidRDefault="00C86F56" w:rsidP="00C86F56">
      <w:pPr>
        <w:numPr>
          <w:ilvl w:val="0"/>
          <w:numId w:val="1"/>
        </w:numPr>
        <w:autoSpaceDE w:val="0"/>
        <w:autoSpaceDN w:val="0"/>
        <w:adjustRightInd w:val="0"/>
        <w:jc w:val="both"/>
        <w:rPr>
          <w:sz w:val="22"/>
          <w:szCs w:val="22"/>
        </w:rPr>
      </w:pPr>
      <w:r w:rsidRPr="00C86F56">
        <w:rPr>
          <w:sz w:val="22"/>
          <w:szCs w:val="22"/>
        </w:rPr>
        <w:t>V § 6 ods. 2 v poznámke pod čiarou k odkazu 20 vložiť za slová „čl. 5“ slová „písm. a)“.</w:t>
      </w:r>
    </w:p>
    <w:p w:rsidR="00C86F56" w:rsidRPr="00C86F56" w:rsidRDefault="00C86F56" w:rsidP="00C86F56">
      <w:pPr>
        <w:jc w:val="both"/>
        <w:rPr>
          <w:sz w:val="22"/>
          <w:szCs w:val="22"/>
        </w:rPr>
      </w:pPr>
    </w:p>
    <w:p w:rsidR="00C86F56" w:rsidRPr="00C86F56" w:rsidRDefault="00C86F56" w:rsidP="00C86F56">
      <w:pPr>
        <w:ind w:left="2829"/>
        <w:jc w:val="both"/>
        <w:rPr>
          <w:sz w:val="22"/>
          <w:szCs w:val="22"/>
        </w:rPr>
      </w:pPr>
      <w:r w:rsidRPr="00C86F56">
        <w:rPr>
          <w:rStyle w:val="Zvraznenie"/>
          <w:i w:val="0"/>
          <w:sz w:val="22"/>
          <w:szCs w:val="22"/>
        </w:rPr>
        <w:t>Ide o legislatívno-technickú úpravu súvisiacu s konkretizáciou ustanovenia právne záväzného aktu Európskej únie, na ktoré sa odkazuje.</w:t>
      </w:r>
    </w:p>
    <w:p w:rsidR="00C86F56" w:rsidRPr="00C86F56" w:rsidRDefault="00C86F56" w:rsidP="00C86F56">
      <w:pPr>
        <w:jc w:val="both"/>
        <w:rPr>
          <w:sz w:val="22"/>
          <w:szCs w:val="22"/>
        </w:rPr>
      </w:pPr>
    </w:p>
    <w:p w:rsidR="00C86F56" w:rsidRPr="00C86F56" w:rsidRDefault="00C86F56" w:rsidP="00C86F56">
      <w:pPr>
        <w:numPr>
          <w:ilvl w:val="0"/>
          <w:numId w:val="1"/>
        </w:numPr>
        <w:autoSpaceDE w:val="0"/>
        <w:autoSpaceDN w:val="0"/>
        <w:adjustRightInd w:val="0"/>
        <w:jc w:val="both"/>
        <w:rPr>
          <w:sz w:val="22"/>
          <w:szCs w:val="22"/>
        </w:rPr>
      </w:pPr>
      <w:r w:rsidRPr="00C86F56">
        <w:rPr>
          <w:sz w:val="22"/>
          <w:szCs w:val="22"/>
        </w:rPr>
        <w:t>V § 6 ods. 7 sa prvá veta nahrádza slovami „Skúška podľa odseku 6 pozostáva z písomnej a ústnej časti. Do ústnej časti postupuje ten, kto dosiahne požadovaný výsledok v písomnej časti.“</w:t>
      </w:r>
    </w:p>
    <w:p w:rsidR="00C86F56" w:rsidRPr="00C86F56" w:rsidRDefault="00C86F56" w:rsidP="00C86F56">
      <w:pPr>
        <w:jc w:val="both"/>
        <w:rPr>
          <w:sz w:val="22"/>
          <w:szCs w:val="22"/>
        </w:rPr>
      </w:pPr>
    </w:p>
    <w:p w:rsidR="00C86F56" w:rsidRPr="00C86F56" w:rsidRDefault="00C86F56" w:rsidP="00C86F56">
      <w:pPr>
        <w:ind w:left="2832"/>
        <w:jc w:val="both"/>
        <w:rPr>
          <w:sz w:val="22"/>
          <w:szCs w:val="22"/>
        </w:rPr>
      </w:pPr>
      <w:r w:rsidRPr="00C86F56">
        <w:rPr>
          <w:sz w:val="22"/>
          <w:szCs w:val="22"/>
        </w:rPr>
        <w:t>Ide o legislatívnu pripomienku súvisiacu so spresnením znenia ustanovenia.</w:t>
      </w:r>
    </w:p>
    <w:p w:rsidR="00C86F56" w:rsidRPr="00C86F56" w:rsidRDefault="00C86F56" w:rsidP="00C86F56">
      <w:pPr>
        <w:jc w:val="both"/>
        <w:rPr>
          <w:sz w:val="22"/>
          <w:szCs w:val="22"/>
        </w:rPr>
      </w:pP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13 ods. 1 označenie odkazu 33 nahradiť odkazom 2. Poznámku pod čiarou k odkazu 33 vypustiť. V nadväznosti na vykonané zmeny upraviť číslovanie odkazov a poznámok pod čiarou.</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ind w:left="2832"/>
        <w:jc w:val="both"/>
        <w:rPr>
          <w:sz w:val="22"/>
          <w:szCs w:val="22"/>
        </w:rPr>
      </w:pPr>
      <w:r w:rsidRPr="00C86F56">
        <w:rPr>
          <w:rStyle w:val="Zvraznenie"/>
          <w:i w:val="0"/>
          <w:sz w:val="22"/>
          <w:szCs w:val="22"/>
        </w:rPr>
        <w:lastRenderedPageBreak/>
        <w:t>Ide o legislatívno-technickú úpravu súvisiacu s náležitým odkazovaním na právne záväzné akty Európskej únie.</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 xml:space="preserve">V § 13 ods. 4 znie: </w:t>
      </w:r>
    </w:p>
    <w:p w:rsidR="00C86F56" w:rsidRPr="00C86F56" w:rsidRDefault="00C86F56" w:rsidP="00C86F56">
      <w:pPr>
        <w:tabs>
          <w:tab w:val="left" w:pos="426"/>
        </w:tabs>
        <w:ind w:left="426"/>
        <w:jc w:val="both"/>
        <w:rPr>
          <w:sz w:val="22"/>
          <w:szCs w:val="22"/>
        </w:rPr>
      </w:pPr>
    </w:p>
    <w:p w:rsidR="00C86F56" w:rsidRPr="00C86F56" w:rsidRDefault="00C86F56" w:rsidP="00C86F56">
      <w:pPr>
        <w:tabs>
          <w:tab w:val="left" w:pos="426"/>
        </w:tabs>
        <w:ind w:left="426"/>
        <w:jc w:val="both"/>
        <w:rPr>
          <w:sz w:val="22"/>
          <w:szCs w:val="22"/>
        </w:rPr>
      </w:pPr>
      <w:r w:rsidRPr="00C86F56">
        <w:rPr>
          <w:sz w:val="22"/>
          <w:szCs w:val="22"/>
        </w:rPr>
        <w:t>„Cestujúci so zdravotným postihnutím so psom so špeciálnym výcvikom alebo cestujúci so zníženou pohyblivosťou majú právo na vyhradené miesto.“.</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jc w:val="both"/>
        <w:rPr>
          <w:sz w:val="22"/>
          <w:szCs w:val="22"/>
        </w:rPr>
      </w:pPr>
      <w:r w:rsidRPr="00C86F56">
        <w:rPr>
          <w:sz w:val="22"/>
          <w:szCs w:val="22"/>
        </w:rPr>
        <w:tab/>
      </w:r>
      <w:r w:rsidRPr="00C86F56">
        <w:rPr>
          <w:sz w:val="22"/>
          <w:szCs w:val="22"/>
        </w:rPr>
        <w:tab/>
      </w:r>
      <w:r w:rsidRPr="00C86F56">
        <w:rPr>
          <w:sz w:val="22"/>
          <w:szCs w:val="22"/>
        </w:rPr>
        <w:tab/>
      </w:r>
      <w:r w:rsidRPr="00C86F56">
        <w:rPr>
          <w:sz w:val="22"/>
          <w:szCs w:val="22"/>
        </w:rPr>
        <w:tab/>
      </w:r>
      <w:r w:rsidRPr="00C86F56">
        <w:rPr>
          <w:sz w:val="22"/>
          <w:szCs w:val="22"/>
        </w:rPr>
        <w:tab/>
        <w:t>Ide legislatívno-technickú pripomienku.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15 ods. 3 sa za slová „objednávateľ dopravných služieb“ vkladajú slová „(ďalej len „objednávateľ“)“.</w:t>
      </w:r>
    </w:p>
    <w:p w:rsidR="00C86F56" w:rsidRPr="00C86F56" w:rsidRDefault="00C86F56" w:rsidP="00C86F56">
      <w:pPr>
        <w:tabs>
          <w:tab w:val="left" w:pos="426"/>
        </w:tabs>
        <w:ind w:left="426"/>
        <w:jc w:val="both"/>
        <w:rPr>
          <w:sz w:val="22"/>
          <w:szCs w:val="22"/>
        </w:rPr>
      </w:pPr>
    </w:p>
    <w:p w:rsidR="00C86F56" w:rsidRPr="00C86F56" w:rsidRDefault="00C86F56" w:rsidP="00C86F56">
      <w:pPr>
        <w:tabs>
          <w:tab w:val="left" w:pos="426"/>
        </w:tabs>
        <w:ind w:left="2829"/>
        <w:jc w:val="both"/>
        <w:rPr>
          <w:sz w:val="22"/>
          <w:szCs w:val="22"/>
        </w:rPr>
      </w:pPr>
      <w:r w:rsidRPr="00C86F56">
        <w:rPr>
          <w:sz w:val="22"/>
          <w:szCs w:val="22"/>
        </w:rPr>
        <w:t xml:space="preserve">Ide o legislatívno-technickú pripomienku súvisiacu so zostručnením textu zavedením legislatívnej skratky. V nadväznosti na uvedené je potrebné túto pripomienku zohľadniť v použití skracovaného pojmu v § 15 ods. 3 a 4, § 19, § 20 ods. 1, 2, 4, § 21 ods. 2, 3, 4, 8, § 22 ods. 1, 3, 4, § 43 písm. d), § 44 písm. h), § 48 ods. 2 úvodnej vete, ods. 2 písm. b), d), ods. 3 písm. d). </w:t>
      </w:r>
    </w:p>
    <w:p w:rsidR="00C86F56" w:rsidRPr="00C86F56" w:rsidRDefault="00C86F56" w:rsidP="00C86F56">
      <w:pPr>
        <w:tabs>
          <w:tab w:val="left" w:pos="426"/>
        </w:tabs>
        <w:ind w:left="426"/>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21 ods. 2 sa slová „z hľadiska zabezpečenia“ nahrádza slovom „na zabezpečenie“.</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jc w:val="both"/>
        <w:rPr>
          <w:sz w:val="22"/>
          <w:szCs w:val="22"/>
        </w:rPr>
      </w:pPr>
      <w:r w:rsidRPr="00C86F56">
        <w:rPr>
          <w:sz w:val="22"/>
          <w:szCs w:val="22"/>
        </w:rPr>
        <w:tab/>
      </w:r>
      <w:r w:rsidRPr="00C86F56">
        <w:rPr>
          <w:sz w:val="22"/>
          <w:szCs w:val="22"/>
        </w:rPr>
        <w:tab/>
      </w:r>
      <w:r w:rsidRPr="00C86F56">
        <w:rPr>
          <w:sz w:val="22"/>
          <w:szCs w:val="22"/>
        </w:rPr>
        <w:tab/>
      </w:r>
      <w:r w:rsidRPr="00C86F56">
        <w:rPr>
          <w:sz w:val="22"/>
          <w:szCs w:val="22"/>
        </w:rPr>
        <w:tab/>
      </w:r>
      <w:r w:rsidRPr="00C86F56">
        <w:rPr>
          <w:sz w:val="22"/>
          <w:szCs w:val="22"/>
        </w:rPr>
        <w:tab/>
        <w:t>Ide o legislatívno-technickú úpravu.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21 ods. 6 písm. g) sa slová „lehotu platnosti“ nahrádzajú slovom „platnosť“.</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jc w:val="both"/>
        <w:rPr>
          <w:sz w:val="22"/>
          <w:szCs w:val="22"/>
        </w:rPr>
      </w:pPr>
      <w:r w:rsidRPr="00C86F56">
        <w:rPr>
          <w:sz w:val="22"/>
          <w:szCs w:val="22"/>
        </w:rPr>
        <w:tab/>
      </w:r>
      <w:r w:rsidRPr="00C86F56">
        <w:rPr>
          <w:sz w:val="22"/>
          <w:szCs w:val="22"/>
        </w:rPr>
        <w:tab/>
      </w:r>
      <w:r w:rsidRPr="00C86F56">
        <w:rPr>
          <w:sz w:val="22"/>
          <w:szCs w:val="22"/>
        </w:rPr>
        <w:tab/>
      </w:r>
      <w:r w:rsidRPr="00C86F56">
        <w:rPr>
          <w:sz w:val="22"/>
          <w:szCs w:val="22"/>
        </w:rPr>
        <w:tab/>
      </w:r>
      <w:r w:rsidRPr="00C86F56">
        <w:rPr>
          <w:sz w:val="22"/>
          <w:szCs w:val="22"/>
        </w:rPr>
        <w:tab/>
        <w:t>Ide o legislatívno-technickú úpravu.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22 ods. 6 sa za slovo „Ak“ vkladá slovo „sa“ a slová „nebolo dohodnuté“ sa nahrádzajú slovom „nedohodne“.</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jc w:val="both"/>
        <w:rPr>
          <w:sz w:val="22"/>
          <w:szCs w:val="22"/>
        </w:rPr>
      </w:pPr>
      <w:r w:rsidRPr="00C86F56">
        <w:rPr>
          <w:sz w:val="22"/>
          <w:szCs w:val="22"/>
        </w:rPr>
        <w:tab/>
      </w:r>
      <w:r w:rsidRPr="00C86F56">
        <w:rPr>
          <w:sz w:val="22"/>
          <w:szCs w:val="22"/>
        </w:rPr>
        <w:tab/>
      </w:r>
      <w:r w:rsidRPr="00C86F56">
        <w:rPr>
          <w:sz w:val="22"/>
          <w:szCs w:val="22"/>
        </w:rPr>
        <w:tab/>
      </w:r>
      <w:r w:rsidRPr="00C86F56">
        <w:rPr>
          <w:sz w:val="22"/>
          <w:szCs w:val="22"/>
        </w:rPr>
        <w:tab/>
      </w:r>
      <w:r w:rsidRPr="00C86F56">
        <w:rPr>
          <w:sz w:val="22"/>
          <w:szCs w:val="22"/>
        </w:rPr>
        <w:tab/>
        <w:t>Ide o legislatívno-technickú úpravu.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25 ods. 1 sa za slovo „objednávateľom“ vkladajú slová „príležitostnej dopravy“.</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ind w:left="2829"/>
        <w:jc w:val="both"/>
        <w:rPr>
          <w:sz w:val="22"/>
          <w:szCs w:val="22"/>
        </w:rPr>
      </w:pPr>
      <w:r w:rsidRPr="00C86F56">
        <w:rPr>
          <w:sz w:val="22"/>
          <w:szCs w:val="22"/>
        </w:rPr>
        <w:t>Ide o legislatívno-technickú pripomienku súvisiacu s pripomienkou k § 15 ods. 3, ktorou sa navrhuje zaviesť legislatívna skratka.</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25 ods. 5 v poznámke pod čiarou k odkazu 47 vložiť za slová „Mimoriadne vydanie Ú. v. EÚ, kap. 07/zv. 7“ čiarku a tieto slová: „Ú. v. ES L 321, 26.11.2002“.</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ind w:left="2829"/>
        <w:jc w:val="both"/>
        <w:rPr>
          <w:sz w:val="22"/>
          <w:szCs w:val="22"/>
        </w:rPr>
      </w:pPr>
      <w:r w:rsidRPr="00C86F56">
        <w:rPr>
          <w:rStyle w:val="Zvraznenie"/>
          <w:i w:val="0"/>
          <w:sz w:val="22"/>
          <w:szCs w:val="22"/>
        </w:rPr>
        <w:t>Ide o legislatívno-technickú úpravu súvisiacu so zaužívaným spôsobom uvádzania informácie o publikácii právne záväzných aktov Európskej únie v úradnom vestníku.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26 sa vypúšťa odsek 5, doterajší odsek 6 sa označuje ako odsek 5.</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ind w:left="2829"/>
        <w:jc w:val="both"/>
        <w:rPr>
          <w:sz w:val="22"/>
          <w:szCs w:val="22"/>
        </w:rPr>
      </w:pPr>
      <w:r w:rsidRPr="00C86F56">
        <w:rPr>
          <w:sz w:val="22"/>
          <w:szCs w:val="22"/>
        </w:rPr>
        <w:t xml:space="preserve">Ide o legislatívnu pripomienku, keďže uvedené ustanovenia má, vzhľadom k úprave obsiahnutej v Občianskom zákonníku, len </w:t>
      </w:r>
      <w:proofErr w:type="spellStart"/>
      <w:r w:rsidRPr="00C86F56">
        <w:rPr>
          <w:sz w:val="22"/>
          <w:szCs w:val="22"/>
        </w:rPr>
        <w:t>konštatačný</w:t>
      </w:r>
      <w:proofErr w:type="spellEnd"/>
      <w:r w:rsidRPr="00C86F56">
        <w:rPr>
          <w:sz w:val="22"/>
          <w:szCs w:val="22"/>
        </w:rPr>
        <w:t xml:space="preserve"> význam.</w:t>
      </w:r>
    </w:p>
    <w:p w:rsidR="00C86F56" w:rsidRPr="00C86F56" w:rsidRDefault="00C86F56" w:rsidP="00C86F56">
      <w:pPr>
        <w:tabs>
          <w:tab w:val="left" w:pos="426"/>
        </w:tabs>
        <w:ind w:left="2829"/>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27 ods. 9 sa slová „inú osobu“ nahrádzajú slovom „iného“.</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jc w:val="both"/>
        <w:rPr>
          <w:sz w:val="22"/>
          <w:szCs w:val="22"/>
        </w:rPr>
      </w:pPr>
      <w:r w:rsidRPr="00C86F56">
        <w:rPr>
          <w:sz w:val="22"/>
          <w:szCs w:val="22"/>
        </w:rPr>
        <w:tab/>
      </w:r>
      <w:r w:rsidRPr="00C86F56">
        <w:rPr>
          <w:sz w:val="22"/>
          <w:szCs w:val="22"/>
        </w:rPr>
        <w:tab/>
      </w:r>
      <w:r w:rsidRPr="00C86F56">
        <w:rPr>
          <w:sz w:val="22"/>
          <w:szCs w:val="22"/>
        </w:rPr>
        <w:tab/>
      </w:r>
      <w:r w:rsidRPr="00C86F56">
        <w:rPr>
          <w:sz w:val="22"/>
          <w:szCs w:val="22"/>
        </w:rPr>
        <w:tab/>
      </w:r>
      <w:r w:rsidRPr="00C86F56">
        <w:rPr>
          <w:sz w:val="22"/>
          <w:szCs w:val="22"/>
        </w:rPr>
        <w:tab/>
        <w:t>Ide o legislatívno-technickú úpravu.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lastRenderedPageBreak/>
        <w:t>V § 28 ods. 3 písm. a) sa pred slovo „odsúdený“ vkladá slovo „právoplatne“.</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jc w:val="both"/>
        <w:rPr>
          <w:sz w:val="22"/>
          <w:szCs w:val="22"/>
        </w:rPr>
      </w:pPr>
      <w:r w:rsidRPr="00C86F56">
        <w:rPr>
          <w:sz w:val="22"/>
          <w:szCs w:val="22"/>
        </w:rPr>
        <w:tab/>
      </w:r>
      <w:r w:rsidRPr="00C86F56">
        <w:rPr>
          <w:sz w:val="22"/>
          <w:szCs w:val="22"/>
        </w:rPr>
        <w:tab/>
      </w:r>
      <w:r w:rsidRPr="00C86F56">
        <w:rPr>
          <w:sz w:val="22"/>
          <w:szCs w:val="22"/>
        </w:rPr>
        <w:tab/>
      </w:r>
      <w:r w:rsidRPr="00C86F56">
        <w:rPr>
          <w:sz w:val="22"/>
          <w:szCs w:val="22"/>
        </w:rPr>
        <w:tab/>
      </w:r>
      <w:r w:rsidRPr="00C86F56">
        <w:rPr>
          <w:sz w:val="22"/>
          <w:szCs w:val="22"/>
        </w:rPr>
        <w:tab/>
        <w:t>Ide o legislatívno-technickú úpravu.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31 ods. 2 sa slová „dopravný správny orgán“ nahrádzajú slovom „ten“.</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jc w:val="both"/>
        <w:rPr>
          <w:sz w:val="22"/>
          <w:szCs w:val="22"/>
        </w:rPr>
      </w:pPr>
      <w:r w:rsidRPr="00C86F56">
        <w:rPr>
          <w:sz w:val="22"/>
          <w:szCs w:val="22"/>
        </w:rPr>
        <w:tab/>
      </w:r>
      <w:r w:rsidRPr="00C86F56">
        <w:rPr>
          <w:sz w:val="22"/>
          <w:szCs w:val="22"/>
        </w:rPr>
        <w:tab/>
      </w:r>
      <w:r w:rsidRPr="00C86F56">
        <w:rPr>
          <w:sz w:val="22"/>
          <w:szCs w:val="22"/>
        </w:rPr>
        <w:tab/>
      </w:r>
      <w:r w:rsidRPr="00C86F56">
        <w:rPr>
          <w:sz w:val="22"/>
          <w:szCs w:val="22"/>
        </w:rPr>
        <w:tab/>
      </w:r>
      <w:r w:rsidRPr="00C86F56">
        <w:rPr>
          <w:sz w:val="22"/>
          <w:szCs w:val="22"/>
        </w:rPr>
        <w:tab/>
        <w:t>Ide o legislatívno-technickú úpravu.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34 ods. 1 písm. a) sa slová „v rámci hraníc vojenského obvodu“ nahrádzajú slovami „vo vojenskom obvode“, slová „iného uzavretého priestoru“ sa nahrádzajú slovami „inom uzavretom priestore“.</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jc w:val="both"/>
        <w:rPr>
          <w:sz w:val="22"/>
          <w:szCs w:val="22"/>
        </w:rPr>
      </w:pPr>
      <w:r w:rsidRPr="00C86F56">
        <w:rPr>
          <w:sz w:val="22"/>
          <w:szCs w:val="22"/>
        </w:rPr>
        <w:tab/>
      </w:r>
      <w:r w:rsidRPr="00C86F56">
        <w:rPr>
          <w:sz w:val="22"/>
          <w:szCs w:val="22"/>
        </w:rPr>
        <w:tab/>
      </w:r>
      <w:r w:rsidRPr="00C86F56">
        <w:rPr>
          <w:sz w:val="22"/>
          <w:szCs w:val="22"/>
        </w:rPr>
        <w:tab/>
      </w:r>
      <w:r w:rsidRPr="00C86F56">
        <w:rPr>
          <w:sz w:val="22"/>
          <w:szCs w:val="22"/>
        </w:rPr>
        <w:tab/>
      </w:r>
      <w:r w:rsidRPr="00C86F56">
        <w:rPr>
          <w:sz w:val="22"/>
          <w:szCs w:val="22"/>
        </w:rPr>
        <w:tab/>
        <w:t>Ide o legislatívno-technickú úpravu.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35 ods. 4 písm. b) sa slová „dal k dispozícii“ nahrádzajú slovom „poskytol“.</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jc w:val="both"/>
        <w:rPr>
          <w:sz w:val="22"/>
          <w:szCs w:val="22"/>
        </w:rPr>
      </w:pPr>
      <w:r w:rsidRPr="00C86F56">
        <w:rPr>
          <w:sz w:val="22"/>
          <w:szCs w:val="22"/>
        </w:rPr>
        <w:tab/>
      </w:r>
      <w:r w:rsidRPr="00C86F56">
        <w:rPr>
          <w:sz w:val="22"/>
          <w:szCs w:val="22"/>
        </w:rPr>
        <w:tab/>
      </w:r>
      <w:r w:rsidRPr="00C86F56">
        <w:rPr>
          <w:sz w:val="22"/>
          <w:szCs w:val="22"/>
        </w:rPr>
        <w:tab/>
      </w:r>
      <w:r w:rsidRPr="00C86F56">
        <w:rPr>
          <w:sz w:val="22"/>
          <w:szCs w:val="22"/>
        </w:rPr>
        <w:tab/>
      </w:r>
      <w:r w:rsidRPr="00C86F56">
        <w:rPr>
          <w:sz w:val="22"/>
          <w:szCs w:val="22"/>
        </w:rPr>
        <w:tab/>
        <w:t>Ide o legislatívno-technickú úpravu.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35 ods. 4 písm. d) sa slovo „dátum“ nahrádzajú slovom „lehota“.</w:t>
      </w:r>
    </w:p>
    <w:p w:rsidR="00C86F56" w:rsidRPr="00C86F56" w:rsidRDefault="00C86F56" w:rsidP="00C86F56">
      <w:pPr>
        <w:pStyle w:val="Odsekzoznamu"/>
        <w:ind w:left="3540"/>
        <w:jc w:val="both"/>
        <w:rPr>
          <w:sz w:val="22"/>
          <w:szCs w:val="22"/>
        </w:rPr>
      </w:pPr>
    </w:p>
    <w:p w:rsidR="00C86F56" w:rsidRPr="00C86F56" w:rsidRDefault="00C86F56" w:rsidP="00C86F56">
      <w:pPr>
        <w:pStyle w:val="Odsekzoznamu"/>
        <w:ind w:left="2829"/>
        <w:jc w:val="both"/>
        <w:rPr>
          <w:sz w:val="22"/>
          <w:szCs w:val="22"/>
        </w:rPr>
      </w:pPr>
      <w:r w:rsidRPr="00C86F56">
        <w:rPr>
          <w:sz w:val="22"/>
          <w:szCs w:val="22"/>
        </w:rPr>
        <w:t>Ide o legislatívno-technickú úpravu, keďže uplynúť môže len lehota.</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41 ods. 1 písm. k) v poznámke pod čiarou k odkazu 54 vložiť za slová „podnikov cestnej dopravy“ slová „(2009/992/EÚ)“.</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ind w:left="2829"/>
        <w:jc w:val="both"/>
        <w:rPr>
          <w:sz w:val="22"/>
          <w:szCs w:val="22"/>
        </w:rPr>
      </w:pPr>
      <w:r w:rsidRPr="00C86F56">
        <w:rPr>
          <w:rStyle w:val="Zvraznenie"/>
          <w:i w:val="0"/>
          <w:sz w:val="22"/>
          <w:szCs w:val="22"/>
        </w:rPr>
        <w:t>Ide o legislatívno-technickú úpravu súvisiacu so zaužívaným spôsobom uvádzania právne záväzných aktov Európskej únie v poznámkach pod čiarou.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41 ods. 1 písm. l) sa vkladá slovo „jej“ pred slovo „predkladá, vypúšťajú sa slová „Európskej komisii“ za slovom „predkladá“ a v poznámke pod čiarou k odkazu 56 nahradiť spojku „a“ čiarkou, vložiť za slová „čl. 17“ slová „ods. 1 a 2“ a na konci pripojiť slová „ a čl. 28 ods. 1, 2 a 4 nariadenia (ES) č. 1073/2009“.</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ind w:left="2829"/>
        <w:jc w:val="both"/>
        <w:rPr>
          <w:sz w:val="22"/>
          <w:szCs w:val="22"/>
        </w:rPr>
      </w:pPr>
      <w:r w:rsidRPr="00C86F56">
        <w:rPr>
          <w:sz w:val="22"/>
          <w:szCs w:val="22"/>
        </w:rPr>
        <w:t>Ide o legislatívno-technickú úpravu</w:t>
      </w:r>
      <w:r w:rsidRPr="00C86F56">
        <w:rPr>
          <w:rStyle w:val="Zvraznenie"/>
          <w:i w:val="0"/>
          <w:sz w:val="22"/>
          <w:szCs w:val="22"/>
        </w:rPr>
        <w:t xml:space="preserve"> súvisiacu okrem iného s konkretizáciou ustanovenia právne záväzného aktu Európskej únie, na ktoré sa odkazuje.</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41 ods. 1 písm. q), § 42 písm. j), § 43 písm. b) a § 44 písm. b) sa vkladá slovo „iné“ pred slovo „správne“.</w:t>
      </w:r>
    </w:p>
    <w:p w:rsidR="00C86F56" w:rsidRPr="00C86F56" w:rsidRDefault="00C86F56" w:rsidP="00C86F56">
      <w:pPr>
        <w:tabs>
          <w:tab w:val="left" w:pos="426"/>
        </w:tabs>
        <w:ind w:left="426"/>
        <w:jc w:val="both"/>
        <w:rPr>
          <w:sz w:val="22"/>
          <w:szCs w:val="22"/>
        </w:rPr>
      </w:pPr>
    </w:p>
    <w:p w:rsidR="00C86F56" w:rsidRPr="00C86F56" w:rsidRDefault="00C86F56" w:rsidP="00C86F56">
      <w:pPr>
        <w:tabs>
          <w:tab w:val="left" w:pos="426"/>
        </w:tabs>
        <w:jc w:val="both"/>
        <w:rPr>
          <w:sz w:val="22"/>
          <w:szCs w:val="22"/>
        </w:rPr>
      </w:pPr>
      <w:r w:rsidRPr="00C86F56">
        <w:rPr>
          <w:sz w:val="22"/>
          <w:szCs w:val="22"/>
        </w:rPr>
        <w:tab/>
      </w:r>
      <w:r w:rsidRPr="00C86F56">
        <w:rPr>
          <w:sz w:val="22"/>
          <w:szCs w:val="22"/>
        </w:rPr>
        <w:tab/>
      </w:r>
      <w:r w:rsidRPr="00C86F56">
        <w:rPr>
          <w:sz w:val="22"/>
          <w:szCs w:val="22"/>
        </w:rPr>
        <w:tab/>
      </w:r>
      <w:r w:rsidRPr="00C86F56">
        <w:rPr>
          <w:sz w:val="22"/>
          <w:szCs w:val="22"/>
        </w:rPr>
        <w:tab/>
      </w:r>
      <w:r w:rsidRPr="00C86F56">
        <w:rPr>
          <w:sz w:val="22"/>
          <w:szCs w:val="22"/>
        </w:rPr>
        <w:tab/>
        <w:t>Ide o legislatívno-technickú úpravu.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42 písm. b) v poznámke pod čiarou k odkazu 60 nahradiť slová „Čl. 3 a 4“ slovami „Čl. 4 a12“ a slová „kapitola II“ nahradiť slovami „čl. 4, 21 a 22“.</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ind w:left="2832"/>
        <w:jc w:val="both"/>
        <w:rPr>
          <w:sz w:val="22"/>
          <w:szCs w:val="22"/>
        </w:rPr>
      </w:pPr>
      <w:r w:rsidRPr="00C86F56">
        <w:rPr>
          <w:rStyle w:val="Zvraznenie"/>
          <w:i w:val="0"/>
          <w:sz w:val="22"/>
          <w:szCs w:val="22"/>
        </w:rPr>
        <w:t>Ide o legislatívno-technickú úpravu súvisiacu s </w:t>
      </w:r>
      <w:proofErr w:type="spellStart"/>
      <w:r w:rsidRPr="00C86F56">
        <w:rPr>
          <w:rStyle w:val="Zvraznenie"/>
          <w:i w:val="0"/>
          <w:sz w:val="22"/>
          <w:szCs w:val="22"/>
        </w:rPr>
        <w:t>upresnením</w:t>
      </w:r>
      <w:proofErr w:type="spellEnd"/>
      <w:r w:rsidRPr="00C86F56">
        <w:rPr>
          <w:rStyle w:val="Zvraznenie"/>
          <w:i w:val="0"/>
          <w:sz w:val="22"/>
          <w:szCs w:val="22"/>
        </w:rPr>
        <w:t xml:space="preserve"> a konkretizáciou ustanovenia právne záväzného aktu Európskej únie, na ktoré sa odkazuje.</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42 písm. k) sa slovo „rozhodovala“ nahrádza slovom „rozhoduje“.</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jc w:val="both"/>
        <w:rPr>
          <w:sz w:val="22"/>
          <w:szCs w:val="22"/>
        </w:rPr>
      </w:pPr>
      <w:r w:rsidRPr="00C86F56">
        <w:rPr>
          <w:sz w:val="22"/>
          <w:szCs w:val="22"/>
        </w:rPr>
        <w:tab/>
      </w:r>
      <w:r w:rsidRPr="00C86F56">
        <w:rPr>
          <w:sz w:val="22"/>
          <w:szCs w:val="22"/>
        </w:rPr>
        <w:tab/>
      </w:r>
      <w:r w:rsidRPr="00C86F56">
        <w:rPr>
          <w:sz w:val="22"/>
          <w:szCs w:val="22"/>
        </w:rPr>
        <w:tab/>
      </w:r>
      <w:r w:rsidRPr="00C86F56">
        <w:rPr>
          <w:sz w:val="22"/>
          <w:szCs w:val="22"/>
        </w:rPr>
        <w:tab/>
      </w:r>
      <w:r w:rsidRPr="00C86F56">
        <w:rPr>
          <w:sz w:val="22"/>
          <w:szCs w:val="22"/>
        </w:rPr>
        <w:tab/>
        <w:t>Ide o legislatívno-technickú úpravu.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§49 odsek 1 písm. f) sa pred slovo „hlukom“ vkladá slovo „neprimeraným“.</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ind w:left="2832"/>
        <w:jc w:val="both"/>
        <w:rPr>
          <w:sz w:val="22"/>
          <w:szCs w:val="22"/>
        </w:rPr>
      </w:pPr>
      <w:r w:rsidRPr="00C86F56">
        <w:rPr>
          <w:sz w:val="22"/>
          <w:szCs w:val="22"/>
        </w:rPr>
        <w:t>Ide o pripomienku smerujúci k spresneniu skutkovej podstaty, keďže otázka hluku ako aj zápachu závisí od množstva faktorov, pokiaľ ide o hluk máme na mysli napríklad cestovanie v rôznych  častiach dňa. Pokiaľ ide o zápach máme na mysli najmä cestovanie v letných mesiacoch.</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50 ods. 2 označenie odkazu 66 nahradiť odkazom 15. Poznámku pod čiarou k odkazu 66 vypustiť. V nadväznosti na vykonané zmeny upraviť číslovanie odkazov a poznámok pod čiarou.</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ind w:left="2829"/>
        <w:jc w:val="both"/>
        <w:rPr>
          <w:sz w:val="22"/>
          <w:szCs w:val="22"/>
        </w:rPr>
      </w:pPr>
      <w:r w:rsidRPr="00C86F56">
        <w:rPr>
          <w:rStyle w:val="Zvraznenie"/>
          <w:i w:val="0"/>
          <w:sz w:val="22"/>
          <w:szCs w:val="22"/>
        </w:rPr>
        <w:t>Ide o legislatívno-technickú úpravu súvisiacu s náležitým odkazovaním na právne záväzné akty Európskej únie.</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52 ods. 1 písm. d) sa slová „na dátum“ nahrádzajú slovami „ku dňu“.</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jc w:val="both"/>
        <w:rPr>
          <w:sz w:val="22"/>
          <w:szCs w:val="22"/>
        </w:rPr>
      </w:pPr>
      <w:r w:rsidRPr="00C86F56">
        <w:rPr>
          <w:sz w:val="22"/>
          <w:szCs w:val="22"/>
        </w:rPr>
        <w:tab/>
      </w:r>
      <w:r w:rsidRPr="00C86F56">
        <w:rPr>
          <w:sz w:val="22"/>
          <w:szCs w:val="22"/>
        </w:rPr>
        <w:tab/>
      </w:r>
      <w:r w:rsidRPr="00C86F56">
        <w:rPr>
          <w:sz w:val="22"/>
          <w:szCs w:val="22"/>
        </w:rPr>
        <w:tab/>
      </w:r>
      <w:r w:rsidRPr="00C86F56">
        <w:rPr>
          <w:sz w:val="22"/>
          <w:szCs w:val="22"/>
        </w:rPr>
        <w:tab/>
      </w:r>
      <w:r w:rsidRPr="00C86F56">
        <w:rPr>
          <w:sz w:val="22"/>
          <w:szCs w:val="22"/>
        </w:rPr>
        <w:tab/>
        <w:t>Ide o legislatívno-technickú úpravu.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53 ods. 1 písm. b) sa za slovo „dátum“ vkladá slovo „udelenia“.</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jc w:val="both"/>
        <w:rPr>
          <w:sz w:val="22"/>
          <w:szCs w:val="22"/>
        </w:rPr>
      </w:pPr>
      <w:r w:rsidRPr="00C86F56">
        <w:rPr>
          <w:sz w:val="22"/>
          <w:szCs w:val="22"/>
        </w:rPr>
        <w:tab/>
      </w:r>
      <w:r w:rsidRPr="00C86F56">
        <w:rPr>
          <w:sz w:val="22"/>
          <w:szCs w:val="22"/>
        </w:rPr>
        <w:tab/>
      </w:r>
      <w:r w:rsidRPr="00C86F56">
        <w:rPr>
          <w:sz w:val="22"/>
          <w:szCs w:val="22"/>
        </w:rPr>
        <w:tab/>
      </w:r>
      <w:r w:rsidRPr="00C86F56">
        <w:rPr>
          <w:sz w:val="22"/>
          <w:szCs w:val="22"/>
        </w:rPr>
        <w:tab/>
      </w:r>
      <w:r w:rsidRPr="00C86F56">
        <w:rPr>
          <w:sz w:val="22"/>
          <w:szCs w:val="22"/>
        </w:rPr>
        <w:tab/>
        <w:t>Ide o legislatívno-technickú úpravu.</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56 ods. 1 sa slová „sa od 4. decembra 2013 nepovažujú za povolenia prevádzkovať vnútroštátnu cestnú dopravu“ nahrádzajú slovami „strácajú platnosť najneskôr 3. decembra 2013.“.</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ind w:left="2829"/>
        <w:jc w:val="both"/>
        <w:rPr>
          <w:sz w:val="22"/>
          <w:szCs w:val="22"/>
        </w:rPr>
      </w:pPr>
      <w:bookmarkStart w:id="0" w:name="_GoBack"/>
      <w:bookmarkEnd w:id="0"/>
      <w:r w:rsidRPr="00C86F56">
        <w:rPr>
          <w:sz w:val="22"/>
          <w:szCs w:val="22"/>
        </w:rPr>
        <w:t>Ide o legislatívno-technickú úpravu súvisiacu so zjednodušením formulácie prechodného ustanovenia.</w:t>
      </w:r>
    </w:p>
    <w:p w:rsidR="00C86F56" w:rsidRPr="00C86F56" w:rsidRDefault="00C86F56" w:rsidP="00C86F56">
      <w:pPr>
        <w:tabs>
          <w:tab w:val="left" w:pos="426"/>
        </w:tabs>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V § 56 ods. 9 sa slovo „do“ nahrádza slovom „od“.</w:t>
      </w:r>
    </w:p>
    <w:p w:rsidR="00C86F56" w:rsidRPr="00C86F56" w:rsidRDefault="00C86F56" w:rsidP="00C86F56">
      <w:pPr>
        <w:tabs>
          <w:tab w:val="left" w:pos="426"/>
        </w:tabs>
        <w:jc w:val="both"/>
        <w:rPr>
          <w:sz w:val="22"/>
          <w:szCs w:val="22"/>
        </w:rPr>
      </w:pPr>
    </w:p>
    <w:p w:rsidR="00C86F56" w:rsidRPr="00C86F56" w:rsidRDefault="00C86F56" w:rsidP="00C86F56">
      <w:pPr>
        <w:tabs>
          <w:tab w:val="left" w:pos="426"/>
        </w:tabs>
        <w:ind w:left="2829"/>
        <w:jc w:val="both"/>
        <w:rPr>
          <w:sz w:val="22"/>
          <w:szCs w:val="22"/>
        </w:rPr>
      </w:pPr>
      <w:r w:rsidRPr="00C86F56">
        <w:rPr>
          <w:sz w:val="22"/>
          <w:szCs w:val="22"/>
        </w:rPr>
        <w:t>Ide o legislatívnu úpravu, keďže z predkladateľom navrhovaného znenia možno dospieť aj k takému záveru, že taxametre umožňujúce potvrdenie o zaplatení cestovného majú byť v taxíkoch do 1. januára 2014 a po 1. januári môžu, ale nemusia byť. Z dôvodovej správy vyplýva, že predkladateľ chce zaviesť povinnosť takýchto taxametrom najneskôr od 1. januára 2014, preto sme toho názoru, že má byť použité slovo „od“, aby sa predišlo možnosti vzniku rozdielnej interpretácie, ktorú nemožno preklenúť dôvodovou správou, keďže tá nie je právne záväzným výkladom zákona. Uvedené znenie je potenciálnym zdrojom súdnych sporov v rámci správneho súdnictva.</w:t>
      </w:r>
    </w:p>
    <w:p w:rsidR="00C86F56" w:rsidRPr="00C86F56" w:rsidRDefault="00C86F56" w:rsidP="00C86F56">
      <w:pPr>
        <w:tabs>
          <w:tab w:val="left" w:pos="426"/>
        </w:tabs>
        <w:ind w:left="2832"/>
        <w:jc w:val="both"/>
        <w:rPr>
          <w:sz w:val="22"/>
          <w:szCs w:val="22"/>
        </w:rPr>
      </w:pPr>
    </w:p>
    <w:p w:rsidR="00C86F56" w:rsidRPr="00C86F56" w:rsidRDefault="00C86F56" w:rsidP="00C86F56">
      <w:pPr>
        <w:numPr>
          <w:ilvl w:val="0"/>
          <w:numId w:val="1"/>
        </w:numPr>
        <w:tabs>
          <w:tab w:val="left" w:pos="426"/>
        </w:tabs>
        <w:autoSpaceDE w:val="0"/>
        <w:autoSpaceDN w:val="0"/>
        <w:adjustRightInd w:val="0"/>
        <w:ind w:left="426" w:hanging="426"/>
        <w:jc w:val="both"/>
        <w:rPr>
          <w:sz w:val="22"/>
          <w:szCs w:val="22"/>
        </w:rPr>
      </w:pPr>
      <w:r w:rsidRPr="00C86F56">
        <w:rPr>
          <w:sz w:val="22"/>
          <w:szCs w:val="22"/>
        </w:rPr>
        <w:t>K Prílohe</w:t>
      </w:r>
    </w:p>
    <w:p w:rsidR="00C86F56" w:rsidRPr="00C86F56" w:rsidRDefault="00C86F56" w:rsidP="00C86F56">
      <w:pPr>
        <w:ind w:firstLine="426"/>
        <w:jc w:val="both"/>
        <w:rPr>
          <w:sz w:val="22"/>
          <w:szCs w:val="22"/>
        </w:rPr>
      </w:pPr>
      <w:r w:rsidRPr="00C86F56">
        <w:rPr>
          <w:sz w:val="22"/>
          <w:szCs w:val="22"/>
        </w:rPr>
        <w:t xml:space="preserve">Znenie prílohy nahradiť takto: </w:t>
      </w:r>
    </w:p>
    <w:p w:rsidR="00C86F56" w:rsidRPr="00C86F56" w:rsidRDefault="00C86F56" w:rsidP="00C86F56">
      <w:pPr>
        <w:ind w:left="426"/>
        <w:jc w:val="both"/>
        <w:rPr>
          <w:sz w:val="22"/>
          <w:szCs w:val="22"/>
        </w:rPr>
      </w:pPr>
      <w:r w:rsidRPr="00C86F56">
        <w:rPr>
          <w:sz w:val="22"/>
          <w:szCs w:val="22"/>
        </w:rPr>
        <w:t>„1. Smernica Rady 95/50/ES zo 6. Októbra 1996 o jednotných postupoch kontroly cestnej prepravy nebezpečného tovaru (Mimoriadne vydanie Ú. v. EÚ, kap. 07/zv. 02, Ú. v. ES L 249, 17.10.1995) v znení smernice Európskeho parlamentu a Rady 2001/26/EHS (Mimoriadne vydanie Ú. v. EÚ, kap. 07/zv. 05, Ú. v. ES L 168, 23.6.2001), smernice Komisie 2004/112/ES (Ú. v. EÚ L 367, 14.12.2004) a smernice Európskeho parlamentu a Rady 2008/54/ES (Ú. v. EÚ  L 162, 21.6.2008).</w:t>
      </w:r>
    </w:p>
    <w:p w:rsidR="00C86F56" w:rsidRPr="00C86F56" w:rsidRDefault="00C86F56" w:rsidP="00C86F56">
      <w:pPr>
        <w:ind w:left="426" w:right="-28"/>
        <w:jc w:val="both"/>
        <w:rPr>
          <w:sz w:val="22"/>
          <w:szCs w:val="22"/>
        </w:rPr>
      </w:pPr>
    </w:p>
    <w:p w:rsidR="00C86F56" w:rsidRPr="00C86F56" w:rsidRDefault="00C86F56" w:rsidP="00C86F56">
      <w:pPr>
        <w:ind w:left="426" w:right="-28"/>
        <w:jc w:val="both"/>
        <w:rPr>
          <w:sz w:val="22"/>
          <w:szCs w:val="22"/>
        </w:rPr>
      </w:pPr>
      <w:r w:rsidRPr="00C86F56">
        <w:rPr>
          <w:sz w:val="22"/>
          <w:szCs w:val="22"/>
        </w:rPr>
        <w:t>2. Smernica Európskeho parlamentu a Rady 2006/1/ES z 18. januára 2006 o používaní vozidiel prenajatých bez vodičov na cestnú prepravu tovaru (kodifikované znenie) (Ú. v. EÚ L 33, 4.2.2006).</w:t>
      </w:r>
    </w:p>
    <w:p w:rsidR="00C86F56" w:rsidRPr="00C86F56" w:rsidRDefault="00C86F56" w:rsidP="00C86F56">
      <w:pPr>
        <w:pStyle w:val="ListParagraph1"/>
        <w:ind w:left="426" w:right="-28"/>
        <w:jc w:val="both"/>
        <w:rPr>
          <w:sz w:val="22"/>
          <w:szCs w:val="22"/>
        </w:rPr>
      </w:pPr>
    </w:p>
    <w:p w:rsidR="00C86F56" w:rsidRPr="00C86F56" w:rsidRDefault="00C86F56" w:rsidP="00C86F56">
      <w:pPr>
        <w:pStyle w:val="Odsekzoznamu"/>
        <w:numPr>
          <w:ilvl w:val="0"/>
          <w:numId w:val="2"/>
        </w:numPr>
        <w:ind w:left="426" w:right="-28" w:firstLine="0"/>
        <w:jc w:val="both"/>
        <w:rPr>
          <w:sz w:val="22"/>
          <w:szCs w:val="22"/>
        </w:rPr>
      </w:pPr>
      <w:r w:rsidRPr="00C86F56">
        <w:rPr>
          <w:sz w:val="22"/>
          <w:szCs w:val="22"/>
        </w:rPr>
        <w:lastRenderedPageBreak/>
        <w:t>Smernica Európskeho parlamentu a Rady 2008/68/ES z 24. septembra 2008 o vnútrozemskej preprave nebezpečného tovaru (Ú. v. EÚ L 260, 30.9.2008) v znení rozhodnutia Komisie 2009/240/ES (Ú. v. EÚ L 71, 17.3.2009), rozhodnutia Komisie 2010/187/EÚ (Ú. v. EÚ L 83,  30.3.2010), smernice Komisie 2010/61/EÚ (Ú. v. EÚ L 233, 3.9.2010) a rozhodnutia Komisie 2011/26/EÚ (Ú. v. EÚ L 13, 18.1.2011).</w:t>
      </w:r>
    </w:p>
    <w:p w:rsidR="00C86F56" w:rsidRPr="00C86F56" w:rsidRDefault="00C86F56" w:rsidP="00C86F56">
      <w:pPr>
        <w:ind w:left="426" w:right="-28"/>
        <w:jc w:val="both"/>
        <w:rPr>
          <w:sz w:val="22"/>
          <w:szCs w:val="22"/>
        </w:rPr>
      </w:pPr>
    </w:p>
    <w:p w:rsidR="00C86F56" w:rsidRPr="00C86F56" w:rsidRDefault="00C86F56" w:rsidP="00C86F56">
      <w:pPr>
        <w:pStyle w:val="Odsekzoznamu"/>
        <w:numPr>
          <w:ilvl w:val="0"/>
          <w:numId w:val="2"/>
        </w:numPr>
        <w:ind w:left="426" w:right="-28" w:firstLine="0"/>
        <w:jc w:val="both"/>
        <w:rPr>
          <w:sz w:val="22"/>
          <w:szCs w:val="22"/>
        </w:rPr>
      </w:pPr>
      <w:r w:rsidRPr="00C86F56">
        <w:rPr>
          <w:sz w:val="22"/>
          <w:szCs w:val="22"/>
        </w:rPr>
        <w:t>Smernica  Európskeho parlamentu a Rady 2009/33/ES z 23. apríla 2009 o podpore ekologických a energeticky úsporných vozidiel cestnej dopravy (Ú. v. EÚ L  120, 15.5.2009).“</w:t>
      </w:r>
    </w:p>
    <w:p w:rsidR="00C86F56" w:rsidRPr="00C86F56" w:rsidRDefault="00C86F56" w:rsidP="00C86F56">
      <w:pPr>
        <w:pStyle w:val="Odsekzoznamu"/>
        <w:ind w:left="4253"/>
        <w:jc w:val="both"/>
        <w:rPr>
          <w:rStyle w:val="Zvraznenie"/>
          <w:i w:val="0"/>
          <w:sz w:val="22"/>
          <w:szCs w:val="22"/>
        </w:rPr>
      </w:pPr>
    </w:p>
    <w:p w:rsidR="00C86F56" w:rsidRPr="00C86F56" w:rsidRDefault="00C86F56" w:rsidP="00C86F56">
      <w:pPr>
        <w:tabs>
          <w:tab w:val="left" w:pos="0"/>
        </w:tabs>
        <w:ind w:left="2832"/>
        <w:jc w:val="both"/>
        <w:rPr>
          <w:sz w:val="22"/>
          <w:szCs w:val="22"/>
        </w:rPr>
      </w:pPr>
      <w:r w:rsidRPr="00C86F56">
        <w:rPr>
          <w:rStyle w:val="Zvraznenie"/>
          <w:i w:val="0"/>
          <w:sz w:val="22"/>
          <w:szCs w:val="22"/>
        </w:rPr>
        <w:t>Ide o legislatívno-technickú úpravu súvisiacu so zaužívaným uvádzaním právne záväzných aktov Európskej únie v transpozičnej prílohe.</w:t>
      </w:r>
    </w:p>
    <w:p w:rsidR="00C86F56" w:rsidRPr="00C86F56" w:rsidRDefault="00C86F56" w:rsidP="00C86F56">
      <w:pPr>
        <w:rPr>
          <w:sz w:val="22"/>
          <w:szCs w:val="22"/>
        </w:rPr>
      </w:pPr>
    </w:p>
    <w:sectPr w:rsidR="00C86F56" w:rsidRPr="00C86F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D75FB"/>
    <w:multiLevelType w:val="hybridMultilevel"/>
    <w:tmpl w:val="21F87184"/>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
    <w:nsid w:val="61374348"/>
    <w:multiLevelType w:val="hybridMultilevel"/>
    <w:tmpl w:val="A746945E"/>
    <w:lvl w:ilvl="0" w:tplc="C6E83730">
      <w:start w:val="3"/>
      <w:numFmt w:val="decimal"/>
      <w:lvlText w:val="%1."/>
      <w:lvlJc w:val="left"/>
      <w:pPr>
        <w:ind w:left="1004" w:hanging="360"/>
      </w:pPr>
      <w:rPr>
        <w:rFonts w:cs="Times New Roman" w:hint="default"/>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96"/>
    <w:rsid w:val="000F5135"/>
    <w:rsid w:val="0037298F"/>
    <w:rsid w:val="006D0174"/>
    <w:rsid w:val="008D4947"/>
    <w:rsid w:val="00982996"/>
    <w:rsid w:val="00BA34D3"/>
    <w:rsid w:val="00C86F56"/>
    <w:rsid w:val="00F153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86F56"/>
    <w:rPr>
      <w:rFonts w:eastAsia="Calibri"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C86F56"/>
    <w:pPr>
      <w:spacing w:after="120"/>
    </w:pPr>
    <w:rPr>
      <w:rFonts w:eastAsia="Times New Roman"/>
    </w:rPr>
  </w:style>
  <w:style w:type="character" w:customStyle="1" w:styleId="ZkladntextChar">
    <w:name w:val="Základný text Char"/>
    <w:basedOn w:val="Predvolenpsmoodseku"/>
    <w:link w:val="Zkladntext"/>
    <w:uiPriority w:val="99"/>
    <w:semiHidden/>
    <w:rsid w:val="00C86F56"/>
    <w:rPr>
      <w:rFonts w:eastAsia="Times New Roman" w:cs="Times New Roman"/>
      <w:szCs w:val="24"/>
      <w:lang w:eastAsia="sk-SK"/>
    </w:rPr>
  </w:style>
  <w:style w:type="paragraph" w:styleId="Odsekzoznamu">
    <w:name w:val="List Paragraph"/>
    <w:basedOn w:val="Normlny"/>
    <w:uiPriority w:val="99"/>
    <w:qFormat/>
    <w:rsid w:val="00C86F56"/>
    <w:pPr>
      <w:ind w:left="720"/>
      <w:contextualSpacing/>
    </w:pPr>
    <w:rPr>
      <w:rFonts w:eastAsia="Times New Roman"/>
      <w:sz w:val="28"/>
      <w:szCs w:val="20"/>
    </w:rPr>
  </w:style>
  <w:style w:type="character" w:styleId="Zvraznenie">
    <w:name w:val="Emphasis"/>
    <w:basedOn w:val="Predvolenpsmoodseku"/>
    <w:uiPriority w:val="99"/>
    <w:qFormat/>
    <w:rsid w:val="00C86F56"/>
    <w:rPr>
      <w:rFonts w:cs="Times New Roman"/>
      <w:i/>
      <w:iCs/>
    </w:rPr>
  </w:style>
  <w:style w:type="paragraph" w:customStyle="1" w:styleId="ListParagraph1">
    <w:name w:val="List Paragraph1"/>
    <w:basedOn w:val="Normlny"/>
    <w:uiPriority w:val="99"/>
    <w:rsid w:val="00C86F56"/>
    <w:pPr>
      <w:ind w:left="708" w:firstLine="284"/>
    </w:pPr>
    <w:rPr>
      <w:rFonts w:eastAsia="Times New Roman"/>
      <w:lang w:eastAsia="en-US"/>
    </w:rPr>
  </w:style>
  <w:style w:type="paragraph" w:styleId="Textbubliny">
    <w:name w:val="Balloon Text"/>
    <w:basedOn w:val="Normlny"/>
    <w:link w:val="TextbublinyChar"/>
    <w:uiPriority w:val="99"/>
    <w:semiHidden/>
    <w:unhideWhenUsed/>
    <w:rsid w:val="00C86F56"/>
    <w:rPr>
      <w:rFonts w:ascii="Tahoma" w:hAnsi="Tahoma" w:cs="Tahoma"/>
      <w:sz w:val="16"/>
      <w:szCs w:val="16"/>
    </w:rPr>
  </w:style>
  <w:style w:type="character" w:customStyle="1" w:styleId="TextbublinyChar">
    <w:name w:val="Text bubliny Char"/>
    <w:basedOn w:val="Predvolenpsmoodseku"/>
    <w:link w:val="Textbubliny"/>
    <w:uiPriority w:val="99"/>
    <w:semiHidden/>
    <w:rsid w:val="00C86F56"/>
    <w:rPr>
      <w:rFonts w:ascii="Tahoma" w:eastAsia="Calibri"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86F56"/>
    <w:rPr>
      <w:rFonts w:eastAsia="Calibri"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semiHidden/>
    <w:unhideWhenUsed/>
    <w:rsid w:val="00C86F56"/>
    <w:pPr>
      <w:spacing w:after="120"/>
    </w:pPr>
    <w:rPr>
      <w:rFonts w:eastAsia="Times New Roman"/>
    </w:rPr>
  </w:style>
  <w:style w:type="character" w:customStyle="1" w:styleId="ZkladntextChar">
    <w:name w:val="Základný text Char"/>
    <w:basedOn w:val="Predvolenpsmoodseku"/>
    <w:link w:val="Zkladntext"/>
    <w:uiPriority w:val="99"/>
    <w:semiHidden/>
    <w:rsid w:val="00C86F56"/>
    <w:rPr>
      <w:rFonts w:eastAsia="Times New Roman" w:cs="Times New Roman"/>
      <w:szCs w:val="24"/>
      <w:lang w:eastAsia="sk-SK"/>
    </w:rPr>
  </w:style>
  <w:style w:type="paragraph" w:styleId="Odsekzoznamu">
    <w:name w:val="List Paragraph"/>
    <w:basedOn w:val="Normlny"/>
    <w:uiPriority w:val="99"/>
    <w:qFormat/>
    <w:rsid w:val="00C86F56"/>
    <w:pPr>
      <w:ind w:left="720"/>
      <w:contextualSpacing/>
    </w:pPr>
    <w:rPr>
      <w:rFonts w:eastAsia="Times New Roman"/>
      <w:sz w:val="28"/>
      <w:szCs w:val="20"/>
    </w:rPr>
  </w:style>
  <w:style w:type="character" w:styleId="Zvraznenie">
    <w:name w:val="Emphasis"/>
    <w:basedOn w:val="Predvolenpsmoodseku"/>
    <w:uiPriority w:val="99"/>
    <w:qFormat/>
    <w:rsid w:val="00C86F56"/>
    <w:rPr>
      <w:rFonts w:cs="Times New Roman"/>
      <w:i/>
      <w:iCs/>
    </w:rPr>
  </w:style>
  <w:style w:type="paragraph" w:customStyle="1" w:styleId="ListParagraph1">
    <w:name w:val="List Paragraph1"/>
    <w:basedOn w:val="Normlny"/>
    <w:uiPriority w:val="99"/>
    <w:rsid w:val="00C86F56"/>
    <w:pPr>
      <w:ind w:left="708" w:firstLine="284"/>
    </w:pPr>
    <w:rPr>
      <w:rFonts w:eastAsia="Times New Roman"/>
      <w:lang w:eastAsia="en-US"/>
    </w:rPr>
  </w:style>
  <w:style w:type="paragraph" w:styleId="Textbubliny">
    <w:name w:val="Balloon Text"/>
    <w:basedOn w:val="Normlny"/>
    <w:link w:val="TextbublinyChar"/>
    <w:uiPriority w:val="99"/>
    <w:semiHidden/>
    <w:unhideWhenUsed/>
    <w:rsid w:val="00C86F56"/>
    <w:rPr>
      <w:rFonts w:ascii="Tahoma" w:hAnsi="Tahoma" w:cs="Tahoma"/>
      <w:sz w:val="16"/>
      <w:szCs w:val="16"/>
    </w:rPr>
  </w:style>
  <w:style w:type="character" w:customStyle="1" w:styleId="TextbublinyChar">
    <w:name w:val="Text bubliny Char"/>
    <w:basedOn w:val="Predvolenpsmoodseku"/>
    <w:link w:val="Textbubliny"/>
    <w:uiPriority w:val="99"/>
    <w:semiHidden/>
    <w:rsid w:val="00C86F56"/>
    <w:rPr>
      <w:rFonts w:ascii="Tahoma" w:eastAsia="Calibri"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13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1623</Words>
  <Characters>9257</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7</cp:revision>
  <cp:lastPrinted>2012-01-26T11:36:00Z</cp:lastPrinted>
  <dcterms:created xsi:type="dcterms:W3CDTF">2012-01-11T13:37:00Z</dcterms:created>
  <dcterms:modified xsi:type="dcterms:W3CDTF">2012-01-26T11:36:00Z</dcterms:modified>
</cp:coreProperties>
</file>