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272FA8">
        <w:t>34</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8B619A">
        <w:t>3645</w:t>
      </w:r>
      <w:r w:rsidRPr="00053FB9" w:rsidR="003371B9">
        <w:t>/</w:t>
      </w:r>
      <w:r w:rsidR="00053FB9">
        <w:t>201</w:t>
      </w:r>
      <w:r w:rsidR="00BC3578">
        <w:t>1</w:t>
      </w:r>
    </w:p>
    <w:p w:rsidR="0004001B" w:rsidP="00067F0B">
      <w:pPr>
        <w:ind w:left="3540" w:firstLine="708"/>
        <w:rPr>
          <w:b/>
        </w:rPr>
      </w:pPr>
    </w:p>
    <w:p w:rsidR="00A45E0F" w:rsidP="00067F0B">
      <w:pPr>
        <w:ind w:left="3540" w:firstLine="708"/>
        <w:rPr>
          <w:b/>
        </w:rPr>
      </w:pPr>
      <w:r w:rsidR="001D6BE4">
        <w:rPr>
          <w:b/>
        </w:rPr>
        <w:t xml:space="preserve">          </w:t>
      </w:r>
      <w:r w:rsidR="000B19F4">
        <w:rPr>
          <w:b/>
        </w:rPr>
        <w:t xml:space="preserve"> </w:t>
      </w:r>
      <w:r w:rsidR="00E54D4F">
        <w:rPr>
          <w:b/>
        </w:rPr>
        <w:t xml:space="preserve">  </w:t>
      </w:r>
    </w:p>
    <w:p w:rsidR="008B619A" w:rsidP="00067F0B">
      <w:pPr>
        <w:ind w:left="3540" w:firstLine="708"/>
        <w:rPr>
          <w:b/>
        </w:rPr>
      </w:pPr>
      <w:r w:rsidR="005A0187">
        <w:rPr>
          <w:b/>
        </w:rPr>
        <w:t xml:space="preserve">        287</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w:t>
      </w:r>
      <w:r>
        <w:rPr>
          <w:b/>
        </w:rPr>
        <w:t xml:space="preserv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15</w:t>
      </w:r>
      <w:r w:rsidR="00C72FBD">
        <w:rPr>
          <w:b/>
        </w:rPr>
        <w:t xml:space="preserve">. </w:t>
      </w:r>
      <w:r w:rsidR="00272FA8">
        <w:rPr>
          <w:b/>
        </w:rPr>
        <w:t>novembra</w:t>
      </w:r>
      <w:r w:rsidR="00830899">
        <w:rPr>
          <w:b/>
        </w:rPr>
        <w:t xml:space="preserve"> 2011</w:t>
      </w:r>
    </w:p>
    <w:p w:rsidR="00AC22E2" w:rsidP="00AC22E2">
      <w:pPr>
        <w:pStyle w:val="Heading1"/>
        <w:ind w:left="0"/>
        <w:jc w:val="both"/>
        <w:rPr>
          <w:rFonts w:eastAsia="Times New Roman"/>
        </w:rPr>
      </w:pPr>
    </w:p>
    <w:p w:rsidR="00EC5F3F" w:rsidRPr="005D2E69" w:rsidP="00117627">
      <w:pPr>
        <w:jc w:val="both"/>
      </w:pPr>
      <w:r w:rsidRPr="005D2E69">
        <w:t>Výbor Národnej rady Sl</w:t>
      </w:r>
      <w:r w:rsidRPr="005D2E69" w:rsidR="003371B9">
        <w:t>ovenskej republiky pre financie a</w:t>
      </w:r>
      <w:r w:rsidRPr="005D2E69">
        <w:t xml:space="preserve"> rozpočet </w:t>
      </w:r>
      <w:r w:rsidRPr="005D2E69" w:rsidR="00F966EF">
        <w:t>prerokoval</w:t>
      </w:r>
      <w:r w:rsidR="008B619A">
        <w:t xml:space="preserve"> v</w:t>
      </w:r>
      <w:r w:rsidRPr="008B619A" w:rsidR="008B619A">
        <w:rPr>
          <w:bCs w:val="0"/>
        </w:rPr>
        <w:t>ládny návrh zákona, ktorým sa mení a dopĺňa zákon č. 98/2004 Z. z. o spotrebnej dani z minerálneho oleja v znení neskorších predpisov a ktorým sa menia a dopĺňajú niektoré zákony (tlač 511)</w:t>
      </w:r>
      <w:r w:rsidR="008B619A">
        <w:rPr>
          <w:bCs w:val="0"/>
        </w:rPr>
        <w:t xml:space="preserve"> </w:t>
      </w:r>
      <w:r w:rsidRPr="005D2E69" w:rsidR="00450C55">
        <w:rPr>
          <w:b/>
        </w:rPr>
        <w:t>a</w:t>
      </w:r>
      <w:r w:rsidRPr="005D2E69" w:rsidR="00ED3C5E">
        <w:t xml:space="preserve"> </w:t>
      </w:r>
      <w:r w:rsidRPr="005D2E69" w:rsidR="008458BA">
        <w:t xml:space="preserve"> </w:t>
      </w:r>
    </w:p>
    <w:p w:rsidR="00BD7172" w:rsidRPr="00990B21" w:rsidP="00BD7172"/>
    <w:p w:rsidR="000D14F9" w:rsidRPr="00990B21" w:rsidP="00BD7172"/>
    <w:p w:rsidR="00EC5F3F" w:rsidP="00067F0B">
      <w:pPr>
        <w:numPr>
          <w:ilvl w:val="0"/>
          <w:numId w:val="1"/>
        </w:numPr>
        <w:jc w:val="both"/>
        <w:rPr>
          <w:b/>
        </w:rPr>
      </w:pPr>
      <w:r w:rsidR="00A45E0F">
        <w:rPr>
          <w:b/>
        </w:rPr>
        <w:t>s</w:t>
      </w:r>
      <w:r>
        <w:rPr>
          <w:b/>
        </w:rPr>
        <w:t>úhlasí</w:t>
      </w:r>
    </w:p>
    <w:p w:rsidR="00A45E0F" w:rsidP="00A45E0F">
      <w:pPr>
        <w:ind w:left="1080"/>
        <w:jc w:val="both"/>
        <w:rPr>
          <w:b/>
        </w:rPr>
      </w:pP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008B619A">
        <w:t>v</w:t>
      </w:r>
      <w:r w:rsidRPr="008B619A" w:rsidR="008B619A">
        <w:rPr>
          <w:bCs w:val="0"/>
        </w:rPr>
        <w:t>ládny</w:t>
      </w:r>
      <w:r w:rsidR="008B619A">
        <w:rPr>
          <w:bCs w:val="0"/>
        </w:rPr>
        <w:t>m</w:t>
      </w:r>
      <w:r w:rsidRPr="008B619A" w:rsidR="008B619A">
        <w:rPr>
          <w:bCs w:val="0"/>
        </w:rPr>
        <w:t xml:space="preserve"> návrh</w:t>
      </w:r>
      <w:r w:rsidR="008B619A">
        <w:rPr>
          <w:bCs w:val="0"/>
        </w:rPr>
        <w:t>om</w:t>
      </w:r>
      <w:r w:rsidRPr="008B619A" w:rsidR="008B619A">
        <w:rPr>
          <w:bCs w:val="0"/>
        </w:rPr>
        <w:t xml:space="preserve"> zákona, ktorým sa mení a dopĺňa zákon č. 98/2004 Z. z. o spotrebnej dani z minerálneho oleja v znení neskorších predpisov a ktorým sa menia a dopĺňajú niektoré zákony (tlač 511)</w:t>
      </w:r>
    </w:p>
    <w:p w:rsidR="00D64717" w:rsidRPr="00D64717" w:rsidP="00D64717"/>
    <w:p w:rsidR="00450C55"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 republiky</w:t>
      </w:r>
    </w:p>
    <w:p w:rsidR="00A45E0F" w:rsidRPr="00A45E0F" w:rsidP="00A45E0F"/>
    <w:p w:rsidR="00EC5F3F" w:rsidRPr="00E20A99" w:rsidP="005B36AB">
      <w:pPr>
        <w:pStyle w:val="Heading1"/>
        <w:ind w:left="1416" w:firstLine="708"/>
        <w:jc w:val="both"/>
      </w:pPr>
      <w:r w:rsidRPr="008B619A" w:rsidR="008B619A">
        <w:rPr>
          <w:b w:val="0"/>
        </w:rPr>
        <w:t>v</w:t>
      </w:r>
      <w:r w:rsidRPr="008B619A" w:rsidR="008B619A">
        <w:rPr>
          <w:b w:val="0"/>
          <w:bCs w:val="0"/>
        </w:rPr>
        <w:t>ládny návrh zákona, ktorým sa mení a dopĺňa zákon č. 98/2004 Z. z. o spotrebnej dani z minerálneho oleja v znení neskorších predpisov a ktorým sa menia a dopĺňajú niektoré zákony (tlač 511)</w:t>
      </w:r>
      <w:r w:rsidR="008B619A">
        <w:rPr>
          <w:b w:val="0"/>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p>
    <w:p w:rsidR="00E13467" w:rsidP="000139BA">
      <w:pPr>
        <w:ind w:left="1416"/>
        <w:jc w:val="both"/>
        <w:rPr>
          <w:b/>
        </w:rPr>
      </w:pPr>
      <w:r>
        <w:rPr>
          <w:b/>
        </w:rPr>
        <w:tab/>
      </w:r>
    </w:p>
    <w:p w:rsidR="0004001B" w:rsidP="000139BA">
      <w:pPr>
        <w:ind w:left="1416"/>
        <w:jc w:val="both"/>
        <w:rPr>
          <w:b/>
        </w:rPr>
      </w:pPr>
    </w:p>
    <w:p w:rsidR="00D64717"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067F0B" w:rsidP="00067F0B">
      <w:pPr>
        <w:ind w:left="1776"/>
        <w:rPr>
          <w:b/>
        </w:rPr>
      </w:pPr>
    </w:p>
    <w:p w:rsidR="00117627" w:rsidP="00117627">
      <w:r w:rsidR="00BD7172">
        <w:t xml:space="preserve"> </w:t>
      </w:r>
      <w:r w:rsidR="00E20A99">
        <w:t xml:space="preserve"> </w:t>
      </w:r>
      <w:r>
        <w:tab/>
        <w:tab/>
        <w:tab/>
        <w:t xml:space="preserve">  informovať predsedu Národnej rady Slovenskej republiky o výsledku </w:t>
      </w:r>
    </w:p>
    <w:p w:rsidR="00117627" w:rsidP="00117627">
      <w:r>
        <w:t xml:space="preserve">                        prerokovania uvedeného vládn</w:t>
      </w:r>
      <w:r>
        <w:t>eho návrhu vo výbore</w:t>
      </w:r>
    </w:p>
    <w:p w:rsidR="00117627" w:rsidP="00117627">
      <w:pPr>
        <w:ind w:left="2850"/>
        <w:jc w:val="both"/>
      </w:pPr>
    </w:p>
    <w:p w:rsidR="00C059CD" w:rsidP="00A73ECD">
      <w:pPr>
        <w:rPr>
          <w:b/>
          <w:bCs w:val="0"/>
        </w:rPr>
      </w:pPr>
      <w:r w:rsidR="00E20A99">
        <w:t xml:space="preserve">                                                              </w:t>
      </w:r>
    </w:p>
    <w:p w:rsidR="00A45E0F">
      <w:pPr>
        <w:ind w:left="5664" w:firstLine="708"/>
        <w:rPr>
          <w:b/>
          <w:bCs w:val="0"/>
        </w:rPr>
      </w:pP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Pr="003371B9" w:rsidR="00040044">
        <w:rPr>
          <w:b/>
          <w:bCs w:val="0"/>
        </w:rPr>
        <w:t xml:space="preserve">Jozef </w:t>
      </w:r>
      <w:r w:rsidRPr="003371B9" w:rsidR="00E20A99">
        <w:rPr>
          <w:b/>
          <w:bCs w:val="0"/>
        </w:rPr>
        <w:t xml:space="preserve"> </w:t>
      </w:r>
      <w:r w:rsidRPr="003371B9" w:rsidR="003371B9">
        <w:rPr>
          <w:b/>
          <w:bCs w:val="0"/>
        </w:rPr>
        <w:t>K</w:t>
      </w:r>
      <w:r w:rsidR="003371B9">
        <w:rPr>
          <w:b/>
          <w:bCs w:val="0"/>
        </w:rPr>
        <w:t> </w:t>
      </w:r>
      <w:r w:rsidRPr="003371B9" w:rsidR="003371B9">
        <w:rPr>
          <w:b/>
          <w:bCs w:val="0"/>
        </w:rPr>
        <w:t>o</w:t>
      </w:r>
      <w:r w:rsidR="003371B9">
        <w:rPr>
          <w:b/>
          <w:bCs w:val="0"/>
        </w:rPr>
        <w:t> </w:t>
      </w:r>
      <w:r w:rsidRPr="003371B9" w:rsidR="003371B9">
        <w:rPr>
          <w:b/>
          <w:bCs w:val="0"/>
        </w:rPr>
        <w:t>l</w:t>
      </w:r>
      <w:r w:rsidR="003371B9">
        <w:rPr>
          <w:b/>
          <w:bCs w:val="0"/>
        </w:rPr>
        <w:t xml:space="preserve"> </w:t>
      </w:r>
      <w:r w:rsidRPr="003371B9" w:rsidR="003371B9">
        <w:rPr>
          <w:b/>
          <w:bCs w:val="0"/>
        </w:rPr>
        <w:t>l</w:t>
      </w:r>
      <w:r w:rsidR="003371B9">
        <w:rPr>
          <w:b/>
          <w:bCs w:val="0"/>
        </w:rPr>
        <w:t xml:space="preserve"> </w:t>
      </w:r>
      <w:r w:rsidRPr="003371B9" w:rsidR="003371B9">
        <w:rPr>
          <w:b/>
          <w:bCs w:val="0"/>
        </w:rPr>
        <w:t>á</w:t>
      </w:r>
      <w:r w:rsidR="003371B9">
        <w:rPr>
          <w:b/>
          <w:bCs w:val="0"/>
        </w:rPr>
        <w:t xml:space="preserve"> </w:t>
      </w:r>
      <w:r w:rsidRPr="003371B9" w:rsidR="003371B9">
        <w:rPr>
          <w:b/>
          <w:bCs w:val="0"/>
        </w:rPr>
        <w:t>r</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EC5F3F">
      <w:pPr>
        <w:pStyle w:val="Heading4"/>
      </w:pPr>
    </w:p>
    <w:p w:rsidR="00595842" w:rsidRPr="00BD7172" w:rsidP="00595842">
      <w:pPr>
        <w:jc w:val="both"/>
        <w:rPr>
          <w:b/>
        </w:rPr>
      </w:pPr>
      <w:r w:rsidR="00C37D3C">
        <w:rPr>
          <w:b/>
        </w:rPr>
        <w:t xml:space="preserve">   </w:t>
      </w:r>
      <w:r w:rsidR="00045E54">
        <w:rPr>
          <w:b/>
        </w:rPr>
        <w:t>Zuzana Aštary</w:t>
      </w:r>
      <w:r w:rsidR="003371B9">
        <w:rPr>
          <w:b/>
        </w:rPr>
        <w:t>ová</w:t>
      </w:r>
    </w:p>
    <w:p w:rsidR="00EC5F3F">
      <w:r w:rsidR="00595842">
        <w:t xml:space="preserve">  </w:t>
      </w:r>
      <w:r>
        <w:t>overovateľ</w:t>
      </w:r>
      <w:r w:rsidR="003371B9">
        <w:t>ka</w:t>
      </w:r>
      <w:r>
        <w:t xml:space="preserve"> výboru</w:t>
      </w:r>
    </w:p>
    <w:p w:rsidR="00A45E0F"/>
    <w:p w:rsidR="00A45E0F"/>
    <w:p w:rsidR="00272FA8"/>
    <w:p w:rsidR="00A45E0F"/>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w:t>
      </w:r>
      <w:r>
        <w:rPr>
          <w:rFonts w:ascii="AT*Zurich Calligraphic" w:hAnsi="AT*Zurich Calligraphic"/>
          <w:b/>
        </w:rPr>
        <w:t>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272FA8">
        <w:rPr>
          <w:b/>
        </w:rPr>
        <w:t xml:space="preserve"> </w:t>
      </w:r>
      <w:r w:rsidR="005A0187">
        <w:rPr>
          <w:b/>
        </w:rPr>
        <w:t>287</w:t>
      </w:r>
    </w:p>
    <w:p w:rsidR="000D14F9" w:rsidRPr="003371B9" w:rsidP="000D14F9">
      <w:pPr>
        <w:jc w:val="right"/>
      </w:pPr>
      <w:r w:rsidR="00272FA8">
        <w:rPr>
          <w:bCs w:val="0"/>
        </w:rPr>
        <w:t>34</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3371B9">
      <w:pPr>
        <w:pStyle w:val="Heading1"/>
        <w:ind w:left="360"/>
        <w:jc w:val="center"/>
      </w:pPr>
      <w:r w:rsidR="00117627">
        <w:t>k</w:t>
      </w:r>
      <w:r w:rsidRPr="00117627" w:rsidR="00117627">
        <w:t xml:space="preserve"> </w:t>
      </w:r>
      <w:r w:rsidR="008B619A">
        <w:t>v</w:t>
      </w:r>
      <w:r w:rsidRPr="008B619A" w:rsidR="008B619A">
        <w:rPr>
          <w:bCs w:val="0"/>
        </w:rPr>
        <w:t>ládn</w:t>
      </w:r>
      <w:r w:rsidR="008B619A">
        <w:rPr>
          <w:bCs w:val="0"/>
        </w:rPr>
        <w:t>emu</w:t>
      </w:r>
      <w:r w:rsidRPr="008B619A" w:rsidR="008B619A">
        <w:rPr>
          <w:bCs w:val="0"/>
        </w:rPr>
        <w:t xml:space="preserve"> návrh</w:t>
      </w:r>
      <w:r w:rsidR="008B619A">
        <w:rPr>
          <w:bCs w:val="0"/>
        </w:rPr>
        <w:t>u</w:t>
      </w:r>
      <w:r w:rsidRPr="008B619A" w:rsidR="008B619A">
        <w:rPr>
          <w:bCs w:val="0"/>
        </w:rPr>
        <w:t xml:space="preserve"> zákona, ktorým sa mení a dopĺňa zákon č. 98/2004 Z. z. o spotrebnej dani z minerálneho oleja v znení neskorších predpisov a ktorým sa menia a dopĺňajú niektoré zákony (tlač 511)</w:t>
      </w:r>
    </w:p>
    <w:p w:rsidR="00272FA8" w:rsidRPr="00272FA8" w:rsidP="00272FA8"/>
    <w:p w:rsidR="000D14F9" w:rsidP="000D14F9">
      <w:pPr>
        <w:rPr>
          <w:b/>
          <w:bCs w:val="0"/>
        </w:rPr>
      </w:pPr>
      <w:r>
        <w:rPr>
          <w:b/>
          <w:bCs w:val="0"/>
        </w:rPr>
        <w:t xml:space="preserve">––––––––––––––––––––––––––––––––––––––––––––––––––––––––––––––––––––––––––––––  </w:t>
      </w:r>
    </w:p>
    <w:p w:rsidR="000741D0" w:rsidP="008B2507">
      <w:pPr>
        <w:rPr>
          <w:b/>
          <w:bCs w:val="0"/>
        </w:rPr>
      </w:pPr>
    </w:p>
    <w:p w:rsidR="005A0187" w:rsidRPr="005A0187" w:rsidP="005A0187">
      <w:pPr>
        <w:numPr>
          <w:ilvl w:val="0"/>
          <w:numId w:val="32"/>
        </w:numPr>
        <w:tabs>
          <w:tab w:val="num" w:pos="360"/>
          <w:tab w:val="num" w:pos="502"/>
        </w:tabs>
        <w:ind w:left="0" w:firstLine="0"/>
        <w:jc w:val="both"/>
        <w:rPr>
          <w:b/>
          <w:bCs w:val="0"/>
          <w:color w:val="000000"/>
          <w:lang w:eastAsia="x-none"/>
        </w:rPr>
      </w:pPr>
      <w:r w:rsidRPr="005A0187">
        <w:rPr>
          <w:b/>
          <w:bCs w:val="0"/>
          <w:color w:val="000000"/>
          <w:lang w:eastAsia="x-none"/>
        </w:rPr>
        <w:t>K č</w:t>
      </w:r>
      <w:r w:rsidR="005413EE">
        <w:rPr>
          <w:b/>
          <w:bCs w:val="0"/>
          <w:color w:val="000000"/>
          <w:lang w:eastAsia="x-none"/>
        </w:rPr>
        <w:t>l. I bod 1</w:t>
      </w:r>
    </w:p>
    <w:p w:rsidR="005A0187" w:rsidRPr="005A0187" w:rsidP="005A0187">
      <w:pPr>
        <w:tabs>
          <w:tab w:val="num" w:pos="644"/>
        </w:tabs>
        <w:jc w:val="both"/>
        <w:rPr>
          <w:bCs w:val="0"/>
          <w:color w:val="000000"/>
          <w:lang w:eastAsia="x-none"/>
        </w:rPr>
      </w:pPr>
      <w:r>
        <w:rPr>
          <w:bCs w:val="0"/>
          <w:color w:val="000000"/>
          <w:lang w:eastAsia="x-none"/>
        </w:rPr>
        <w:t xml:space="preserve">     </w:t>
      </w:r>
      <w:r w:rsidRPr="005A0187">
        <w:rPr>
          <w:bCs w:val="0"/>
          <w:color w:val="000000"/>
          <w:lang w:eastAsia="x-none"/>
        </w:rPr>
        <w:t xml:space="preserve">V </w:t>
      </w:r>
      <w:r>
        <w:rPr>
          <w:bCs w:val="0"/>
          <w:color w:val="000000"/>
          <w:lang w:eastAsia="x-none"/>
        </w:rPr>
        <w:t>č</w:t>
      </w:r>
      <w:r w:rsidRPr="005A0187">
        <w:rPr>
          <w:bCs w:val="0"/>
          <w:color w:val="000000"/>
          <w:lang w:eastAsia="x-none"/>
        </w:rPr>
        <w:t>l. I sa za doterajší bod 1 vkladajú nové body 2 a 3, ktoré znejú:</w:t>
      </w:r>
    </w:p>
    <w:p w:rsidR="005A0187" w:rsidRPr="005A0187" w:rsidP="005A0187">
      <w:pPr>
        <w:ind w:left="1004" w:hanging="578"/>
        <w:jc w:val="both"/>
        <w:rPr>
          <w:bCs w:val="0"/>
          <w:color w:val="000000"/>
          <w:lang w:eastAsia="x-none"/>
        </w:rPr>
      </w:pPr>
      <w:r w:rsidRPr="005A0187">
        <w:rPr>
          <w:bCs w:val="0"/>
          <w:color w:val="000000"/>
          <w:lang w:eastAsia="x-none"/>
        </w:rPr>
        <w:t>„2.</w:t>
        <w:tab/>
        <w:t>V § 4 ods. 2 písm. h), ods. 7 písm. a) a ods. 8 písm. h) sa číslo „3824 90 91“ nahrádza číslom „3826 00 10“.</w:t>
      </w:r>
    </w:p>
    <w:p w:rsidR="005A0187" w:rsidRPr="005A0187" w:rsidP="005A0187">
      <w:pPr>
        <w:ind w:left="1004" w:hanging="578"/>
        <w:jc w:val="both"/>
        <w:rPr>
          <w:bCs w:val="0"/>
          <w:color w:val="000000"/>
          <w:lang w:eastAsia="x-none"/>
        </w:rPr>
      </w:pPr>
      <w:r w:rsidRPr="005A0187">
        <w:rPr>
          <w:bCs w:val="0"/>
          <w:color w:val="000000"/>
          <w:lang w:eastAsia="x-none"/>
        </w:rPr>
        <w:t>3.</w:t>
        <w:tab/>
        <w:t>V § 4 ods. 2 písm. i) a ods. 8 písm. i) sa číslo „3824 90 97“ nahrádza číslom „3826 00 90“.“.</w:t>
      </w:r>
    </w:p>
    <w:p w:rsidR="005A0187" w:rsidRPr="005A0187" w:rsidP="005A0187">
      <w:pPr>
        <w:tabs>
          <w:tab w:val="num" w:pos="644"/>
        </w:tabs>
        <w:jc w:val="both"/>
        <w:rPr>
          <w:bCs w:val="0"/>
          <w:color w:val="000000"/>
          <w:lang w:eastAsia="x-none"/>
        </w:rPr>
      </w:pPr>
    </w:p>
    <w:p w:rsidR="005A0187" w:rsidRPr="005A0187" w:rsidP="005A0187">
      <w:pPr>
        <w:tabs>
          <w:tab w:val="num" w:pos="644"/>
        </w:tabs>
        <w:ind w:firstLine="426"/>
        <w:jc w:val="both"/>
        <w:rPr>
          <w:bCs w:val="0"/>
          <w:color w:val="000000"/>
          <w:lang w:eastAsia="x-none"/>
        </w:rPr>
      </w:pPr>
      <w:r w:rsidRPr="005A0187">
        <w:rPr>
          <w:bCs w:val="0"/>
          <w:color w:val="000000"/>
          <w:lang w:eastAsia="x-none"/>
        </w:rPr>
        <w:t>Doterajšie body sa primerane prečíslujú.</w:t>
      </w:r>
    </w:p>
    <w:p w:rsidR="005A0187" w:rsidRPr="005A0187" w:rsidP="005A0187">
      <w:pPr>
        <w:tabs>
          <w:tab w:val="num" w:pos="644"/>
        </w:tabs>
        <w:jc w:val="both"/>
        <w:rPr>
          <w:b/>
          <w:bCs w:val="0"/>
          <w:color w:val="000000"/>
          <w:lang w:eastAsia="x-none"/>
        </w:rPr>
      </w:pPr>
    </w:p>
    <w:p w:rsidR="005A0187" w:rsidRPr="005A0187" w:rsidP="005A0187">
      <w:pPr>
        <w:autoSpaceDE w:val="0"/>
        <w:autoSpaceDN w:val="0"/>
        <w:adjustRightInd w:val="0"/>
        <w:ind w:left="2552"/>
        <w:jc w:val="both"/>
        <w:rPr>
          <w:rFonts w:eastAsia="Calibri"/>
          <w:color w:val="000000"/>
        </w:rPr>
      </w:pPr>
      <w:r w:rsidRPr="005A0187">
        <w:rPr>
          <w:rFonts w:eastAsia="Calibri"/>
          <w:color w:val="000000"/>
        </w:rPr>
        <w:t xml:space="preserve">V súvislosti s Nariadením komisie (EÚ) č. 1006/2011, ktorým sa mení a dopĺňa príloha č. I k nariadeniu Rady (EHS) č. 2658/87 o colnej štatistickej nomenklatúre a o Spoločnom colnom sadzobníku, ktorým sa zmenilo číslovanie väčšiny kódov kombinovanej nomenklatúry minerálnych olejov je potrebné zmeny premietnuť do príslušných stanovení zákona o spotrebnej dani z minerálneho oleja. </w:t>
      </w:r>
    </w:p>
    <w:p w:rsidR="005A0187" w:rsidRPr="005A0187" w:rsidP="005A0187">
      <w:pPr>
        <w:autoSpaceDE w:val="0"/>
        <w:autoSpaceDN w:val="0"/>
        <w:adjustRightInd w:val="0"/>
        <w:ind w:left="2552"/>
        <w:jc w:val="both"/>
        <w:rPr>
          <w:rFonts w:eastAsia="Calibri"/>
          <w:bCs w:val="0"/>
          <w:color w:val="000000"/>
        </w:rPr>
      </w:pPr>
      <w:r w:rsidRPr="005A0187">
        <w:rPr>
          <w:rFonts w:eastAsia="Calibri"/>
          <w:color w:val="000000"/>
        </w:rPr>
        <w:t xml:space="preserve">Súčasne sa navrhuje legislatívno-technická úprava v súvislosti </w:t>
      </w:r>
      <w:r w:rsidRPr="005A0187">
        <w:rPr>
          <w:rFonts w:eastAsia="Calibri"/>
          <w:bCs w:val="0"/>
          <w:color w:val="000000"/>
        </w:rPr>
        <w:t>s navrhovaným vypustením ustanovení týkajúcich sa vrátenia dane, a to z dôvodu nadbytočnosti, nakoľko postup pri uplatnení vrátenia dane, ak si platiteľ dane uplatňuje zníženie alebo zvýšenie uplatneného vrátenia dane, je upravený zákonom č. 563/2009 Z. z. o správe daní (daňový poriadok) a o zmene a doplnení niektorých zákonov (ďalej len „daňový poriadok“).</w:t>
      </w:r>
    </w:p>
    <w:p w:rsidR="005A0187" w:rsidRPr="005A0187" w:rsidP="005A0187">
      <w:pPr>
        <w:tabs>
          <w:tab w:val="num" w:pos="644"/>
        </w:tabs>
        <w:jc w:val="both"/>
        <w:rPr>
          <w:b/>
          <w:bCs w:val="0"/>
          <w:color w:val="000000"/>
          <w:lang w:eastAsia="x-none"/>
        </w:rPr>
      </w:pPr>
    </w:p>
    <w:p w:rsidR="005A0187" w:rsidRPr="005A0187" w:rsidP="005A0187">
      <w:pPr>
        <w:tabs>
          <w:tab w:val="num" w:pos="644"/>
        </w:tabs>
        <w:jc w:val="both"/>
        <w:rPr>
          <w:b/>
          <w:bCs w:val="0"/>
          <w:color w:val="000000"/>
          <w:lang w:eastAsia="x-none"/>
        </w:rPr>
      </w:pPr>
    </w:p>
    <w:p w:rsidR="005A0187" w:rsidRPr="005A0187" w:rsidP="005A0187">
      <w:pPr>
        <w:tabs>
          <w:tab w:val="num" w:pos="644"/>
        </w:tabs>
        <w:jc w:val="both"/>
        <w:rPr>
          <w:b/>
          <w:bCs w:val="0"/>
          <w:color w:val="000000"/>
          <w:lang w:eastAsia="x-none"/>
        </w:rPr>
      </w:pPr>
    </w:p>
    <w:p w:rsidR="005A0187" w:rsidRPr="005A0187" w:rsidP="005A0187">
      <w:pPr>
        <w:tabs>
          <w:tab w:val="num" w:pos="644"/>
        </w:tabs>
        <w:jc w:val="both"/>
        <w:rPr>
          <w:b/>
          <w:bCs w:val="0"/>
          <w:color w:val="000000"/>
          <w:lang w:eastAsia="x-none"/>
        </w:rPr>
      </w:pPr>
    </w:p>
    <w:p w:rsidR="005A0187" w:rsidRPr="005A0187" w:rsidP="005A0187">
      <w:pPr>
        <w:numPr>
          <w:ilvl w:val="0"/>
          <w:numId w:val="32"/>
        </w:numPr>
        <w:tabs>
          <w:tab w:val="num" w:pos="360"/>
          <w:tab w:val="num" w:pos="502"/>
        </w:tabs>
        <w:ind w:left="0" w:firstLine="0"/>
        <w:jc w:val="both"/>
        <w:rPr>
          <w:b/>
          <w:bCs w:val="0"/>
          <w:color w:val="000000"/>
          <w:lang w:eastAsia="x-none"/>
        </w:rPr>
      </w:pPr>
      <w:r w:rsidRPr="005A0187">
        <w:rPr>
          <w:b/>
          <w:bCs w:val="0"/>
          <w:color w:val="000000"/>
          <w:lang w:eastAsia="x-none"/>
        </w:rPr>
        <w:t>K </w:t>
      </w:r>
      <w:r>
        <w:rPr>
          <w:b/>
          <w:bCs w:val="0"/>
          <w:color w:val="000000"/>
          <w:lang w:eastAsia="x-none"/>
        </w:rPr>
        <w:t>č</w:t>
      </w:r>
      <w:r w:rsidR="005413EE">
        <w:rPr>
          <w:b/>
          <w:bCs w:val="0"/>
          <w:color w:val="000000"/>
          <w:lang w:eastAsia="x-none"/>
        </w:rPr>
        <w:t>l. I bod 2</w:t>
      </w:r>
    </w:p>
    <w:p w:rsidR="005A0187" w:rsidRPr="005A0187" w:rsidP="005A0187">
      <w:pPr>
        <w:tabs>
          <w:tab w:val="num" w:pos="644"/>
        </w:tabs>
        <w:jc w:val="both"/>
        <w:rPr>
          <w:bCs w:val="0"/>
          <w:color w:val="000000"/>
          <w:lang w:eastAsia="x-none"/>
        </w:rPr>
      </w:pPr>
      <w:r w:rsidR="005413EE">
        <w:rPr>
          <w:bCs w:val="0"/>
          <w:color w:val="000000"/>
          <w:lang w:eastAsia="x-none"/>
        </w:rPr>
        <w:t xml:space="preserve">      </w:t>
      </w:r>
      <w:r w:rsidRPr="005A0187">
        <w:rPr>
          <w:bCs w:val="0"/>
          <w:color w:val="000000"/>
          <w:lang w:eastAsia="x-none"/>
        </w:rPr>
        <w:t>V Čl. I sa za doterajší bod 2 vkladá nový bod 3, ktorý znie:</w:t>
      </w:r>
    </w:p>
    <w:p w:rsidR="005A0187" w:rsidRPr="005A0187" w:rsidP="005A0187">
      <w:pPr>
        <w:ind w:left="1004" w:hanging="578"/>
        <w:jc w:val="both"/>
        <w:rPr>
          <w:bCs w:val="0"/>
          <w:color w:val="000000"/>
          <w:lang w:eastAsia="x-none"/>
        </w:rPr>
      </w:pPr>
      <w:r w:rsidRPr="005A0187">
        <w:rPr>
          <w:bCs w:val="0"/>
          <w:color w:val="000000"/>
          <w:lang w:eastAsia="x-none"/>
        </w:rPr>
        <w:t xml:space="preserve"> „3.</w:t>
        <w:tab/>
        <w:t>V § 4 ods. 8 písm. c) sa slová „2710 11 až 2710 19 69, 2710 11 21 a 2710 11 25“ nahrádzajú slovami „2710 12 až 2710 19 68, 2710 12 21 a 2710 12 25</w:t>
      </w:r>
      <w:r w:rsidRPr="005A0187">
        <w:rPr>
          <w:bCs w:val="0"/>
          <w:color w:val="000000"/>
          <w:lang w:eastAsia="x-none"/>
        </w:rPr>
        <w:t>“.“.</w:t>
      </w:r>
    </w:p>
    <w:p w:rsidR="005A0187" w:rsidRPr="005A0187" w:rsidP="005A0187">
      <w:pPr>
        <w:tabs>
          <w:tab w:val="num" w:pos="644"/>
        </w:tabs>
        <w:ind w:firstLine="426"/>
        <w:jc w:val="both"/>
        <w:rPr>
          <w:bCs w:val="0"/>
          <w:color w:val="000000"/>
          <w:lang w:eastAsia="x-none"/>
        </w:rPr>
      </w:pPr>
    </w:p>
    <w:p w:rsidR="005A0187" w:rsidRPr="005A0187" w:rsidP="005A0187">
      <w:pPr>
        <w:tabs>
          <w:tab w:val="num" w:pos="644"/>
        </w:tabs>
        <w:ind w:firstLine="426"/>
        <w:jc w:val="both"/>
        <w:rPr>
          <w:bCs w:val="0"/>
          <w:color w:val="000000"/>
          <w:lang w:eastAsia="x-none"/>
        </w:rPr>
      </w:pPr>
      <w:r w:rsidRPr="005A0187">
        <w:rPr>
          <w:bCs w:val="0"/>
          <w:color w:val="000000"/>
          <w:lang w:eastAsia="x-none"/>
        </w:rPr>
        <w:t>Doterajšie body sa primerane prečíslujú.</w:t>
      </w:r>
    </w:p>
    <w:p w:rsidR="005A0187" w:rsidRPr="005A0187" w:rsidP="005A0187">
      <w:pPr>
        <w:tabs>
          <w:tab w:val="num" w:pos="644"/>
        </w:tabs>
        <w:jc w:val="both"/>
        <w:rPr>
          <w:bCs w:val="0"/>
          <w:color w:val="000000"/>
          <w:lang w:eastAsia="x-none"/>
        </w:rPr>
      </w:pPr>
    </w:p>
    <w:p w:rsidR="005A0187" w:rsidRPr="005A0187" w:rsidP="005A0187">
      <w:pPr>
        <w:tabs>
          <w:tab w:val="num" w:pos="644"/>
        </w:tabs>
        <w:jc w:val="both"/>
        <w:rPr>
          <w:bCs w:val="0"/>
          <w:color w:val="000000"/>
          <w:lang w:eastAsia="x-none"/>
        </w:rPr>
      </w:pPr>
    </w:p>
    <w:p w:rsidR="005A0187" w:rsidRPr="005A0187" w:rsidP="005A0187">
      <w:pPr>
        <w:autoSpaceDE w:val="0"/>
        <w:autoSpaceDN w:val="0"/>
        <w:adjustRightInd w:val="0"/>
        <w:ind w:left="2552"/>
        <w:jc w:val="both"/>
        <w:rPr>
          <w:rFonts w:eastAsia="Calibri"/>
          <w:color w:val="000000"/>
        </w:rPr>
      </w:pPr>
      <w:r w:rsidRPr="005A0187">
        <w:rPr>
          <w:rFonts w:eastAsia="Calibri"/>
          <w:color w:val="000000"/>
        </w:rPr>
        <w:t xml:space="preserve">V súvislosti s Nariadením komisie (EÚ) č. 1006/2011, ktorým sa mení a dopĺňa príloha č. I k nariadeniu Rady (EHS) č. 2658/87 o colnej štatistickej nomenklatúre a o Spoločnom colnom sadzobníku, ktorým sa zmenilo číslovanie väčšiny kódov kombinovanej nomenklatúry minerálnych olejov je potrebné zmeny premietnuť do príslušných stanovení zákona o spotrebnej dani z minerálneho oleja. </w:t>
      </w:r>
    </w:p>
    <w:p w:rsidR="005A0187" w:rsidRPr="005A0187" w:rsidP="005A0187">
      <w:pPr>
        <w:autoSpaceDE w:val="0"/>
        <w:autoSpaceDN w:val="0"/>
        <w:adjustRightInd w:val="0"/>
        <w:ind w:left="2552"/>
        <w:jc w:val="both"/>
        <w:rPr>
          <w:rFonts w:eastAsia="Calibri"/>
          <w:bCs w:val="0"/>
          <w:color w:val="000000"/>
        </w:rPr>
      </w:pPr>
      <w:r w:rsidRPr="005A0187">
        <w:rPr>
          <w:rFonts w:eastAsia="Calibri"/>
          <w:color w:val="000000"/>
        </w:rPr>
        <w:t xml:space="preserve">Súčasne sa navrhuje legislatívno-technická úprava v súvislosti </w:t>
      </w:r>
      <w:r w:rsidRPr="005A0187">
        <w:rPr>
          <w:rFonts w:eastAsia="Calibri"/>
          <w:bCs w:val="0"/>
          <w:color w:val="000000"/>
        </w:rPr>
        <w:t>s navrhovaným vypustením ustanovení týkajúcich sa vrátenia dane, a to z dôvodu nadbytočnosti, nakoľko postup pri uplatnení vrátenia dane, ak si platiteľ dane uplatňuje zníženie alebo zvýšenie uplatneného vrátenia dane, je upravený zákonom č. 563/2009 Z. z. o správe daní (daňový poriadok) a o zmene a doplnení niektorých zákonov (ďalej len „daňový poriadok“).</w:t>
      </w:r>
    </w:p>
    <w:p w:rsidR="005A0187" w:rsidRPr="005A0187" w:rsidP="005A0187">
      <w:pPr>
        <w:tabs>
          <w:tab w:val="num" w:pos="644"/>
        </w:tabs>
        <w:jc w:val="both"/>
        <w:rPr>
          <w:bCs w:val="0"/>
          <w:color w:val="000000"/>
          <w:lang w:eastAsia="x-none"/>
        </w:rPr>
      </w:pPr>
    </w:p>
    <w:p w:rsidR="005A0187" w:rsidRPr="005A0187" w:rsidP="005A0187">
      <w:pPr>
        <w:tabs>
          <w:tab w:val="num" w:pos="644"/>
        </w:tabs>
        <w:jc w:val="both"/>
        <w:rPr>
          <w:bCs w:val="0"/>
          <w:color w:val="000000"/>
          <w:lang w:eastAsia="x-none"/>
        </w:rPr>
      </w:pPr>
    </w:p>
    <w:p w:rsidR="005A0187" w:rsidRPr="005A0187" w:rsidP="005A0187">
      <w:pPr>
        <w:numPr>
          <w:ilvl w:val="0"/>
          <w:numId w:val="32"/>
        </w:numPr>
        <w:tabs>
          <w:tab w:val="num" w:pos="360"/>
          <w:tab w:val="num" w:pos="502"/>
        </w:tabs>
        <w:ind w:left="0" w:firstLine="0"/>
        <w:jc w:val="both"/>
        <w:rPr>
          <w:b/>
          <w:bCs w:val="0"/>
          <w:color w:val="000000"/>
          <w:lang w:eastAsia="x-none"/>
        </w:rPr>
      </w:pPr>
      <w:r w:rsidRPr="005A0187">
        <w:rPr>
          <w:b/>
          <w:bCs w:val="0"/>
          <w:color w:val="000000"/>
          <w:lang w:eastAsia="x-none"/>
        </w:rPr>
        <w:t>K </w:t>
      </w:r>
      <w:r w:rsidR="005413EE">
        <w:rPr>
          <w:b/>
          <w:bCs w:val="0"/>
          <w:color w:val="000000"/>
          <w:lang w:eastAsia="x-none"/>
        </w:rPr>
        <w:t>č</w:t>
      </w:r>
      <w:r w:rsidRPr="005A0187">
        <w:rPr>
          <w:b/>
          <w:bCs w:val="0"/>
          <w:color w:val="000000"/>
          <w:lang w:eastAsia="x-none"/>
        </w:rPr>
        <w:t>l. I bod 4</w:t>
      </w:r>
    </w:p>
    <w:p w:rsidR="005A0187" w:rsidRPr="005A0187" w:rsidP="005A0187">
      <w:pPr>
        <w:tabs>
          <w:tab w:val="num" w:pos="502"/>
          <w:tab w:val="num" w:pos="644"/>
        </w:tabs>
        <w:jc w:val="both"/>
        <w:rPr>
          <w:bCs w:val="0"/>
          <w:color w:val="000000"/>
          <w:lang w:eastAsia="x-none"/>
        </w:rPr>
      </w:pPr>
      <w:r w:rsidR="005413EE">
        <w:rPr>
          <w:bCs w:val="0"/>
          <w:color w:val="000000"/>
          <w:lang w:eastAsia="x-none"/>
        </w:rPr>
        <w:t xml:space="preserve">      </w:t>
      </w:r>
      <w:r w:rsidRPr="005A0187">
        <w:rPr>
          <w:bCs w:val="0"/>
          <w:color w:val="000000"/>
          <w:lang w:eastAsia="x-none"/>
        </w:rPr>
        <w:t xml:space="preserve">V </w:t>
      </w:r>
      <w:r w:rsidR="005413EE">
        <w:rPr>
          <w:bCs w:val="0"/>
          <w:color w:val="000000"/>
          <w:lang w:eastAsia="x-none"/>
        </w:rPr>
        <w:t>č</w:t>
      </w:r>
      <w:r w:rsidRPr="005A0187">
        <w:rPr>
          <w:bCs w:val="0"/>
          <w:color w:val="000000"/>
          <w:lang w:eastAsia="x-none"/>
        </w:rPr>
        <w:t>l. I doterajší bod 4 znie:</w:t>
      </w:r>
    </w:p>
    <w:p w:rsidR="005A0187" w:rsidRPr="005A0187" w:rsidP="005A0187">
      <w:pPr>
        <w:tabs>
          <w:tab w:val="num" w:pos="993"/>
        </w:tabs>
        <w:ind w:firstLine="426"/>
        <w:jc w:val="both"/>
        <w:rPr>
          <w:bCs w:val="0"/>
          <w:color w:val="000000"/>
          <w:lang w:eastAsia="x-none"/>
        </w:rPr>
      </w:pPr>
      <w:r w:rsidRPr="005A0187">
        <w:rPr>
          <w:bCs w:val="0"/>
          <w:color w:val="000000"/>
          <w:lang w:eastAsia="x-none"/>
        </w:rPr>
        <w:t>„4.</w:t>
      </w:r>
      <w:r w:rsidRPr="005A0187">
        <w:rPr>
          <w:b/>
          <w:bCs w:val="0"/>
          <w:color w:val="000000"/>
          <w:lang w:eastAsia="x-none"/>
        </w:rPr>
        <w:tab/>
      </w:r>
      <w:r w:rsidRPr="005A0187">
        <w:rPr>
          <w:bCs w:val="0"/>
          <w:color w:val="000000"/>
          <w:lang w:eastAsia="x-none"/>
        </w:rPr>
        <w:t>V § 6 ods. 1 písmená a), b), d) a e) znejú:</w:t>
      </w:r>
    </w:p>
    <w:p w:rsidR="005A0187" w:rsidRPr="005A0187" w:rsidP="005A0187">
      <w:pPr>
        <w:tabs>
          <w:tab w:val="num" w:pos="644"/>
        </w:tabs>
        <w:ind w:left="1418" w:hanging="425"/>
        <w:jc w:val="both"/>
        <w:rPr>
          <w:bCs w:val="0"/>
          <w:color w:val="000000"/>
          <w:lang w:eastAsia="x-none"/>
        </w:rPr>
      </w:pPr>
      <w:r w:rsidRPr="005A0187">
        <w:rPr>
          <w:bCs w:val="0"/>
          <w:color w:val="000000"/>
          <w:lang w:eastAsia="x-none"/>
        </w:rPr>
        <w:t>„a) motorový benzín</w:t>
      </w:r>
      <w:r w:rsidRPr="005A0187">
        <w:rPr>
          <w:bCs w:val="0"/>
          <w:color w:val="000000"/>
          <w:vertAlign w:val="superscript"/>
          <w:lang w:eastAsia="x-none"/>
        </w:rPr>
        <w:t>2d)</w:t>
      </w:r>
      <w:r w:rsidRPr="005A0187">
        <w:rPr>
          <w:bCs w:val="0"/>
          <w:color w:val="000000"/>
          <w:lang w:eastAsia="x-none"/>
        </w:rPr>
        <w:t xml:space="preserve"> kódu kombinovanej nomenklatúry 2710 12 41, 2710</w:t>
      </w:r>
      <w:r w:rsidRPr="005A0187">
        <w:rPr>
          <w:bCs w:val="0"/>
          <w:color w:val="000000"/>
          <w:lang w:eastAsia="x-none"/>
        </w:rPr>
        <w:t xml:space="preserve"> 12 45, 2710 12 49 s obsahom biogénnej látky</w:t>
      </w:r>
    </w:p>
    <w:p w:rsidR="005A0187" w:rsidRPr="005A0187" w:rsidP="005A0187">
      <w:pPr>
        <w:tabs>
          <w:tab w:val="num" w:pos="644"/>
        </w:tabs>
        <w:ind w:firstLine="1418"/>
        <w:jc w:val="both"/>
        <w:rPr>
          <w:bCs w:val="0"/>
          <w:color w:val="000000"/>
          <w:lang w:eastAsia="x-none"/>
        </w:rPr>
      </w:pPr>
      <w:r w:rsidRPr="005A0187">
        <w:rPr>
          <w:bCs w:val="0"/>
          <w:color w:val="000000"/>
          <w:lang w:eastAsia="x-none"/>
        </w:rPr>
        <w:t xml:space="preserve">1. do objemu ustanoveného v osobitnom predpise </w:t>
      </w:r>
      <w:r w:rsidRPr="005A0187">
        <w:rPr>
          <w:bCs w:val="0"/>
          <w:color w:val="000000"/>
          <w:vertAlign w:val="superscript"/>
          <w:lang w:eastAsia="x-none"/>
        </w:rPr>
        <w:t>2e</w:t>
      </w:r>
      <w:r w:rsidRPr="005A0187">
        <w:rPr>
          <w:bCs w:val="0"/>
          <w:color w:val="000000"/>
          <w:lang w:eastAsia="x-none"/>
        </w:rPr>
        <w:t>)</w:t>
        <w:tab/>
        <w:t>550,52 eura/1 000 l</w:t>
      </w:r>
    </w:p>
    <w:p w:rsidR="005A0187" w:rsidRPr="005A0187" w:rsidP="005A0187">
      <w:pPr>
        <w:tabs>
          <w:tab w:val="num" w:pos="644"/>
        </w:tabs>
        <w:ind w:firstLine="1418"/>
        <w:jc w:val="both"/>
        <w:rPr>
          <w:bCs w:val="0"/>
          <w:color w:val="000000"/>
          <w:lang w:eastAsia="x-none"/>
        </w:rPr>
      </w:pPr>
      <w:r w:rsidRPr="005A0187">
        <w:rPr>
          <w:bCs w:val="0"/>
          <w:color w:val="000000"/>
          <w:lang w:eastAsia="x-none"/>
        </w:rPr>
        <w:t xml:space="preserve">2. v objeme ustanovenom v osobitnom predpise </w:t>
      </w:r>
      <w:r w:rsidRPr="005A0187">
        <w:rPr>
          <w:bCs w:val="0"/>
          <w:color w:val="000000"/>
          <w:vertAlign w:val="superscript"/>
          <w:lang w:eastAsia="x-none"/>
        </w:rPr>
        <w:t>2e</w:t>
      </w:r>
      <w:r w:rsidRPr="005A0187">
        <w:rPr>
          <w:bCs w:val="0"/>
          <w:color w:val="000000"/>
          <w:lang w:eastAsia="x-none"/>
        </w:rPr>
        <w:t>) a viac  514,50 eura/1 000 l</w:t>
      </w:r>
    </w:p>
    <w:p w:rsidR="005A0187" w:rsidRPr="005A0187" w:rsidP="005A0187">
      <w:pPr>
        <w:tabs>
          <w:tab w:val="num" w:pos="644"/>
        </w:tabs>
        <w:jc w:val="both"/>
        <w:rPr>
          <w:bCs w:val="0"/>
          <w:color w:val="000000"/>
          <w:lang w:eastAsia="x-none"/>
        </w:rPr>
      </w:pPr>
    </w:p>
    <w:p w:rsidR="005413EE" w:rsidP="005A0187">
      <w:pPr>
        <w:tabs>
          <w:tab w:val="num" w:pos="644"/>
        </w:tabs>
        <w:ind w:left="1276" w:hanging="283"/>
        <w:jc w:val="both"/>
        <w:rPr>
          <w:bCs w:val="0"/>
          <w:color w:val="000000"/>
          <w:lang w:eastAsia="x-none"/>
        </w:rPr>
      </w:pPr>
      <w:r w:rsidRPr="005A0187" w:rsidR="005A0187">
        <w:rPr>
          <w:bCs w:val="0"/>
          <w:color w:val="000000"/>
          <w:lang w:eastAsia="x-none"/>
        </w:rPr>
        <w:t>b) motorový benzín kódu kombinovanej nomenklatúry 2710 12 31, 2710 12 51</w:t>
      </w:r>
      <w:r>
        <w:rPr>
          <w:bCs w:val="0"/>
          <w:color w:val="000000"/>
          <w:lang w:eastAsia="x-none"/>
        </w:rPr>
        <w:t xml:space="preserve">  </w:t>
      </w:r>
    </w:p>
    <w:p w:rsidR="005A0187" w:rsidRPr="005A0187" w:rsidP="005A0187">
      <w:pPr>
        <w:tabs>
          <w:tab w:val="num" w:pos="644"/>
        </w:tabs>
        <w:ind w:left="1276" w:hanging="283"/>
        <w:jc w:val="both"/>
        <w:rPr>
          <w:bCs w:val="0"/>
          <w:color w:val="000000"/>
          <w:lang w:eastAsia="x-none"/>
        </w:rPr>
      </w:pPr>
      <w:r w:rsidR="005413EE">
        <w:rPr>
          <w:bCs w:val="0"/>
          <w:color w:val="000000"/>
          <w:lang w:eastAsia="x-none"/>
        </w:rPr>
        <w:t xml:space="preserve">    </w:t>
      </w:r>
      <w:r w:rsidRPr="005A0187">
        <w:rPr>
          <w:bCs w:val="0"/>
          <w:color w:val="000000"/>
          <w:lang w:eastAsia="x-none"/>
        </w:rPr>
        <w:t xml:space="preserve">a 2710 12 59 </w:t>
        <w:tab/>
        <w:tab/>
        <w:tab/>
        <w:tab/>
        <w:tab/>
        <w:tab/>
        <w:tab/>
        <w:t>597,49 eura/1 000 l</w:t>
      </w:r>
    </w:p>
    <w:p w:rsidR="005A0187" w:rsidRPr="005A0187" w:rsidP="005A0187">
      <w:pPr>
        <w:tabs>
          <w:tab w:val="num" w:pos="644"/>
        </w:tabs>
        <w:jc w:val="both"/>
        <w:rPr>
          <w:bCs w:val="0"/>
          <w:color w:val="000000"/>
          <w:lang w:eastAsia="x-none"/>
        </w:rPr>
      </w:pPr>
    </w:p>
    <w:p w:rsidR="005A0187" w:rsidRPr="005A0187" w:rsidP="005A0187">
      <w:pPr>
        <w:tabs>
          <w:tab w:val="num" w:pos="644"/>
        </w:tabs>
        <w:ind w:left="1276" w:hanging="283"/>
        <w:jc w:val="both"/>
        <w:rPr>
          <w:bCs w:val="0"/>
          <w:color w:val="000000"/>
          <w:lang w:eastAsia="x-none"/>
        </w:rPr>
      </w:pPr>
      <w:r w:rsidRPr="005A0187">
        <w:rPr>
          <w:bCs w:val="0"/>
          <w:color w:val="000000"/>
          <w:lang w:eastAsia="x-none"/>
        </w:rPr>
        <w:t xml:space="preserve">d) plynový olej </w:t>
      </w:r>
      <w:r w:rsidRPr="005A0187">
        <w:rPr>
          <w:bCs w:val="0"/>
          <w:color w:val="000000"/>
          <w:vertAlign w:val="superscript"/>
          <w:lang w:eastAsia="x-none"/>
        </w:rPr>
        <w:t>2f</w:t>
      </w:r>
      <w:r w:rsidRPr="005A0187">
        <w:rPr>
          <w:bCs w:val="0"/>
          <w:color w:val="000000"/>
          <w:lang w:eastAsia="x-none"/>
        </w:rPr>
        <w:t xml:space="preserve">) kódu kombinovanej nomenklatúry 2710 19 43, 2710 19 46, 2710 19 47, 2710 19 48, 2710 20 11, 2710 20 15, 2710 20 17 a 2710 20 19 </w:t>
      </w:r>
    </w:p>
    <w:p w:rsidR="005A0187" w:rsidRPr="005A0187" w:rsidP="005A0187">
      <w:pPr>
        <w:tabs>
          <w:tab w:val="num" w:pos="644"/>
        </w:tabs>
        <w:ind w:left="1276"/>
        <w:jc w:val="both"/>
        <w:rPr>
          <w:bCs w:val="0"/>
          <w:color w:val="000000"/>
          <w:lang w:eastAsia="x-none"/>
        </w:rPr>
      </w:pPr>
      <w:r w:rsidRPr="005A0187">
        <w:rPr>
          <w:bCs w:val="0"/>
          <w:color w:val="000000"/>
          <w:lang w:eastAsia="x-none"/>
        </w:rPr>
        <w:t>s obsahom biodiesla</w:t>
      </w:r>
    </w:p>
    <w:p w:rsidR="005A0187" w:rsidRPr="005A0187" w:rsidP="005A0187">
      <w:pPr>
        <w:tabs>
          <w:tab w:val="num" w:pos="644"/>
        </w:tabs>
        <w:ind w:firstLine="1276"/>
        <w:jc w:val="both"/>
        <w:rPr>
          <w:bCs w:val="0"/>
          <w:color w:val="000000"/>
          <w:lang w:eastAsia="x-none"/>
        </w:rPr>
      </w:pPr>
      <w:r w:rsidRPr="005A0187">
        <w:rPr>
          <w:bCs w:val="0"/>
          <w:color w:val="000000"/>
          <w:lang w:eastAsia="x-none"/>
        </w:rPr>
        <w:t xml:space="preserve">1. do objemu ustanoveného osobitným predpisom </w:t>
      </w:r>
      <w:r w:rsidRPr="005A0187">
        <w:rPr>
          <w:bCs w:val="0"/>
          <w:color w:val="000000"/>
          <w:vertAlign w:val="superscript"/>
          <w:lang w:eastAsia="x-none"/>
        </w:rPr>
        <w:t>2e</w:t>
      </w:r>
      <w:r w:rsidRPr="005A0187">
        <w:rPr>
          <w:bCs w:val="0"/>
          <w:color w:val="000000"/>
          <w:lang w:eastAsia="x-none"/>
        </w:rPr>
        <w:t>)</w:t>
        <w:tab/>
        <w:tab/>
        <w:t>386,40 eura/1 000 l</w:t>
      </w:r>
    </w:p>
    <w:p w:rsidR="005A0187" w:rsidRPr="005A0187" w:rsidP="005A0187">
      <w:pPr>
        <w:tabs>
          <w:tab w:val="num" w:pos="644"/>
        </w:tabs>
        <w:ind w:firstLine="1276"/>
        <w:jc w:val="both"/>
        <w:rPr>
          <w:bCs w:val="0"/>
          <w:color w:val="000000"/>
          <w:lang w:eastAsia="x-none"/>
        </w:rPr>
      </w:pPr>
      <w:r w:rsidRPr="005A0187">
        <w:rPr>
          <w:bCs w:val="0"/>
          <w:color w:val="000000"/>
          <w:lang w:eastAsia="x-none"/>
        </w:rPr>
        <w:t xml:space="preserve">2. v objeme ustanovenom v osobitnom predpise </w:t>
      </w:r>
      <w:r w:rsidRPr="005A0187">
        <w:rPr>
          <w:bCs w:val="0"/>
          <w:color w:val="000000"/>
          <w:vertAlign w:val="superscript"/>
          <w:lang w:eastAsia="x-none"/>
        </w:rPr>
        <w:t>2e</w:t>
      </w:r>
      <w:r w:rsidRPr="005A0187">
        <w:rPr>
          <w:bCs w:val="0"/>
          <w:color w:val="000000"/>
          <w:lang w:eastAsia="x-none"/>
        </w:rPr>
        <w:t>) a viac</w:t>
        <w:tab/>
        <w:t>368 eur/1 000 l</w:t>
      </w:r>
    </w:p>
    <w:p w:rsidR="005A0187" w:rsidRPr="005A0187" w:rsidP="005A0187">
      <w:pPr>
        <w:tabs>
          <w:tab w:val="num" w:pos="644"/>
        </w:tabs>
        <w:jc w:val="both"/>
        <w:rPr>
          <w:bCs w:val="0"/>
          <w:color w:val="000000"/>
          <w:lang w:eastAsia="x-none"/>
        </w:rPr>
      </w:pPr>
    </w:p>
    <w:p w:rsidR="005A0187" w:rsidRPr="005A0187" w:rsidP="005A0187">
      <w:pPr>
        <w:tabs>
          <w:tab w:val="num" w:pos="644"/>
        </w:tabs>
        <w:ind w:left="1276" w:hanging="283"/>
        <w:jc w:val="both"/>
        <w:rPr>
          <w:bCs w:val="0"/>
          <w:color w:val="000000"/>
          <w:lang w:eastAsia="x-none"/>
        </w:rPr>
      </w:pPr>
      <w:r w:rsidRPr="005A0187">
        <w:rPr>
          <w:bCs w:val="0"/>
          <w:color w:val="000000"/>
          <w:lang w:eastAsia="x-none"/>
        </w:rPr>
        <w:t xml:space="preserve">e) vykurovací olej kódu kombinovanej nomenklatúry 2710 19 62, 2710 19 64, 271019 68, 2710 20 31, 2710 20 35, 2710 20 39 a 2710 20 90 </w:t>
      </w:r>
    </w:p>
    <w:p w:rsidR="005A0187" w:rsidRPr="005A0187" w:rsidP="005A0187">
      <w:pPr>
        <w:tabs>
          <w:tab w:val="num" w:pos="644"/>
        </w:tabs>
        <w:ind w:left="1276"/>
        <w:jc w:val="both"/>
        <w:rPr>
          <w:bCs w:val="0"/>
          <w:color w:val="000000"/>
          <w:lang w:eastAsia="x-none"/>
        </w:rPr>
      </w:pPr>
      <w:r w:rsidRPr="005A0187">
        <w:rPr>
          <w:bCs w:val="0"/>
          <w:color w:val="000000"/>
          <w:lang w:eastAsia="x-none"/>
        </w:rPr>
        <w:tab/>
        <w:tab/>
        <w:tab/>
        <w:tab/>
        <w:tab/>
        <w:tab/>
        <w:tab/>
        <w:tab/>
        <w:t xml:space="preserve">    111,50 eura/1 000 kg“.“.</w:t>
      </w:r>
    </w:p>
    <w:p w:rsidR="005A0187" w:rsidRPr="005A0187" w:rsidP="005A0187">
      <w:pPr>
        <w:tabs>
          <w:tab w:val="num" w:pos="644"/>
        </w:tabs>
        <w:jc w:val="both"/>
        <w:rPr>
          <w:bCs w:val="0"/>
          <w:color w:val="000000"/>
          <w:lang w:eastAsia="x-none"/>
        </w:rPr>
      </w:pPr>
    </w:p>
    <w:p w:rsidR="005A0187" w:rsidRPr="005A0187" w:rsidP="005A0187">
      <w:pPr>
        <w:tabs>
          <w:tab w:val="num" w:pos="644"/>
        </w:tabs>
        <w:jc w:val="both"/>
        <w:rPr>
          <w:bCs w:val="0"/>
          <w:color w:val="000000"/>
          <w:lang w:eastAsia="x-none"/>
        </w:rPr>
      </w:pPr>
    </w:p>
    <w:p w:rsidR="005A0187" w:rsidRPr="005A0187" w:rsidP="005A0187">
      <w:pPr>
        <w:autoSpaceDE w:val="0"/>
        <w:autoSpaceDN w:val="0"/>
        <w:adjustRightInd w:val="0"/>
        <w:ind w:left="2552"/>
        <w:jc w:val="both"/>
        <w:rPr>
          <w:rFonts w:eastAsia="Calibri"/>
          <w:color w:val="000000"/>
        </w:rPr>
      </w:pPr>
      <w:r w:rsidRPr="005A0187">
        <w:rPr>
          <w:rFonts w:eastAsia="Calibri"/>
          <w:color w:val="000000"/>
        </w:rPr>
        <w:t>V súvislosti s Nariadením komis</w:t>
      </w:r>
      <w:r w:rsidRPr="005A0187">
        <w:rPr>
          <w:rFonts w:eastAsia="Calibri"/>
          <w:color w:val="000000"/>
        </w:rPr>
        <w:t xml:space="preserve">ie (EÚ) č. 1006/2011, ktorým sa mení a dopĺňa príloha č. I k nariadeniu Rady (EHS) č. 2658/87 o colnej štatistickej nomenklatúre a o Spoločnom colnom sadzobníku, ktorým sa zmenilo číslovanie väčšiny kódov kombinovanej nomenklatúry minerálnych olejov je potrebné zmeny premietnuť do príslušných stanovení zákona o spotrebnej dani z minerálneho oleja. </w:t>
      </w:r>
    </w:p>
    <w:p w:rsidR="005A0187" w:rsidRPr="005A0187" w:rsidP="005A0187">
      <w:pPr>
        <w:autoSpaceDE w:val="0"/>
        <w:autoSpaceDN w:val="0"/>
        <w:adjustRightInd w:val="0"/>
        <w:ind w:left="2552"/>
        <w:jc w:val="both"/>
        <w:rPr>
          <w:rFonts w:eastAsia="Calibri"/>
          <w:bCs w:val="0"/>
          <w:color w:val="000000"/>
        </w:rPr>
      </w:pPr>
      <w:r w:rsidRPr="005A0187">
        <w:rPr>
          <w:rFonts w:eastAsia="Calibri"/>
          <w:color w:val="000000"/>
        </w:rPr>
        <w:t xml:space="preserve">Súčasne sa navrhuje legislatívno-technická úprava v súvislosti </w:t>
      </w:r>
      <w:r w:rsidRPr="005A0187">
        <w:rPr>
          <w:rFonts w:eastAsia="Calibri"/>
          <w:bCs w:val="0"/>
          <w:color w:val="000000"/>
        </w:rPr>
        <w:t>s navrhovaným vypustením ustanovení týkajúcich sa vrátenia dane, a to z dôvodu nadbytočnosti, nakoľko postup pri uplatnení vrátenia dane, ak si platiteľ dane uplatňuje zníženie alebo zvýšenie uplatneného vrátenia dane, je upravený zákonom č. 563/2009 Z. z. o správe daní (daňový poriadok) a o zmene a doplnení niektorých zákonov (ďalej len „daňový poriad</w:t>
      </w:r>
      <w:r w:rsidRPr="005A0187">
        <w:rPr>
          <w:rFonts w:eastAsia="Calibri"/>
          <w:bCs w:val="0"/>
          <w:color w:val="000000"/>
        </w:rPr>
        <w:t>ok“).</w:t>
      </w:r>
    </w:p>
    <w:p w:rsidR="005A0187" w:rsidRPr="005A0187" w:rsidP="005A0187">
      <w:pPr>
        <w:tabs>
          <w:tab w:val="num" w:pos="644"/>
        </w:tabs>
        <w:jc w:val="both"/>
        <w:rPr>
          <w:bCs w:val="0"/>
          <w:color w:val="000000"/>
          <w:lang w:eastAsia="x-none"/>
        </w:rPr>
      </w:pPr>
    </w:p>
    <w:p w:rsidR="005A0187" w:rsidRPr="005A0187" w:rsidP="005A0187">
      <w:pPr>
        <w:tabs>
          <w:tab w:val="num" w:pos="644"/>
        </w:tabs>
        <w:jc w:val="both"/>
        <w:rPr>
          <w:bCs w:val="0"/>
          <w:color w:val="000000"/>
          <w:lang w:eastAsia="x-none"/>
        </w:rPr>
      </w:pPr>
    </w:p>
    <w:p w:rsidR="005A0187" w:rsidP="005A0187">
      <w:pPr>
        <w:tabs>
          <w:tab w:val="num" w:pos="644"/>
        </w:tabs>
        <w:jc w:val="both"/>
        <w:rPr>
          <w:bCs w:val="0"/>
          <w:color w:val="000000"/>
          <w:lang w:eastAsia="x-none"/>
        </w:rPr>
      </w:pPr>
    </w:p>
    <w:p w:rsidR="005413EE" w:rsidP="005A0187">
      <w:pPr>
        <w:tabs>
          <w:tab w:val="num" w:pos="644"/>
        </w:tabs>
        <w:jc w:val="both"/>
        <w:rPr>
          <w:bCs w:val="0"/>
          <w:color w:val="000000"/>
          <w:lang w:eastAsia="x-none"/>
        </w:rPr>
      </w:pPr>
    </w:p>
    <w:p w:rsidR="005413EE" w:rsidP="005A0187">
      <w:pPr>
        <w:tabs>
          <w:tab w:val="num" w:pos="644"/>
        </w:tabs>
        <w:jc w:val="both"/>
        <w:rPr>
          <w:bCs w:val="0"/>
          <w:color w:val="000000"/>
          <w:lang w:eastAsia="x-none"/>
        </w:rPr>
      </w:pPr>
    </w:p>
    <w:p w:rsidR="005413EE" w:rsidP="005A0187">
      <w:pPr>
        <w:tabs>
          <w:tab w:val="num" w:pos="644"/>
        </w:tabs>
        <w:jc w:val="both"/>
        <w:rPr>
          <w:bCs w:val="0"/>
          <w:color w:val="000000"/>
          <w:lang w:eastAsia="x-none"/>
        </w:rPr>
      </w:pPr>
    </w:p>
    <w:p w:rsidR="005413EE" w:rsidP="005A0187">
      <w:pPr>
        <w:tabs>
          <w:tab w:val="num" w:pos="644"/>
        </w:tabs>
        <w:jc w:val="both"/>
        <w:rPr>
          <w:bCs w:val="0"/>
          <w:color w:val="000000"/>
          <w:lang w:eastAsia="x-none"/>
        </w:rPr>
      </w:pPr>
    </w:p>
    <w:p w:rsidR="005413EE" w:rsidP="005A0187">
      <w:pPr>
        <w:tabs>
          <w:tab w:val="num" w:pos="644"/>
        </w:tabs>
        <w:jc w:val="both"/>
        <w:rPr>
          <w:bCs w:val="0"/>
          <w:color w:val="000000"/>
          <w:lang w:eastAsia="x-none"/>
        </w:rPr>
      </w:pPr>
    </w:p>
    <w:p w:rsidR="005413EE" w:rsidP="005A0187">
      <w:pPr>
        <w:tabs>
          <w:tab w:val="num" w:pos="644"/>
        </w:tabs>
        <w:jc w:val="both"/>
        <w:rPr>
          <w:bCs w:val="0"/>
          <w:color w:val="000000"/>
          <w:lang w:eastAsia="x-none"/>
        </w:rPr>
      </w:pPr>
    </w:p>
    <w:p w:rsidR="005413EE" w:rsidRPr="005A0187" w:rsidP="005A0187">
      <w:pPr>
        <w:tabs>
          <w:tab w:val="num" w:pos="644"/>
        </w:tabs>
        <w:jc w:val="both"/>
        <w:rPr>
          <w:bCs w:val="0"/>
          <w:color w:val="000000"/>
          <w:lang w:eastAsia="x-none"/>
        </w:rPr>
      </w:pPr>
    </w:p>
    <w:p w:rsidR="005A0187" w:rsidRPr="005A0187" w:rsidP="005A0187">
      <w:pPr>
        <w:tabs>
          <w:tab w:val="num" w:pos="644"/>
        </w:tabs>
        <w:jc w:val="both"/>
        <w:rPr>
          <w:bCs w:val="0"/>
          <w:color w:val="000000"/>
          <w:lang w:eastAsia="x-none"/>
        </w:rPr>
      </w:pPr>
    </w:p>
    <w:p w:rsidR="005A0187" w:rsidRPr="005A0187" w:rsidP="005A0187">
      <w:pPr>
        <w:numPr>
          <w:ilvl w:val="0"/>
          <w:numId w:val="32"/>
        </w:numPr>
        <w:tabs>
          <w:tab w:val="num" w:pos="360"/>
          <w:tab w:val="num" w:pos="502"/>
        </w:tabs>
        <w:ind w:left="0" w:firstLine="0"/>
        <w:jc w:val="both"/>
        <w:rPr>
          <w:b/>
          <w:bCs w:val="0"/>
          <w:color w:val="000000"/>
          <w:lang w:eastAsia="x-none"/>
        </w:rPr>
      </w:pPr>
      <w:r w:rsidRPr="005A0187">
        <w:rPr>
          <w:b/>
          <w:bCs w:val="0"/>
          <w:color w:val="000000"/>
          <w:lang w:eastAsia="x-none"/>
        </w:rPr>
        <w:t>K </w:t>
      </w:r>
      <w:r w:rsidR="005413EE">
        <w:rPr>
          <w:b/>
          <w:bCs w:val="0"/>
          <w:color w:val="000000"/>
          <w:lang w:eastAsia="x-none"/>
        </w:rPr>
        <w:t>č</w:t>
      </w:r>
      <w:r w:rsidRPr="005A0187">
        <w:rPr>
          <w:b/>
          <w:bCs w:val="0"/>
          <w:color w:val="000000"/>
          <w:lang w:eastAsia="x-none"/>
        </w:rPr>
        <w:t>l. I bod 6</w:t>
      </w:r>
    </w:p>
    <w:p w:rsidR="005A0187" w:rsidRPr="005A0187" w:rsidP="005A0187">
      <w:pPr>
        <w:tabs>
          <w:tab w:val="num" w:pos="644"/>
        </w:tabs>
        <w:jc w:val="both"/>
        <w:rPr>
          <w:bCs w:val="0"/>
          <w:color w:val="000000"/>
          <w:lang w:eastAsia="x-none"/>
        </w:rPr>
      </w:pPr>
      <w:r w:rsidR="005413EE">
        <w:rPr>
          <w:bCs w:val="0"/>
          <w:color w:val="000000"/>
          <w:lang w:eastAsia="x-none"/>
        </w:rPr>
        <w:t xml:space="preserve">      </w:t>
      </w:r>
      <w:r w:rsidRPr="005A0187">
        <w:rPr>
          <w:bCs w:val="0"/>
          <w:color w:val="000000"/>
          <w:lang w:eastAsia="x-none"/>
        </w:rPr>
        <w:t xml:space="preserve">V </w:t>
      </w:r>
      <w:r w:rsidR="005413EE">
        <w:rPr>
          <w:bCs w:val="0"/>
          <w:color w:val="000000"/>
          <w:lang w:eastAsia="x-none"/>
        </w:rPr>
        <w:t>č</w:t>
      </w:r>
      <w:r w:rsidRPr="005A0187">
        <w:rPr>
          <w:bCs w:val="0"/>
          <w:color w:val="000000"/>
          <w:lang w:eastAsia="x-none"/>
        </w:rPr>
        <w:t>l. I sa za doterajší bod 6 vkladajú nové body 7 a 8, ktoré znejú:</w:t>
      </w:r>
    </w:p>
    <w:p w:rsidR="005A0187" w:rsidRPr="005A0187" w:rsidP="005A0187">
      <w:pPr>
        <w:ind w:left="1004" w:hanging="578"/>
        <w:jc w:val="both"/>
        <w:rPr>
          <w:bCs w:val="0"/>
          <w:color w:val="000000"/>
          <w:lang w:eastAsia="x-none"/>
        </w:rPr>
      </w:pPr>
      <w:r w:rsidRPr="005A0187">
        <w:rPr>
          <w:bCs w:val="0"/>
          <w:color w:val="000000"/>
          <w:lang w:eastAsia="x-none"/>
        </w:rPr>
        <w:t>„</w:t>
      </w:r>
      <w:r w:rsidRPr="005A0187">
        <w:rPr>
          <w:b/>
          <w:bCs w:val="0"/>
          <w:color w:val="000000"/>
          <w:lang w:eastAsia="x-none"/>
        </w:rPr>
        <w:t>7</w:t>
      </w:r>
      <w:r w:rsidRPr="005A0187">
        <w:rPr>
          <w:bCs w:val="0"/>
          <w:color w:val="000000"/>
          <w:lang w:eastAsia="x-none"/>
        </w:rPr>
        <w:t>.</w:t>
        <w:tab/>
        <w:t>V § 10 ods. 1 písm. b) sa slová „2710 11 31 a 2710 11 70“ nahrádzajú slovami „2710 12 31 a 2710 12 70“.</w:t>
      </w:r>
    </w:p>
    <w:p w:rsidR="005A0187" w:rsidRPr="005A0187" w:rsidP="005A0187">
      <w:pPr>
        <w:ind w:left="1004" w:hanging="578"/>
        <w:jc w:val="both"/>
        <w:rPr>
          <w:bCs w:val="0"/>
          <w:color w:val="000000"/>
          <w:lang w:eastAsia="x-none"/>
        </w:rPr>
      </w:pPr>
      <w:r w:rsidRPr="005A0187">
        <w:rPr>
          <w:b/>
          <w:bCs w:val="0"/>
          <w:color w:val="000000"/>
          <w:lang w:eastAsia="x-none"/>
        </w:rPr>
        <w:t xml:space="preserve">  </w:t>
      </w:r>
      <w:r w:rsidRPr="005A0187">
        <w:rPr>
          <w:bCs w:val="0"/>
          <w:color w:val="000000"/>
          <w:lang w:eastAsia="x-none"/>
        </w:rPr>
        <w:t>8.</w:t>
        <w:tab/>
        <w:t xml:space="preserve">V § 10 ods. 1 písm. c) a § 19 ods. 6 </w:t>
      </w:r>
      <w:r w:rsidRPr="005A0187">
        <w:rPr>
          <w:bCs w:val="0"/>
          <w:color w:val="000000"/>
          <w:lang w:eastAsia="x-none"/>
        </w:rPr>
        <w:t>písm. b) sa slová „2710 19 41, 2710 19 45 a 2710 19 49“ nahrádzajú slovami „2710 19 43, 2710 19 46, 2710 19 47, 2710 19 48, 2710 20 11, 2710 20 15, 2710 20 17, 2710 20 19, “.“.</w:t>
      </w:r>
    </w:p>
    <w:p w:rsidR="005A0187" w:rsidRPr="005A0187" w:rsidP="005A0187">
      <w:pPr>
        <w:tabs>
          <w:tab w:val="num" w:pos="644"/>
        </w:tabs>
        <w:ind w:firstLine="426"/>
        <w:jc w:val="both"/>
        <w:rPr>
          <w:bCs w:val="0"/>
          <w:color w:val="000000"/>
          <w:lang w:eastAsia="x-none"/>
        </w:rPr>
      </w:pPr>
    </w:p>
    <w:p w:rsidR="005A0187" w:rsidRPr="005A0187" w:rsidP="005A0187">
      <w:pPr>
        <w:tabs>
          <w:tab w:val="num" w:pos="644"/>
        </w:tabs>
        <w:ind w:firstLine="426"/>
        <w:jc w:val="both"/>
        <w:rPr>
          <w:bCs w:val="0"/>
          <w:color w:val="000000"/>
          <w:lang w:eastAsia="x-none"/>
        </w:rPr>
      </w:pPr>
      <w:r w:rsidRPr="005A0187">
        <w:rPr>
          <w:bCs w:val="0"/>
          <w:color w:val="000000"/>
          <w:lang w:eastAsia="x-none"/>
        </w:rPr>
        <w:t>Doterajšie body sa primerane prečíslujú.</w:t>
      </w:r>
    </w:p>
    <w:p w:rsidR="005A0187" w:rsidRPr="005A0187" w:rsidP="005A0187">
      <w:pPr>
        <w:tabs>
          <w:tab w:val="num" w:pos="644"/>
        </w:tabs>
        <w:jc w:val="both"/>
        <w:rPr>
          <w:bCs w:val="0"/>
          <w:color w:val="000000"/>
          <w:lang w:eastAsia="x-none"/>
        </w:rPr>
      </w:pPr>
    </w:p>
    <w:p w:rsidR="005A0187" w:rsidRPr="005A0187" w:rsidP="005A0187">
      <w:pPr>
        <w:autoSpaceDE w:val="0"/>
        <w:autoSpaceDN w:val="0"/>
        <w:adjustRightInd w:val="0"/>
        <w:ind w:left="2552"/>
        <w:jc w:val="both"/>
        <w:rPr>
          <w:rFonts w:eastAsia="Calibri"/>
          <w:color w:val="000000"/>
        </w:rPr>
      </w:pPr>
      <w:r w:rsidRPr="005A0187">
        <w:rPr>
          <w:rFonts w:eastAsia="Calibri"/>
          <w:color w:val="000000"/>
        </w:rPr>
        <w:t xml:space="preserve">V súvislosti s Nariadením komisie (EÚ) č. 1006/2011, ktorým sa mení a dopĺňa príloha č. I k nariadeniu Rady (EHS) č. 2658/87 o colnej štatistickej nomenklatúre a o Spoločnom colnom sadzobníku, ktorým sa zmenilo číslovanie väčšiny kódov kombinovanej nomenklatúry minerálnych olejov je potrebné zmeny premietnuť do príslušných stanovení zákona o spotrebnej dani z minerálneho oleja. </w:t>
      </w:r>
    </w:p>
    <w:p w:rsidR="005A0187" w:rsidRPr="005A0187" w:rsidP="005A0187">
      <w:pPr>
        <w:autoSpaceDE w:val="0"/>
        <w:autoSpaceDN w:val="0"/>
        <w:adjustRightInd w:val="0"/>
        <w:ind w:left="2552"/>
        <w:jc w:val="both"/>
        <w:rPr>
          <w:rFonts w:eastAsia="Calibri"/>
          <w:bCs w:val="0"/>
          <w:color w:val="000000"/>
        </w:rPr>
      </w:pPr>
      <w:r w:rsidRPr="005A0187">
        <w:rPr>
          <w:rFonts w:eastAsia="Calibri"/>
          <w:color w:val="000000"/>
        </w:rPr>
        <w:t xml:space="preserve">Súčasne sa navrhuje legislatívno-technická úprava v súvislosti </w:t>
      </w:r>
      <w:r w:rsidRPr="005A0187">
        <w:rPr>
          <w:rFonts w:eastAsia="Calibri"/>
          <w:bCs w:val="0"/>
          <w:color w:val="000000"/>
        </w:rPr>
        <w:t>s navrhovaným vypustením ustanovení týkajúcich sa vrátenia dane, a to z dôvodu nadbytočnosti, nakoľko postup pri uplatnení vrátenia dane, ak si platiteľ dane uplatňuje zníženie alebo zvýšenie uplatneného vrátenia dane, je upravený zákonom č. 563/2009 Z. z. o správe daní (daňový poriadok) a o zmene a doplnení niektorých zákonov (ďalej len „daňový poriadok“).</w:t>
      </w:r>
    </w:p>
    <w:p w:rsidR="005A0187" w:rsidRPr="005A0187" w:rsidP="005A0187">
      <w:pPr>
        <w:tabs>
          <w:tab w:val="num" w:pos="644"/>
        </w:tabs>
        <w:jc w:val="both"/>
        <w:rPr>
          <w:bCs w:val="0"/>
          <w:color w:val="000000"/>
          <w:lang w:eastAsia="x-none"/>
        </w:rPr>
      </w:pPr>
    </w:p>
    <w:p w:rsidR="005A0187" w:rsidRPr="005A0187" w:rsidP="005A0187">
      <w:pPr>
        <w:tabs>
          <w:tab w:val="num" w:pos="644"/>
        </w:tabs>
        <w:jc w:val="both"/>
        <w:rPr>
          <w:bCs w:val="0"/>
          <w:color w:val="000000"/>
          <w:lang w:eastAsia="x-none"/>
        </w:rPr>
      </w:pPr>
    </w:p>
    <w:p w:rsidR="005A0187" w:rsidRPr="005A0187" w:rsidP="005A0187">
      <w:pPr>
        <w:tabs>
          <w:tab w:val="num" w:pos="644"/>
        </w:tabs>
        <w:jc w:val="both"/>
        <w:rPr>
          <w:bCs w:val="0"/>
          <w:color w:val="000000"/>
          <w:lang w:eastAsia="x-none"/>
        </w:rPr>
      </w:pPr>
    </w:p>
    <w:p w:rsidR="005A0187" w:rsidRPr="005A0187" w:rsidP="005A0187">
      <w:pPr>
        <w:numPr>
          <w:ilvl w:val="0"/>
          <w:numId w:val="32"/>
        </w:numPr>
        <w:tabs>
          <w:tab w:val="num" w:pos="360"/>
          <w:tab w:val="num" w:pos="502"/>
        </w:tabs>
        <w:ind w:left="0" w:firstLine="0"/>
        <w:jc w:val="both"/>
        <w:rPr>
          <w:b/>
          <w:bCs w:val="0"/>
          <w:color w:val="000000"/>
          <w:lang w:eastAsia="x-none"/>
        </w:rPr>
      </w:pPr>
      <w:r w:rsidRPr="005A0187">
        <w:rPr>
          <w:b/>
          <w:bCs w:val="0"/>
          <w:color w:val="000000"/>
          <w:lang w:eastAsia="x-none"/>
        </w:rPr>
        <w:t>K </w:t>
      </w:r>
      <w:r w:rsidR="005413EE">
        <w:rPr>
          <w:b/>
          <w:bCs w:val="0"/>
          <w:color w:val="000000"/>
          <w:lang w:eastAsia="x-none"/>
        </w:rPr>
        <w:t>č</w:t>
      </w:r>
      <w:r w:rsidRPr="005A0187">
        <w:rPr>
          <w:b/>
          <w:bCs w:val="0"/>
          <w:color w:val="000000"/>
          <w:lang w:eastAsia="x-none"/>
        </w:rPr>
        <w:t>l. I bod 33</w:t>
      </w:r>
    </w:p>
    <w:p w:rsidR="005A0187" w:rsidRPr="005A0187" w:rsidP="005A0187">
      <w:pPr>
        <w:tabs>
          <w:tab w:val="num" w:pos="502"/>
          <w:tab w:val="num" w:pos="644"/>
        </w:tabs>
        <w:jc w:val="both"/>
        <w:rPr>
          <w:bCs w:val="0"/>
          <w:color w:val="000000"/>
          <w:lang w:eastAsia="x-none"/>
        </w:rPr>
      </w:pPr>
      <w:r w:rsidR="005413EE">
        <w:rPr>
          <w:bCs w:val="0"/>
          <w:color w:val="000000"/>
          <w:lang w:eastAsia="x-none"/>
        </w:rPr>
        <w:t xml:space="preserve">      </w:t>
      </w:r>
      <w:r w:rsidRPr="005A0187">
        <w:rPr>
          <w:bCs w:val="0"/>
          <w:color w:val="000000"/>
          <w:lang w:eastAsia="x-none"/>
        </w:rPr>
        <w:t xml:space="preserve">V </w:t>
      </w:r>
      <w:r w:rsidR="005413EE">
        <w:rPr>
          <w:bCs w:val="0"/>
          <w:color w:val="000000"/>
          <w:lang w:eastAsia="x-none"/>
        </w:rPr>
        <w:t>č</w:t>
      </w:r>
      <w:r w:rsidRPr="005A0187">
        <w:rPr>
          <w:bCs w:val="0"/>
          <w:color w:val="000000"/>
          <w:lang w:eastAsia="x-none"/>
        </w:rPr>
        <w:t>l. I sa za doterajší bod 33 vkladajú nové body 34 a 35, ktoré znejú:</w:t>
      </w:r>
    </w:p>
    <w:p w:rsidR="005A0187" w:rsidRPr="005A0187" w:rsidP="005A0187">
      <w:pPr>
        <w:tabs>
          <w:tab w:val="num" w:pos="993"/>
        </w:tabs>
        <w:ind w:firstLine="426"/>
        <w:jc w:val="both"/>
        <w:rPr>
          <w:bCs w:val="0"/>
          <w:color w:val="000000"/>
          <w:lang w:eastAsia="x-none"/>
        </w:rPr>
      </w:pPr>
      <w:r w:rsidRPr="005A0187">
        <w:rPr>
          <w:bCs w:val="0"/>
          <w:color w:val="000000"/>
          <w:lang w:eastAsia="x-none"/>
        </w:rPr>
        <w:t>„34.</w:t>
        <w:tab/>
        <w:t>V § 17 odsek 3 znie:</w:t>
      </w:r>
    </w:p>
    <w:p w:rsidR="005A0187" w:rsidRPr="005A0187" w:rsidP="005A0187">
      <w:pPr>
        <w:tabs>
          <w:tab w:val="num" w:pos="993"/>
        </w:tabs>
        <w:ind w:left="993"/>
        <w:jc w:val="both"/>
        <w:rPr>
          <w:bCs w:val="0"/>
          <w:color w:val="000000"/>
          <w:lang w:eastAsia="x-none"/>
        </w:rPr>
      </w:pPr>
      <w:r w:rsidRPr="005A0187">
        <w:rPr>
          <w:bCs w:val="0"/>
          <w:color w:val="000000"/>
          <w:lang w:eastAsia="x-none"/>
        </w:rPr>
        <w:t>„(3) Ak sú splnené podmienky podľa odsekov 1 a 2, colný úrad vráti daň do 30 dní odo dňa splnenia poslednej podmienky. Ak sa kontrolou oprávnenosti na vrátenie dane zistí, že podané daňové priznanie je nesprávne alebo neúplné, podá Ministerstvo obrany Slovenskej republiky dodatočné daňové priznanie, v ktorom uvedie iba rozdiely oproti daňovému priznaniu, pričom lehota podľa prvej vety platí rovnako. Ak sa zistí, že uplatnené vrátenie dane malo byť nižšie, použije sa postup podľa osobitného predpisu;</w:t>
      </w:r>
      <w:r w:rsidRPr="005A0187">
        <w:rPr>
          <w:bCs w:val="0"/>
          <w:color w:val="000000"/>
          <w:vertAlign w:val="superscript"/>
          <w:lang w:eastAsia="x-none"/>
        </w:rPr>
        <w:t>10a</w:t>
      </w:r>
      <w:r w:rsidRPr="005A0187">
        <w:rPr>
          <w:bCs w:val="0"/>
          <w:color w:val="000000"/>
          <w:lang w:eastAsia="x-none"/>
        </w:rPr>
        <w:t>) ustanovenia osobitného predpisu</w:t>
      </w:r>
      <w:r w:rsidRPr="005A0187">
        <w:rPr>
          <w:bCs w:val="0"/>
          <w:color w:val="000000"/>
          <w:vertAlign w:val="superscript"/>
          <w:lang w:eastAsia="x-none"/>
        </w:rPr>
        <w:t>11</w:t>
      </w:r>
      <w:r w:rsidRPr="005A0187">
        <w:rPr>
          <w:bCs w:val="0"/>
          <w:color w:val="000000"/>
          <w:lang w:eastAsia="x-none"/>
        </w:rPr>
        <w:t>) sa nepoužijú.“.</w:t>
      </w:r>
    </w:p>
    <w:p w:rsidR="005A0187" w:rsidRPr="005A0187" w:rsidP="005A0187">
      <w:pPr>
        <w:tabs>
          <w:tab w:val="num" w:pos="644"/>
        </w:tabs>
        <w:jc w:val="both"/>
        <w:rPr>
          <w:bCs w:val="0"/>
          <w:color w:val="000000"/>
          <w:lang w:eastAsia="x-none"/>
        </w:rPr>
      </w:pPr>
    </w:p>
    <w:p w:rsidR="005A0187" w:rsidRPr="005A0187" w:rsidP="005A0187">
      <w:pPr>
        <w:tabs>
          <w:tab w:val="num" w:pos="644"/>
        </w:tabs>
        <w:ind w:left="993" w:hanging="567"/>
        <w:jc w:val="both"/>
        <w:rPr>
          <w:bCs w:val="0"/>
          <w:color w:val="000000"/>
          <w:lang w:eastAsia="x-none"/>
        </w:rPr>
      </w:pPr>
      <w:r w:rsidRPr="005A0187">
        <w:rPr>
          <w:bCs w:val="0"/>
          <w:color w:val="000000"/>
          <w:lang w:eastAsia="x-none"/>
        </w:rPr>
        <w:t>35.</w:t>
        <w:tab/>
        <w:t>V § 19 ods. 6 písm. a) sa slová „2710 11 41, 2710 11 45 a 2710 11 49“ nahrádzajú</w:t>
      </w:r>
      <w:r w:rsidRPr="005A0187">
        <w:rPr>
          <w:bCs w:val="0"/>
          <w:color w:val="000000"/>
          <w:lang w:eastAsia="x-none"/>
        </w:rPr>
        <w:t xml:space="preserve"> slovami „2710 12 41, 2710 12 45 a 2710 12 49“.“.</w:t>
      </w:r>
    </w:p>
    <w:p w:rsidR="005A0187" w:rsidRPr="005A0187" w:rsidP="005A0187">
      <w:pPr>
        <w:tabs>
          <w:tab w:val="num" w:pos="644"/>
        </w:tabs>
        <w:jc w:val="both"/>
        <w:rPr>
          <w:bCs w:val="0"/>
          <w:color w:val="000000"/>
          <w:lang w:eastAsia="x-none"/>
        </w:rPr>
      </w:pPr>
    </w:p>
    <w:p w:rsidR="005A0187" w:rsidRPr="005A0187" w:rsidP="005A0187">
      <w:pPr>
        <w:tabs>
          <w:tab w:val="num" w:pos="644"/>
        </w:tabs>
        <w:ind w:firstLine="426"/>
        <w:jc w:val="both"/>
        <w:rPr>
          <w:bCs w:val="0"/>
          <w:color w:val="000000"/>
          <w:lang w:eastAsia="x-none"/>
        </w:rPr>
      </w:pPr>
      <w:r w:rsidRPr="005A0187">
        <w:rPr>
          <w:bCs w:val="0"/>
          <w:color w:val="000000"/>
          <w:lang w:eastAsia="x-none"/>
        </w:rPr>
        <w:t>Doterajšie body sa primerane prečíslujú.</w:t>
      </w:r>
    </w:p>
    <w:p w:rsidR="005A0187" w:rsidRPr="005A0187" w:rsidP="005A0187">
      <w:pPr>
        <w:tabs>
          <w:tab w:val="num" w:pos="644"/>
        </w:tabs>
        <w:jc w:val="both"/>
        <w:rPr>
          <w:bCs w:val="0"/>
          <w:color w:val="000000"/>
          <w:lang w:eastAsia="x-none"/>
        </w:rPr>
      </w:pPr>
    </w:p>
    <w:p w:rsidR="005A0187" w:rsidRPr="005A0187" w:rsidP="005A0187">
      <w:pPr>
        <w:tabs>
          <w:tab w:val="num" w:pos="644"/>
        </w:tabs>
        <w:jc w:val="both"/>
        <w:rPr>
          <w:bCs w:val="0"/>
          <w:color w:val="000000"/>
          <w:lang w:eastAsia="x-none"/>
        </w:rPr>
      </w:pPr>
    </w:p>
    <w:p w:rsidR="005A0187" w:rsidRPr="005A0187" w:rsidP="005A0187">
      <w:pPr>
        <w:autoSpaceDE w:val="0"/>
        <w:autoSpaceDN w:val="0"/>
        <w:adjustRightInd w:val="0"/>
        <w:ind w:left="2552"/>
        <w:jc w:val="both"/>
        <w:rPr>
          <w:rFonts w:eastAsia="Calibri"/>
          <w:color w:val="000000"/>
        </w:rPr>
      </w:pPr>
      <w:r w:rsidRPr="005A0187">
        <w:rPr>
          <w:rFonts w:eastAsia="Calibri"/>
          <w:color w:val="000000"/>
        </w:rPr>
        <w:t xml:space="preserve">V súvislosti s Nariadením komisie (EÚ) č. 1006/2011, ktorým sa mení a dopĺňa príloha č. I k nariadeniu Rady (EHS) č. 2658/87 o colnej štatistickej nomenklatúre a o Spoločnom colnom sadzobníku, ktorým sa zmenilo číslovanie väčšiny kódov kombinovanej nomenklatúry minerálnych olejov je potrebné zmeny premietnuť do príslušných stanovení zákona o spotrebnej dani z minerálneho oleja. </w:t>
      </w:r>
    </w:p>
    <w:p w:rsidR="005A0187" w:rsidRPr="005A0187" w:rsidP="005A0187">
      <w:pPr>
        <w:autoSpaceDE w:val="0"/>
        <w:autoSpaceDN w:val="0"/>
        <w:adjustRightInd w:val="0"/>
        <w:ind w:left="2552"/>
        <w:jc w:val="both"/>
        <w:rPr>
          <w:rFonts w:eastAsia="Calibri"/>
          <w:bCs w:val="0"/>
          <w:color w:val="000000"/>
        </w:rPr>
      </w:pPr>
      <w:r w:rsidRPr="005A0187">
        <w:rPr>
          <w:rFonts w:eastAsia="Calibri"/>
          <w:color w:val="000000"/>
        </w:rPr>
        <w:t>Súčasne sa navrhuje legislatívno-tec</w:t>
      </w:r>
      <w:r w:rsidRPr="005A0187">
        <w:rPr>
          <w:rFonts w:eastAsia="Calibri"/>
          <w:color w:val="000000"/>
        </w:rPr>
        <w:t xml:space="preserve">hnická úprava v súvislosti </w:t>
      </w:r>
      <w:r w:rsidRPr="005A0187">
        <w:rPr>
          <w:rFonts w:eastAsia="Calibri"/>
          <w:bCs w:val="0"/>
          <w:color w:val="000000"/>
        </w:rPr>
        <w:t>s navrhovaným vypustením ustanovení týkajúcich sa vrátenia dane, a to z dôvodu nadbytočnosti, nakoľko postup pri uplatnení vrátenia dane, ak si platiteľ dane uplatňuje zníženie alebo zvýšenie uplatneného vrátenia dane, je upravený zákonom č. 563/2009 Z. z. o správe daní (daňový poriadok) a o zmene a doplnení niektorých zákonov (ďalej len „daňový poriadok“).</w:t>
      </w:r>
    </w:p>
    <w:p w:rsidR="005A0187" w:rsidRPr="005A0187" w:rsidP="005A0187">
      <w:pPr>
        <w:tabs>
          <w:tab w:val="num" w:pos="644"/>
        </w:tabs>
        <w:jc w:val="both"/>
        <w:rPr>
          <w:bCs w:val="0"/>
          <w:color w:val="000000"/>
          <w:lang w:eastAsia="x-none"/>
        </w:rPr>
      </w:pPr>
    </w:p>
    <w:p w:rsidR="005A0187" w:rsidRPr="005A0187" w:rsidP="005A0187">
      <w:pPr>
        <w:tabs>
          <w:tab w:val="num" w:pos="644"/>
        </w:tabs>
        <w:jc w:val="both"/>
        <w:rPr>
          <w:bCs w:val="0"/>
          <w:color w:val="000000"/>
          <w:lang w:eastAsia="x-none"/>
        </w:rPr>
      </w:pPr>
    </w:p>
    <w:p w:rsidR="005413EE" w:rsidRPr="005413EE" w:rsidP="005413EE">
      <w:pPr>
        <w:pStyle w:val="ListParagraph"/>
        <w:numPr>
          <w:ilvl w:val="0"/>
          <w:numId w:val="32"/>
        </w:numPr>
        <w:spacing w:after="0" w:line="240" w:lineRule="auto"/>
        <w:jc w:val="both"/>
        <w:rPr>
          <w:rFonts w:ascii="Times New Roman" w:hAnsi="Times New Roman"/>
          <w:b/>
          <w:sz w:val="24"/>
          <w:szCs w:val="24"/>
        </w:rPr>
      </w:pPr>
      <w:r w:rsidRPr="005413EE">
        <w:rPr>
          <w:rFonts w:ascii="Times New Roman" w:hAnsi="Times New Roman"/>
          <w:b/>
          <w:sz w:val="24"/>
          <w:szCs w:val="24"/>
        </w:rPr>
        <w:t>K čl. I bod 52</w:t>
      </w:r>
    </w:p>
    <w:p w:rsidR="005A0187" w:rsidRPr="005413EE" w:rsidP="005413EE">
      <w:pPr>
        <w:pStyle w:val="ListParagraph"/>
        <w:spacing w:after="0" w:line="240" w:lineRule="auto"/>
        <w:ind w:left="644"/>
        <w:jc w:val="both"/>
        <w:rPr>
          <w:rFonts w:ascii="Times New Roman" w:hAnsi="Times New Roman"/>
          <w:sz w:val="24"/>
          <w:szCs w:val="24"/>
        </w:rPr>
      </w:pPr>
      <w:r w:rsidRPr="005413EE">
        <w:rPr>
          <w:rFonts w:ascii="Times New Roman" w:hAnsi="Times New Roman"/>
          <w:sz w:val="24"/>
          <w:szCs w:val="24"/>
        </w:rPr>
        <w:t xml:space="preserve">V čl. I v bode 52. sa slová „V § 23 ods. </w:t>
      </w:r>
      <w:smartTag w:uri="urn:schemas-microsoft-com:office:smarttags" w:element="metricconverter">
        <w:smartTagPr>
          <w:attr w:name="ProductID" w:val="9 a"/>
        </w:smartTagPr>
        <w:r w:rsidRPr="005413EE">
          <w:rPr>
            <w:rFonts w:ascii="Times New Roman" w:hAnsi="Times New Roman"/>
            <w:sz w:val="24"/>
            <w:szCs w:val="24"/>
          </w:rPr>
          <w:t>9 a</w:t>
        </w:r>
      </w:smartTag>
      <w:r w:rsidRPr="005413EE">
        <w:rPr>
          <w:rFonts w:ascii="Times New Roman" w:hAnsi="Times New Roman"/>
          <w:sz w:val="24"/>
          <w:szCs w:val="24"/>
        </w:rPr>
        <w:t xml:space="preserve"> § 24 ods. 8 prvej vete sa na konci“ nahrádzajú slovami „V § 23 </w:t>
      </w:r>
      <w:r w:rsidRPr="005413EE">
        <w:rPr>
          <w:rFonts w:ascii="Times New Roman" w:hAnsi="Times New Roman"/>
          <w:sz w:val="24"/>
          <w:szCs w:val="24"/>
        </w:rPr>
        <w:t>ods. 9 v prvej vete na konci  a v § 24 ods. 8 v prvej vete na konci sa“.</w:t>
      </w:r>
    </w:p>
    <w:p w:rsidR="005A0187" w:rsidRPr="005413EE" w:rsidP="005413EE">
      <w:pPr>
        <w:pStyle w:val="ListParagraph"/>
        <w:spacing w:after="0" w:line="240" w:lineRule="auto"/>
        <w:ind w:left="360"/>
        <w:jc w:val="both"/>
        <w:rPr>
          <w:rFonts w:ascii="Times New Roman" w:hAnsi="Times New Roman"/>
          <w:sz w:val="24"/>
          <w:szCs w:val="24"/>
        </w:rPr>
      </w:pPr>
    </w:p>
    <w:p w:rsidR="005A0187" w:rsidRPr="005413EE" w:rsidP="005413EE">
      <w:pPr>
        <w:jc w:val="both"/>
      </w:pPr>
      <w:r w:rsidRPr="005413EE">
        <w:tab/>
        <w:tab/>
        <w:tab/>
      </w:r>
      <w:r w:rsidR="005413EE">
        <w:t xml:space="preserve">      </w:t>
      </w:r>
      <w:r w:rsidRPr="005413EE">
        <w:t>Spresnenie ustanovenia.</w:t>
      </w:r>
    </w:p>
    <w:p w:rsidR="005A0187" w:rsidP="005413EE">
      <w:pPr>
        <w:jc w:val="both"/>
      </w:pPr>
    </w:p>
    <w:p w:rsidR="005413EE" w:rsidRPr="005413EE" w:rsidP="005413EE">
      <w:pPr>
        <w:jc w:val="both"/>
      </w:pPr>
    </w:p>
    <w:p w:rsidR="005413EE" w:rsidRPr="005413EE" w:rsidP="005413EE">
      <w:pPr>
        <w:pStyle w:val="ListParagraph"/>
        <w:numPr>
          <w:ilvl w:val="0"/>
          <w:numId w:val="32"/>
        </w:numPr>
        <w:spacing w:after="0" w:line="240" w:lineRule="auto"/>
        <w:ind w:left="714" w:hanging="357"/>
        <w:jc w:val="both"/>
        <w:rPr>
          <w:rFonts w:ascii="Times New Roman" w:hAnsi="Times New Roman"/>
          <w:b/>
          <w:sz w:val="24"/>
          <w:szCs w:val="24"/>
        </w:rPr>
      </w:pPr>
      <w:r w:rsidRPr="005413EE">
        <w:rPr>
          <w:rFonts w:ascii="Times New Roman" w:hAnsi="Times New Roman"/>
          <w:b/>
          <w:sz w:val="24"/>
          <w:szCs w:val="24"/>
        </w:rPr>
        <w:t>K čl. I bod 55</w:t>
      </w:r>
    </w:p>
    <w:p w:rsidR="005A0187" w:rsidRPr="005413EE" w:rsidP="005413EE">
      <w:pPr>
        <w:pStyle w:val="ListParagraph"/>
        <w:spacing w:after="0" w:line="240" w:lineRule="auto"/>
        <w:ind w:left="714"/>
        <w:jc w:val="both"/>
        <w:rPr>
          <w:rFonts w:ascii="Times New Roman" w:hAnsi="Times New Roman"/>
          <w:sz w:val="24"/>
          <w:szCs w:val="24"/>
        </w:rPr>
      </w:pPr>
      <w:r w:rsidRPr="005413EE">
        <w:rPr>
          <w:rFonts w:ascii="Times New Roman" w:hAnsi="Times New Roman"/>
          <w:sz w:val="24"/>
          <w:szCs w:val="24"/>
        </w:rPr>
        <w:t xml:space="preserve">V čl. I v bode 55. sa slová „V § 23 ods. </w:t>
      </w:r>
      <w:smartTag w:uri="urn:schemas-microsoft-com:office:smarttags" w:element="metricconverter">
        <w:smartTagPr>
          <w:attr w:name="ProductID" w:val="14 a"/>
        </w:smartTagPr>
        <w:r w:rsidRPr="005413EE">
          <w:rPr>
            <w:rFonts w:ascii="Times New Roman" w:hAnsi="Times New Roman"/>
            <w:sz w:val="24"/>
            <w:szCs w:val="24"/>
          </w:rPr>
          <w:t>14 a</w:t>
        </w:r>
      </w:smartTag>
      <w:r w:rsidRPr="005413EE">
        <w:rPr>
          <w:rFonts w:ascii="Times New Roman" w:hAnsi="Times New Roman"/>
          <w:sz w:val="24"/>
          <w:szCs w:val="24"/>
        </w:rPr>
        <w:t xml:space="preserve"> § 24 ods. 13 poslednej vete“ nahrádzajú slovami „V § 23 ods. 14 v poslednej vete a v §</w:t>
      </w:r>
      <w:r w:rsidRPr="005413EE">
        <w:rPr>
          <w:rFonts w:ascii="Times New Roman" w:hAnsi="Times New Roman"/>
          <w:sz w:val="24"/>
          <w:szCs w:val="24"/>
        </w:rPr>
        <w:t xml:space="preserve"> 24 ods. 13 v poslednej vete“.</w:t>
      </w:r>
    </w:p>
    <w:p w:rsidR="005A0187" w:rsidRPr="005413EE" w:rsidP="005413EE">
      <w:pPr>
        <w:pStyle w:val="ListParagraph"/>
        <w:spacing w:after="0" w:line="240" w:lineRule="auto"/>
        <w:ind w:left="357"/>
        <w:jc w:val="both"/>
        <w:rPr>
          <w:rFonts w:ascii="Times New Roman" w:hAnsi="Times New Roman"/>
          <w:sz w:val="24"/>
          <w:szCs w:val="24"/>
        </w:rPr>
      </w:pPr>
    </w:p>
    <w:p w:rsidR="005A0187" w:rsidRPr="005413EE" w:rsidP="005413EE">
      <w:pPr>
        <w:jc w:val="both"/>
      </w:pPr>
      <w:r w:rsidRPr="005413EE">
        <w:tab/>
        <w:tab/>
        <w:tab/>
      </w:r>
      <w:r w:rsidR="005413EE">
        <w:t xml:space="preserve">     </w:t>
      </w:r>
      <w:r w:rsidRPr="005413EE">
        <w:t>Spresnenie ustanovenia.</w:t>
      </w:r>
    </w:p>
    <w:p w:rsidR="005A0187" w:rsidP="005413EE">
      <w:pPr>
        <w:jc w:val="both"/>
      </w:pPr>
    </w:p>
    <w:p w:rsidR="005413EE" w:rsidRPr="005413EE" w:rsidP="005413EE">
      <w:pPr>
        <w:jc w:val="both"/>
      </w:pPr>
    </w:p>
    <w:p w:rsidR="005413EE" w:rsidRPr="005413EE" w:rsidP="005413EE">
      <w:pPr>
        <w:pStyle w:val="ListParagraph"/>
        <w:numPr>
          <w:ilvl w:val="0"/>
          <w:numId w:val="32"/>
        </w:numPr>
        <w:spacing w:after="0" w:line="240" w:lineRule="auto"/>
        <w:ind w:left="714" w:hanging="357"/>
        <w:jc w:val="both"/>
        <w:rPr>
          <w:rFonts w:ascii="Times New Roman" w:hAnsi="Times New Roman"/>
          <w:b/>
          <w:sz w:val="24"/>
          <w:szCs w:val="24"/>
        </w:rPr>
      </w:pPr>
      <w:r w:rsidRPr="005413EE">
        <w:rPr>
          <w:rFonts w:ascii="Times New Roman" w:hAnsi="Times New Roman"/>
          <w:b/>
          <w:sz w:val="24"/>
          <w:szCs w:val="24"/>
        </w:rPr>
        <w:t>K čl. I bod 61</w:t>
      </w:r>
    </w:p>
    <w:p w:rsidR="005A0187" w:rsidRPr="005413EE" w:rsidP="005413EE">
      <w:pPr>
        <w:pStyle w:val="ListParagraph"/>
        <w:spacing w:after="0" w:line="240" w:lineRule="auto"/>
        <w:ind w:left="714"/>
        <w:jc w:val="both"/>
        <w:rPr>
          <w:rFonts w:ascii="Times New Roman" w:hAnsi="Times New Roman"/>
          <w:sz w:val="24"/>
          <w:szCs w:val="24"/>
        </w:rPr>
      </w:pPr>
      <w:r w:rsidRPr="005413EE">
        <w:rPr>
          <w:rFonts w:ascii="Times New Roman" w:hAnsi="Times New Roman"/>
          <w:sz w:val="24"/>
          <w:szCs w:val="24"/>
        </w:rPr>
        <w:t>V čl. I v bode 61. V § 25a ods. 2  sa odkaz na poznámku pod čiarou „20b)“ označuje ako „20d)“. Táto zmena sa spraví aj v samotnej vkladanej poznámke pod čiarou.</w:t>
      </w:r>
    </w:p>
    <w:p w:rsidR="005A0187" w:rsidRPr="005413EE" w:rsidP="005413EE">
      <w:pPr>
        <w:ind w:left="2124"/>
        <w:jc w:val="both"/>
      </w:pPr>
      <w:r w:rsidR="005413EE">
        <w:t xml:space="preserve">  </w:t>
      </w:r>
    </w:p>
    <w:p w:rsidR="005413EE" w:rsidP="005413EE">
      <w:pPr>
        <w:ind w:left="2124"/>
        <w:jc w:val="both"/>
      </w:pPr>
      <w:r>
        <w:t xml:space="preserve">     </w:t>
      </w:r>
      <w:r w:rsidRPr="005413EE" w:rsidR="005A0187">
        <w:t xml:space="preserve">Novovkladaná poznámka pod čiarou musí rešpektovať poradie </w:t>
      </w:r>
      <w:r>
        <w:t xml:space="preserve">    </w:t>
      </w:r>
    </w:p>
    <w:p w:rsidR="005413EE" w:rsidP="005413EE">
      <w:pPr>
        <w:ind w:left="2124"/>
        <w:jc w:val="both"/>
      </w:pPr>
      <w:r>
        <w:t xml:space="preserve">     </w:t>
      </w:r>
      <w:r w:rsidRPr="005413EE" w:rsidR="005A0187">
        <w:t xml:space="preserve">doterajších poznámok pod čiarou v platnom predpise, tak aby nedošlo </w:t>
      </w:r>
      <w:r>
        <w:t xml:space="preserve"> </w:t>
      </w:r>
    </w:p>
    <w:p w:rsidR="005413EE" w:rsidP="005413EE">
      <w:pPr>
        <w:ind w:left="2124"/>
        <w:jc w:val="both"/>
      </w:pPr>
      <w:r>
        <w:t xml:space="preserve">     </w:t>
      </w:r>
      <w:r w:rsidRPr="005413EE" w:rsidR="005A0187">
        <w:t xml:space="preserve">k nezamýšlanej zmene platnej a stále používanej poznámky 20b (napr. </w:t>
      </w:r>
    </w:p>
    <w:p w:rsidR="005A0187" w:rsidRPr="005413EE" w:rsidP="005413EE">
      <w:pPr>
        <w:ind w:left="2124"/>
        <w:jc w:val="both"/>
      </w:pPr>
      <w:r w:rsidR="005413EE">
        <w:t xml:space="preserve">     </w:t>
      </w:r>
      <w:r w:rsidRPr="005413EE">
        <w:t>v čl. I 52. bod).</w:t>
      </w:r>
    </w:p>
    <w:p w:rsidR="005A0187" w:rsidRPr="005A0187" w:rsidP="005413EE">
      <w:pPr>
        <w:tabs>
          <w:tab w:val="num" w:pos="644"/>
        </w:tabs>
        <w:jc w:val="both"/>
        <w:rPr>
          <w:bCs w:val="0"/>
          <w:color w:val="000000"/>
          <w:lang w:eastAsia="x-none"/>
        </w:rPr>
      </w:pPr>
    </w:p>
    <w:p w:rsidR="005A0187" w:rsidRPr="005A0187" w:rsidP="005413EE">
      <w:pPr>
        <w:tabs>
          <w:tab w:val="num" w:pos="644"/>
        </w:tabs>
        <w:jc w:val="both"/>
        <w:rPr>
          <w:bCs w:val="0"/>
          <w:color w:val="000000"/>
          <w:lang w:eastAsia="x-none"/>
        </w:rPr>
      </w:pPr>
    </w:p>
    <w:p w:rsidR="005A0187" w:rsidRPr="005A0187" w:rsidP="005413EE">
      <w:pPr>
        <w:tabs>
          <w:tab w:val="num" w:pos="644"/>
        </w:tabs>
        <w:jc w:val="both"/>
        <w:rPr>
          <w:bCs w:val="0"/>
          <w:color w:val="000000"/>
          <w:lang w:eastAsia="x-none"/>
        </w:rPr>
      </w:pPr>
    </w:p>
    <w:p w:rsidR="005A0187" w:rsidRPr="005A0187" w:rsidP="005413EE">
      <w:pPr>
        <w:numPr>
          <w:ilvl w:val="0"/>
          <w:numId w:val="32"/>
        </w:numPr>
        <w:tabs>
          <w:tab w:val="num" w:pos="360"/>
          <w:tab w:val="num" w:pos="502"/>
        </w:tabs>
        <w:ind w:left="0" w:firstLine="0"/>
        <w:jc w:val="both"/>
        <w:rPr>
          <w:b/>
          <w:bCs w:val="0"/>
          <w:color w:val="000000"/>
          <w:lang w:eastAsia="x-none"/>
        </w:rPr>
      </w:pPr>
      <w:r w:rsidRPr="005A0187">
        <w:rPr>
          <w:b/>
          <w:bCs w:val="0"/>
          <w:color w:val="000000"/>
          <w:lang w:eastAsia="x-none"/>
        </w:rPr>
        <w:t>K </w:t>
      </w:r>
      <w:r w:rsidR="005413EE">
        <w:rPr>
          <w:b/>
          <w:bCs w:val="0"/>
          <w:color w:val="000000"/>
          <w:lang w:eastAsia="x-none"/>
        </w:rPr>
        <w:t>č</w:t>
      </w:r>
      <w:r w:rsidRPr="005A0187">
        <w:rPr>
          <w:b/>
          <w:bCs w:val="0"/>
          <w:color w:val="000000"/>
          <w:lang w:eastAsia="x-none"/>
        </w:rPr>
        <w:t>l. I body 91 a 92</w:t>
      </w:r>
    </w:p>
    <w:p w:rsidR="005A0187" w:rsidRPr="005A0187" w:rsidP="005413EE">
      <w:pPr>
        <w:tabs>
          <w:tab w:val="num" w:pos="502"/>
        </w:tabs>
        <w:jc w:val="both"/>
        <w:rPr>
          <w:bCs w:val="0"/>
          <w:color w:val="000000"/>
          <w:lang w:eastAsia="x-none"/>
        </w:rPr>
      </w:pPr>
      <w:r w:rsidR="005413EE">
        <w:rPr>
          <w:bCs w:val="0"/>
          <w:color w:val="000000"/>
          <w:lang w:eastAsia="x-none"/>
        </w:rPr>
        <w:t xml:space="preserve">   </w:t>
      </w:r>
      <w:r w:rsidR="005413EE">
        <w:rPr>
          <w:bCs w:val="0"/>
          <w:color w:val="000000"/>
          <w:lang w:eastAsia="x-none"/>
        </w:rPr>
        <w:t xml:space="preserve">   </w:t>
      </w:r>
      <w:r w:rsidRPr="005A0187">
        <w:rPr>
          <w:bCs w:val="0"/>
          <w:color w:val="000000"/>
          <w:lang w:eastAsia="x-none"/>
        </w:rPr>
        <w:t>V </w:t>
      </w:r>
      <w:r w:rsidR="005413EE">
        <w:rPr>
          <w:bCs w:val="0"/>
          <w:color w:val="000000"/>
          <w:lang w:eastAsia="x-none"/>
        </w:rPr>
        <w:t>č</w:t>
      </w:r>
      <w:r w:rsidRPr="005A0187">
        <w:rPr>
          <w:bCs w:val="0"/>
          <w:color w:val="000000"/>
          <w:lang w:eastAsia="x-none"/>
        </w:rPr>
        <w:t>l. I doterajšie body 91 a 92 znejú:</w:t>
      </w:r>
    </w:p>
    <w:p w:rsidR="005A0187" w:rsidRPr="005A0187" w:rsidP="005413EE">
      <w:pPr>
        <w:tabs>
          <w:tab w:val="left" w:pos="993"/>
        </w:tabs>
        <w:ind w:firstLine="426"/>
        <w:jc w:val="both"/>
        <w:rPr>
          <w:rFonts w:eastAsia="Calibri"/>
          <w:bCs w:val="0"/>
          <w:color w:val="000000"/>
        </w:rPr>
      </w:pPr>
      <w:r w:rsidRPr="005A0187">
        <w:rPr>
          <w:rFonts w:eastAsia="Calibri"/>
          <w:bCs w:val="0"/>
          <w:color w:val="000000"/>
        </w:rPr>
        <w:t>„91</w:t>
      </w:r>
      <w:r w:rsidRPr="005A0187">
        <w:rPr>
          <w:rFonts w:eastAsia="Calibri"/>
          <w:bCs w:val="0"/>
          <w:color w:val="FF0000"/>
        </w:rPr>
        <w:t>.</w:t>
      </w:r>
      <w:r w:rsidRPr="005A0187">
        <w:rPr>
          <w:rFonts w:eastAsia="Calibri"/>
          <w:bCs w:val="0"/>
          <w:color w:val="000000"/>
        </w:rPr>
        <w:tab/>
        <w:t>V § 43 odsek 2 znie:</w:t>
      </w:r>
    </w:p>
    <w:p w:rsidR="005A0187" w:rsidRPr="005A0187" w:rsidP="005413EE">
      <w:pPr>
        <w:ind w:left="993"/>
        <w:jc w:val="both"/>
        <w:rPr>
          <w:rFonts w:eastAsia="Calibri"/>
          <w:bCs w:val="0"/>
          <w:color w:val="000000"/>
        </w:rPr>
      </w:pPr>
      <w:r w:rsidRPr="005A0187">
        <w:rPr>
          <w:rFonts w:eastAsia="Calibri"/>
          <w:bCs w:val="0"/>
          <w:color w:val="000000"/>
        </w:rPr>
        <w:t>„(2) Na postup colného úradu sa pri zaradení do evidencie podľa § 11, 19a, 25a a 25b a vydaní povolenia na výrobu zmesi podľa § 19 ods. 7 vzťahujú ustanovenia osobitného predpisu o registračnom konaní.</w:t>
      </w:r>
      <w:r w:rsidRPr="005A0187">
        <w:rPr>
          <w:rFonts w:eastAsia="Calibri"/>
          <w:bCs w:val="0"/>
          <w:color w:val="000000"/>
          <w:vertAlign w:val="superscript"/>
        </w:rPr>
        <w:t>30b</w:t>
      </w:r>
      <w:r w:rsidRPr="005A0187">
        <w:rPr>
          <w:rFonts w:eastAsia="Calibri"/>
          <w:bCs w:val="0"/>
          <w:color w:val="000000"/>
        </w:rPr>
        <w:t>)“.</w:t>
      </w:r>
    </w:p>
    <w:p w:rsidR="005A0187" w:rsidRPr="005A0187" w:rsidP="005413EE">
      <w:pPr>
        <w:jc w:val="both"/>
        <w:rPr>
          <w:rFonts w:eastAsia="Calibri"/>
          <w:bCs w:val="0"/>
          <w:color w:val="000000"/>
        </w:rPr>
      </w:pPr>
    </w:p>
    <w:p w:rsidR="005A0187" w:rsidRPr="005A0187" w:rsidP="005413EE">
      <w:pPr>
        <w:ind w:left="993"/>
        <w:jc w:val="both"/>
        <w:rPr>
          <w:rFonts w:eastAsia="Calibri"/>
          <w:bCs w:val="0"/>
          <w:color w:val="000000"/>
        </w:rPr>
      </w:pPr>
      <w:r w:rsidRPr="005A0187">
        <w:rPr>
          <w:rFonts w:eastAsia="Calibri"/>
          <w:bCs w:val="0"/>
          <w:color w:val="000000"/>
        </w:rPr>
        <w:t>Poznámka pod čiarou k odkazu 31a znie:</w:t>
      </w:r>
    </w:p>
    <w:p w:rsidR="005A0187" w:rsidRPr="005A0187" w:rsidP="005413EE">
      <w:pPr>
        <w:ind w:left="993"/>
        <w:jc w:val="both"/>
        <w:rPr>
          <w:rFonts w:eastAsia="Calibri"/>
          <w:bCs w:val="0"/>
          <w:color w:val="000000"/>
        </w:rPr>
      </w:pPr>
      <w:r w:rsidRPr="005A0187">
        <w:rPr>
          <w:rFonts w:eastAsia="Calibri"/>
          <w:bCs w:val="0"/>
          <w:color w:val="000000"/>
        </w:rPr>
        <w:t>„</w:t>
      </w:r>
      <w:r w:rsidRPr="005A0187">
        <w:rPr>
          <w:rFonts w:eastAsia="Calibri"/>
          <w:bCs w:val="0"/>
          <w:color w:val="000000"/>
          <w:vertAlign w:val="superscript"/>
        </w:rPr>
        <w:t>30b</w:t>
      </w:r>
      <w:r w:rsidRPr="005A0187">
        <w:rPr>
          <w:rFonts w:eastAsia="Calibri"/>
          <w:bCs w:val="0"/>
          <w:color w:val="000000"/>
        </w:rPr>
        <w:t>) § 67 zákona č. 563/2009 Z. z. v znení zákona č. 331/2011 Z. z.“.</w:t>
      </w:r>
    </w:p>
    <w:p w:rsidR="005A0187" w:rsidRPr="005A0187" w:rsidP="005413EE">
      <w:pPr>
        <w:tabs>
          <w:tab w:val="left" w:pos="360"/>
        </w:tabs>
        <w:jc w:val="both"/>
        <w:rPr>
          <w:rFonts w:eastAsia="Calibri"/>
          <w:bCs w:val="0"/>
          <w:color w:val="000000"/>
        </w:rPr>
      </w:pPr>
    </w:p>
    <w:p w:rsidR="005A0187" w:rsidRPr="005A0187" w:rsidP="005413EE">
      <w:pPr>
        <w:tabs>
          <w:tab w:val="left" w:pos="993"/>
        </w:tabs>
        <w:ind w:left="993" w:hanging="567"/>
        <w:jc w:val="both"/>
        <w:rPr>
          <w:rFonts w:eastAsia="Calibri"/>
          <w:bCs w:val="0"/>
        </w:rPr>
      </w:pPr>
      <w:r w:rsidRPr="005A0187">
        <w:rPr>
          <w:rFonts w:eastAsia="Calibri"/>
          <w:bCs w:val="0"/>
          <w:color w:val="000000"/>
        </w:rPr>
        <w:t>92</w:t>
      </w:r>
      <w:r w:rsidRPr="005A0187">
        <w:rPr>
          <w:rFonts w:eastAsia="Calibri"/>
          <w:bCs w:val="0"/>
          <w:color w:val="FF0000"/>
        </w:rPr>
        <w:t>.</w:t>
      </w:r>
      <w:r w:rsidRPr="005A0187">
        <w:rPr>
          <w:rFonts w:eastAsia="Calibri"/>
          <w:bCs w:val="0"/>
          <w:color w:val="000000"/>
        </w:rPr>
        <w:tab/>
        <w:t xml:space="preserve">V § 44 ods. 3 sa nad slovom „predpis“ odkaz </w:t>
      </w:r>
      <w:r w:rsidRPr="005A0187">
        <w:rPr>
          <w:rFonts w:eastAsia="Calibri"/>
          <w:bCs w:val="0"/>
        </w:rPr>
        <w:t>„25)“ nahrádza odkazom „20aa)“.“.</w:t>
      </w:r>
    </w:p>
    <w:p w:rsidR="005A0187" w:rsidRPr="005A0187" w:rsidP="005413EE">
      <w:pPr>
        <w:tabs>
          <w:tab w:val="num" w:pos="502"/>
        </w:tabs>
        <w:jc w:val="both"/>
        <w:rPr>
          <w:bCs w:val="0"/>
          <w:lang w:eastAsia="x-none"/>
        </w:rPr>
      </w:pPr>
    </w:p>
    <w:p w:rsidR="005A0187" w:rsidRPr="005A0187" w:rsidP="005413EE">
      <w:pPr>
        <w:autoSpaceDE w:val="0"/>
        <w:autoSpaceDN w:val="0"/>
        <w:adjustRightInd w:val="0"/>
        <w:ind w:left="2552"/>
        <w:jc w:val="both"/>
        <w:rPr>
          <w:rFonts w:eastAsia="Calibri"/>
          <w:bCs w:val="0"/>
          <w:color w:val="000000"/>
        </w:rPr>
      </w:pPr>
      <w:r w:rsidRPr="005A0187">
        <w:rPr>
          <w:rFonts w:eastAsia="Calibri"/>
          <w:color w:val="000000"/>
        </w:rPr>
        <w:t>Legislatívno-technická úprava v súvislost</w:t>
      </w:r>
      <w:r w:rsidRPr="005A0187">
        <w:rPr>
          <w:rFonts w:eastAsia="Calibri"/>
          <w:color w:val="000000"/>
        </w:rPr>
        <w:t xml:space="preserve">i </w:t>
      </w:r>
      <w:r w:rsidRPr="005A0187">
        <w:rPr>
          <w:rFonts w:eastAsia="Calibri"/>
          <w:bCs w:val="0"/>
          <w:color w:val="000000"/>
        </w:rPr>
        <w:t>s navrhovaným vypustením ustanovení týkajúcich sa vrátenia dane, a to z dôvodu nadbytočnosti, nakoľko postup pri uplatnení vrátenia dane, ak si platiteľ dane uplatňuje zníženie alebo zvýšenie uplatneného vrátenia dane, je upravený daňový poriadkom.</w:t>
      </w:r>
    </w:p>
    <w:p w:rsidR="005A0187" w:rsidRPr="005A0187" w:rsidP="005413EE">
      <w:pPr>
        <w:tabs>
          <w:tab w:val="num" w:pos="502"/>
        </w:tabs>
        <w:jc w:val="both"/>
        <w:rPr>
          <w:bCs w:val="0"/>
          <w:lang w:eastAsia="x-none"/>
        </w:rPr>
      </w:pPr>
    </w:p>
    <w:p w:rsidR="005A0187" w:rsidRPr="005A0187" w:rsidP="005413EE">
      <w:pPr>
        <w:tabs>
          <w:tab w:val="num" w:pos="502"/>
        </w:tabs>
        <w:jc w:val="both"/>
        <w:rPr>
          <w:bCs w:val="0"/>
          <w:lang w:eastAsia="x-none"/>
        </w:rPr>
      </w:pPr>
    </w:p>
    <w:p w:rsidR="005413EE" w:rsidRPr="005413EE" w:rsidP="005413EE">
      <w:pPr>
        <w:pStyle w:val="ListParagraph"/>
        <w:numPr>
          <w:ilvl w:val="0"/>
          <w:numId w:val="32"/>
        </w:numPr>
        <w:tabs>
          <w:tab w:val="num" w:pos="426"/>
          <w:tab w:val="clear" w:pos="644"/>
        </w:tabs>
        <w:spacing w:after="0" w:line="240" w:lineRule="auto"/>
        <w:ind w:left="426"/>
        <w:jc w:val="both"/>
        <w:rPr>
          <w:rFonts w:ascii="Times New Roman" w:hAnsi="Times New Roman"/>
          <w:b/>
          <w:sz w:val="24"/>
          <w:szCs w:val="24"/>
        </w:rPr>
      </w:pPr>
      <w:r w:rsidRPr="005413EE">
        <w:rPr>
          <w:rFonts w:ascii="Times New Roman" w:hAnsi="Times New Roman"/>
          <w:b/>
          <w:sz w:val="24"/>
          <w:szCs w:val="24"/>
        </w:rPr>
        <w:t>K č</w:t>
      </w:r>
      <w:r w:rsidRPr="005413EE">
        <w:rPr>
          <w:rFonts w:ascii="Times New Roman" w:hAnsi="Times New Roman"/>
          <w:b/>
          <w:sz w:val="24"/>
          <w:szCs w:val="24"/>
        </w:rPr>
        <w:t>l. I bod 93</w:t>
      </w:r>
    </w:p>
    <w:p w:rsidR="005413EE" w:rsidP="005413EE">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5413EE" w:rsidR="005A0187">
        <w:rPr>
          <w:rFonts w:ascii="Times New Roman" w:hAnsi="Times New Roman"/>
          <w:sz w:val="24"/>
          <w:szCs w:val="24"/>
        </w:rPr>
        <w:t xml:space="preserve">V čl. I v bode 93. v § 46h ods. 8 sa slová „do 28. februára 2012“ nahrádzajú slovami  „do 29. </w:t>
      </w:r>
      <w:r>
        <w:rPr>
          <w:rFonts w:ascii="Times New Roman" w:hAnsi="Times New Roman"/>
          <w:sz w:val="24"/>
          <w:szCs w:val="24"/>
        </w:rPr>
        <w:t xml:space="preserve">   </w:t>
      </w:r>
    </w:p>
    <w:p w:rsidR="005A0187" w:rsidRPr="005413EE" w:rsidP="005413EE">
      <w:pPr>
        <w:pStyle w:val="ListParagraph"/>
        <w:spacing w:after="0" w:line="240" w:lineRule="auto"/>
        <w:ind w:left="0"/>
        <w:jc w:val="both"/>
        <w:rPr>
          <w:rFonts w:ascii="Times New Roman" w:hAnsi="Times New Roman"/>
          <w:sz w:val="24"/>
          <w:szCs w:val="24"/>
        </w:rPr>
      </w:pPr>
      <w:r w:rsidR="005413EE">
        <w:rPr>
          <w:rFonts w:ascii="Times New Roman" w:hAnsi="Times New Roman"/>
          <w:sz w:val="24"/>
          <w:szCs w:val="24"/>
        </w:rPr>
        <w:t xml:space="preserve">       </w:t>
      </w:r>
      <w:r w:rsidRPr="005413EE">
        <w:rPr>
          <w:rFonts w:ascii="Times New Roman" w:hAnsi="Times New Roman"/>
          <w:sz w:val="24"/>
          <w:szCs w:val="24"/>
        </w:rPr>
        <w:t>februára 2012“.</w:t>
      </w:r>
    </w:p>
    <w:p w:rsidR="005A0187" w:rsidRPr="005413EE" w:rsidP="005413EE">
      <w:pPr>
        <w:ind w:left="2124"/>
        <w:jc w:val="both"/>
      </w:pPr>
    </w:p>
    <w:p w:rsidR="005A0187" w:rsidRPr="005413EE" w:rsidP="005413EE">
      <w:pPr>
        <w:ind w:left="2124"/>
        <w:jc w:val="both"/>
      </w:pPr>
      <w:r w:rsidRPr="005413EE">
        <w:t>Február roku 2012 má 29 dní preto je potrebná uvedená oprava ak má lehota končiť posledný deň mesiaca.</w:t>
      </w:r>
    </w:p>
    <w:p w:rsidR="005A0187" w:rsidRPr="005413EE" w:rsidP="005413EE">
      <w:pPr>
        <w:tabs>
          <w:tab w:val="num" w:pos="502"/>
        </w:tabs>
        <w:jc w:val="both"/>
        <w:rPr>
          <w:bCs w:val="0"/>
          <w:lang w:eastAsia="x-none"/>
        </w:rPr>
      </w:pPr>
    </w:p>
    <w:p w:rsidR="005A0187" w:rsidRPr="005A0187" w:rsidP="005413EE">
      <w:pPr>
        <w:numPr>
          <w:ilvl w:val="0"/>
          <w:numId w:val="32"/>
        </w:numPr>
        <w:tabs>
          <w:tab w:val="num" w:pos="360"/>
          <w:tab w:val="num" w:pos="502"/>
        </w:tabs>
        <w:ind w:left="0" w:firstLine="0"/>
        <w:jc w:val="both"/>
        <w:rPr>
          <w:b/>
          <w:bCs w:val="0"/>
          <w:lang w:eastAsia="x-none"/>
        </w:rPr>
      </w:pPr>
      <w:r w:rsidRPr="005A0187">
        <w:rPr>
          <w:b/>
          <w:bCs w:val="0"/>
          <w:lang w:eastAsia="x-none"/>
        </w:rPr>
        <w:t>K </w:t>
      </w:r>
      <w:r w:rsidR="005413EE">
        <w:rPr>
          <w:b/>
          <w:bCs w:val="0"/>
          <w:lang w:eastAsia="x-none"/>
        </w:rPr>
        <w:t>č</w:t>
      </w:r>
      <w:r w:rsidRPr="005A0187">
        <w:rPr>
          <w:b/>
          <w:bCs w:val="0"/>
          <w:lang w:eastAsia="x-none"/>
        </w:rPr>
        <w:t>l. I bod</w:t>
      </w:r>
      <w:r w:rsidRPr="005A0187">
        <w:rPr>
          <w:b/>
          <w:bCs w:val="0"/>
          <w:lang w:eastAsia="x-none"/>
        </w:rPr>
        <w:t xml:space="preserve"> 93</w:t>
      </w:r>
      <w:r w:rsidR="005413EE">
        <w:rPr>
          <w:b/>
          <w:bCs w:val="0"/>
          <w:lang w:eastAsia="x-none"/>
        </w:rPr>
        <w:t xml:space="preserve"> </w:t>
      </w:r>
    </w:p>
    <w:p w:rsidR="005A0187" w:rsidRPr="005A0187" w:rsidP="005413EE">
      <w:pPr>
        <w:tabs>
          <w:tab w:val="num" w:pos="644"/>
        </w:tabs>
        <w:jc w:val="both"/>
        <w:rPr>
          <w:bCs w:val="0"/>
          <w:lang w:eastAsia="x-none"/>
        </w:rPr>
      </w:pPr>
      <w:r w:rsidR="005413EE">
        <w:rPr>
          <w:bCs w:val="0"/>
          <w:lang w:eastAsia="x-none"/>
        </w:rPr>
        <w:t xml:space="preserve">      </w:t>
      </w:r>
      <w:r w:rsidRPr="005A0187">
        <w:rPr>
          <w:bCs w:val="0"/>
          <w:lang w:eastAsia="x-none"/>
        </w:rPr>
        <w:t>V </w:t>
      </w:r>
      <w:r w:rsidR="005413EE">
        <w:rPr>
          <w:bCs w:val="0"/>
          <w:lang w:eastAsia="x-none"/>
        </w:rPr>
        <w:t>č</w:t>
      </w:r>
      <w:r w:rsidRPr="005A0187">
        <w:rPr>
          <w:bCs w:val="0"/>
          <w:lang w:eastAsia="x-none"/>
        </w:rPr>
        <w:t>l. I doterajšom bode 93 sa § 46i dopĺňa odsekom 10, ktorý znie:</w:t>
      </w:r>
    </w:p>
    <w:p w:rsidR="005A0187" w:rsidRPr="005A0187" w:rsidP="005413EE">
      <w:pPr>
        <w:tabs>
          <w:tab w:val="num" w:pos="502"/>
        </w:tabs>
        <w:ind w:left="426"/>
        <w:jc w:val="both"/>
        <w:rPr>
          <w:bCs w:val="0"/>
          <w:color w:val="000000"/>
          <w:lang w:eastAsia="x-none"/>
        </w:rPr>
      </w:pPr>
      <w:r w:rsidRPr="005A0187">
        <w:rPr>
          <w:bCs w:val="0"/>
          <w:lang w:eastAsia="x-none"/>
        </w:rPr>
        <w:t>„(10) Ustanovenie § 22 ods. 15 písm. b) v znení účinnom od 1. septembra 2012 sa od 1. januára 2013 neuplatňuje.“.</w:t>
      </w:r>
    </w:p>
    <w:p w:rsidR="005A0187" w:rsidRPr="005A0187" w:rsidP="005413EE">
      <w:pPr>
        <w:ind w:left="2552"/>
        <w:rPr>
          <w:b/>
          <w:bCs w:val="0"/>
          <w:color w:val="000000"/>
        </w:rPr>
      </w:pPr>
    </w:p>
    <w:p w:rsidR="005A0187" w:rsidRPr="005A0187" w:rsidP="005413EE">
      <w:pPr>
        <w:ind w:left="2552"/>
        <w:jc w:val="both"/>
        <w:rPr>
          <w:bCs w:val="0"/>
          <w:color w:val="000000"/>
        </w:rPr>
      </w:pPr>
      <w:r w:rsidRPr="005A0187">
        <w:rPr>
          <w:bCs w:val="0"/>
          <w:color w:val="000000"/>
        </w:rPr>
        <w:t xml:space="preserve">Ustanovenie sa upravuje v nadväznosti na novelu zákona č. 431/2002 Z. z. o účtovníctve v znení neskorších predpisov, ktorá je v súčasnosti predložená na rokovanie NR SR, číslo tlače 509. </w:t>
      </w:r>
    </w:p>
    <w:p w:rsidR="005A0187" w:rsidP="005413EE">
      <w:pPr>
        <w:jc w:val="both"/>
        <w:rPr>
          <w:rFonts w:eastAsia="Calibri"/>
          <w:bCs w:val="0"/>
          <w:color w:val="000000"/>
        </w:rPr>
      </w:pPr>
    </w:p>
    <w:p w:rsidR="00D040E1" w:rsidRPr="005A0187" w:rsidP="005413EE">
      <w:pPr>
        <w:jc w:val="both"/>
        <w:rPr>
          <w:rFonts w:eastAsia="Calibri"/>
          <w:bCs w:val="0"/>
          <w:color w:val="000000"/>
        </w:rPr>
      </w:pPr>
    </w:p>
    <w:p w:rsidR="00D040E1" w:rsidRPr="005A0187" w:rsidP="00D040E1">
      <w:pPr>
        <w:numPr>
          <w:ilvl w:val="0"/>
          <w:numId w:val="32"/>
        </w:numPr>
        <w:contextualSpacing/>
        <w:rPr>
          <w:b/>
          <w:bCs w:val="0"/>
          <w:lang w:eastAsia="en-US"/>
        </w:rPr>
      </w:pPr>
      <w:r w:rsidRPr="005A0187">
        <w:rPr>
          <w:b/>
          <w:bCs w:val="0"/>
          <w:lang w:eastAsia="en-US"/>
        </w:rPr>
        <w:t>Za čl. I sa vkladá nový čl. II, ktorý znie:</w:t>
      </w:r>
    </w:p>
    <w:p w:rsidR="00D040E1" w:rsidRPr="005A0187" w:rsidP="00D040E1">
      <w:pPr>
        <w:ind w:left="360"/>
        <w:contextualSpacing/>
        <w:rPr>
          <w:bCs w:val="0"/>
          <w:lang w:eastAsia="en-US"/>
        </w:rPr>
      </w:pPr>
    </w:p>
    <w:p w:rsidR="00D040E1" w:rsidRPr="005A0187" w:rsidP="00D040E1">
      <w:pPr>
        <w:ind w:left="360"/>
        <w:contextualSpacing/>
        <w:jc w:val="center"/>
        <w:rPr>
          <w:bCs w:val="0"/>
          <w:lang w:eastAsia="en-US"/>
        </w:rPr>
      </w:pPr>
      <w:r w:rsidRPr="005A0187">
        <w:rPr>
          <w:bCs w:val="0"/>
          <w:lang w:eastAsia="en-US"/>
        </w:rPr>
        <w:t>„Čl. II</w:t>
      </w:r>
    </w:p>
    <w:p w:rsidR="00D040E1" w:rsidRPr="005A0187" w:rsidP="00D040E1">
      <w:pPr>
        <w:ind w:left="360"/>
        <w:contextualSpacing/>
        <w:rPr>
          <w:bCs w:val="0"/>
          <w:lang w:eastAsia="en-US"/>
        </w:rPr>
      </w:pPr>
    </w:p>
    <w:p w:rsidR="00D040E1" w:rsidRPr="005A0187" w:rsidP="00D040E1">
      <w:pPr>
        <w:ind w:left="283" w:firstLine="708"/>
        <w:jc w:val="both"/>
        <w:rPr>
          <w:bCs w:val="0"/>
        </w:rPr>
      </w:pPr>
      <w:r w:rsidRPr="005A0187">
        <w:rPr>
          <w:bCs w:val="0"/>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365/2004 Z. z., zákona č. 382/2004 Z. z., zákona č. 652/2004 Z. z., zákona č. 732/2004 Z. z., zákona č. 258/2005 Z. z., zákona č. 518/2005 Z. z., zákona č. 623/2005 Z. z., zákona č. 330/2007 Z. z., zákona č. 537/2007 Z. z., zákona č. 166/2008 Z. z., zákona č. 465/2008 Z. z., zákona č. 583/2008 Z. z., zákona č. 305/2009 Z. z., zákona č. 465/2009 Z. z., zákona č. 151/2010 Z. z., zákona č. 543/2010 Z. z., zákona č. 48/2011 Z. z. a zákona .../2011 Z. z. sa dopĺňa takto:</w:t>
      </w:r>
    </w:p>
    <w:p w:rsidR="00D040E1" w:rsidRPr="005A0187" w:rsidP="00D040E1">
      <w:pPr>
        <w:ind w:left="283" w:firstLine="708"/>
        <w:jc w:val="both"/>
        <w:rPr>
          <w:bCs w:val="0"/>
        </w:rPr>
      </w:pPr>
    </w:p>
    <w:p w:rsidR="00D040E1" w:rsidP="00D040E1">
      <w:pPr>
        <w:numPr>
          <w:ilvl w:val="0"/>
          <w:numId w:val="37"/>
        </w:numPr>
        <w:ind w:hanging="76"/>
        <w:jc w:val="both"/>
        <w:rPr>
          <w:bCs w:val="0"/>
        </w:rPr>
      </w:pPr>
      <w:r w:rsidRPr="005A0187">
        <w:rPr>
          <w:bCs w:val="0"/>
        </w:rPr>
        <w:t>V § 2 ods. 1 sa za slová „Kriminálnom úrade finančnej správy“ vkladá čiarka a slová „Kompetenčnom centre finančných operácií“.</w:t>
      </w:r>
    </w:p>
    <w:p w:rsidR="00D040E1" w:rsidRPr="005A0187" w:rsidP="00D040E1">
      <w:pPr>
        <w:ind w:left="360"/>
        <w:jc w:val="both"/>
        <w:rPr>
          <w:bCs w:val="0"/>
        </w:rPr>
      </w:pPr>
    </w:p>
    <w:p w:rsidR="00D040E1" w:rsidRPr="005A0187" w:rsidP="00D040E1">
      <w:pPr>
        <w:numPr>
          <w:ilvl w:val="0"/>
          <w:numId w:val="37"/>
        </w:numPr>
        <w:ind w:hanging="76"/>
        <w:jc w:val="both"/>
        <w:rPr>
          <w:bCs w:val="0"/>
        </w:rPr>
      </w:pPr>
      <w:r w:rsidRPr="005A0187">
        <w:rPr>
          <w:bCs w:val="0"/>
        </w:rPr>
        <w:t>Príloha č. 2 sa dopĺňa štvrtým bodom, ktorý znie:</w:t>
      </w:r>
    </w:p>
    <w:p w:rsidR="00D040E1" w:rsidRPr="005A0187" w:rsidP="00D040E1">
      <w:pPr>
        <w:ind w:left="284"/>
        <w:jc w:val="both"/>
        <w:rPr>
          <w:bCs w:val="0"/>
        </w:rPr>
      </w:pPr>
      <w:r w:rsidRPr="005A0187">
        <w:rPr>
          <w:bCs w:val="0"/>
        </w:rPr>
        <w:t>„4. Kompetenčné centrum finančných operácií</w:t>
      </w:r>
    </w:p>
    <w:p w:rsidR="00D040E1" w:rsidRPr="005A0187" w:rsidP="00D040E1">
      <w:pPr>
        <w:ind w:left="284"/>
        <w:jc w:val="both"/>
        <w:rPr>
          <w:bCs w:val="0"/>
        </w:rPr>
      </w:pPr>
    </w:p>
    <w:p w:rsidR="00D040E1" w:rsidRPr="005A0187" w:rsidP="00D040E1">
      <w:pPr>
        <w:tabs>
          <w:tab w:val="center" w:pos="6804"/>
        </w:tabs>
        <w:ind w:left="284"/>
        <w:jc w:val="both"/>
        <w:rPr>
          <w:bCs w:val="0"/>
        </w:rPr>
      </w:pPr>
      <w:r w:rsidRPr="005A0187">
        <w:rPr>
          <w:bCs w:val="0"/>
        </w:rPr>
        <w:t xml:space="preserve"> Funkcia </w:t>
        <w:tab/>
        <w:t>Percentuálny   podiel   príplatku</w:t>
      </w:r>
    </w:p>
    <w:p w:rsidR="00D040E1" w:rsidRPr="005A0187" w:rsidP="00D040E1">
      <w:pPr>
        <w:tabs>
          <w:tab w:val="center" w:pos="6804"/>
        </w:tabs>
        <w:ind w:left="284"/>
        <w:jc w:val="both"/>
        <w:rPr>
          <w:bCs w:val="0"/>
        </w:rPr>
      </w:pPr>
      <w:r w:rsidRPr="005A0187">
        <w:rPr>
          <w:bCs w:val="0"/>
        </w:rPr>
        <w:tab/>
        <w:t>za   riadenie   mesačne</w:t>
      </w:r>
    </w:p>
    <w:p w:rsidR="00D040E1" w:rsidRPr="005A0187" w:rsidP="00D040E1">
      <w:pPr>
        <w:tabs>
          <w:tab w:val="center" w:pos="6804"/>
        </w:tabs>
        <w:ind w:left="284"/>
        <w:jc w:val="both"/>
        <w:rPr>
          <w:bCs w:val="0"/>
        </w:rPr>
      </w:pPr>
      <w:r w:rsidRPr="005A0187">
        <w:rPr>
          <w:bCs w:val="0"/>
        </w:rPr>
        <w:t xml:space="preserve"> 4.01   Riaditeľ Kompetenčného centra</w:t>
      </w:r>
    </w:p>
    <w:p w:rsidR="00D040E1" w:rsidRPr="005A0187" w:rsidP="00D040E1">
      <w:pPr>
        <w:tabs>
          <w:tab w:val="center" w:pos="6804"/>
        </w:tabs>
        <w:ind w:left="993" w:hanging="709"/>
        <w:jc w:val="both"/>
        <w:rPr>
          <w:bCs w:val="0"/>
        </w:rPr>
      </w:pPr>
      <w:r w:rsidRPr="005A0187">
        <w:rPr>
          <w:bCs w:val="0"/>
        </w:rPr>
        <w:tab/>
        <w:t>finančných operácií</w:t>
        <w:tab/>
        <w:t>20%   až   35%</w:t>
      </w:r>
    </w:p>
    <w:p w:rsidR="00D040E1" w:rsidRPr="005A0187" w:rsidP="00D040E1">
      <w:pPr>
        <w:tabs>
          <w:tab w:val="center" w:pos="6804"/>
        </w:tabs>
        <w:ind w:left="284"/>
        <w:jc w:val="both"/>
        <w:rPr>
          <w:bCs w:val="0"/>
        </w:rPr>
      </w:pPr>
      <w:r w:rsidRPr="005A0187">
        <w:rPr>
          <w:bCs w:val="0"/>
        </w:rPr>
        <w:t xml:space="preserve"> 4.02   Riaditeľ odboru</w:t>
        <w:tab/>
        <w:t>15%   až   32%</w:t>
      </w:r>
    </w:p>
    <w:p w:rsidR="00D040E1" w:rsidRPr="005A0187" w:rsidP="00D040E1">
      <w:pPr>
        <w:tabs>
          <w:tab w:val="center" w:pos="6804"/>
        </w:tabs>
        <w:ind w:left="284"/>
        <w:jc w:val="both"/>
        <w:rPr>
          <w:bCs w:val="0"/>
        </w:rPr>
      </w:pPr>
      <w:r w:rsidRPr="005A0187">
        <w:rPr>
          <w:bCs w:val="0"/>
        </w:rPr>
        <w:t xml:space="preserve"> 4.03   Zástupca   riaditeľa odboru</w:t>
        <w:tab/>
        <w:t>7%   až   21%</w:t>
      </w:r>
    </w:p>
    <w:p w:rsidR="00D040E1" w:rsidRPr="005A0187" w:rsidP="00D040E1">
      <w:pPr>
        <w:tabs>
          <w:tab w:val="center" w:pos="6804"/>
        </w:tabs>
        <w:ind w:left="284"/>
        <w:jc w:val="both"/>
        <w:rPr>
          <w:bCs w:val="0"/>
        </w:rPr>
      </w:pPr>
      <w:r w:rsidRPr="005A0187">
        <w:rPr>
          <w:bCs w:val="0"/>
        </w:rPr>
        <w:t xml:space="preserve"> 4.04   Vedúci   oddelenia</w:t>
        <w:tab/>
        <w:t>5%   až   17%</w:t>
      </w:r>
    </w:p>
    <w:p w:rsidR="00D040E1" w:rsidRPr="005A0187" w:rsidP="00D040E1">
      <w:pPr>
        <w:tabs>
          <w:tab w:val="center" w:pos="6804"/>
        </w:tabs>
        <w:ind w:left="284"/>
        <w:jc w:val="both"/>
        <w:rPr>
          <w:bCs w:val="0"/>
        </w:rPr>
      </w:pPr>
      <w:r w:rsidRPr="005A0187">
        <w:rPr>
          <w:bCs w:val="0"/>
        </w:rPr>
        <w:t xml:space="preserve"> 4.05   Zástupca   vedúceho   oddelenia</w:t>
        <w:tab/>
        <w:t xml:space="preserve">  5%   až   12%“.“.</w:t>
      </w:r>
    </w:p>
    <w:p w:rsidR="00D040E1" w:rsidRPr="005A0187" w:rsidP="00D040E1">
      <w:pPr>
        <w:tabs>
          <w:tab w:val="center" w:pos="6804"/>
        </w:tabs>
        <w:ind w:left="283"/>
        <w:jc w:val="both"/>
        <w:rPr>
          <w:bCs w:val="0"/>
        </w:rPr>
      </w:pPr>
    </w:p>
    <w:p w:rsidR="00D040E1" w:rsidRPr="005A0187" w:rsidP="00D040E1">
      <w:pPr>
        <w:tabs>
          <w:tab w:val="center" w:pos="6804"/>
        </w:tabs>
        <w:ind w:left="283"/>
        <w:jc w:val="both"/>
        <w:rPr>
          <w:bCs w:val="0"/>
        </w:rPr>
      </w:pPr>
    </w:p>
    <w:p w:rsidR="00D040E1" w:rsidRPr="005A0187" w:rsidP="00D040E1">
      <w:pPr>
        <w:tabs>
          <w:tab w:val="center" w:pos="6804"/>
        </w:tabs>
        <w:ind w:left="283"/>
        <w:jc w:val="both"/>
        <w:rPr>
          <w:bCs w:val="0"/>
        </w:rPr>
      </w:pPr>
    </w:p>
    <w:p w:rsidR="00D040E1" w:rsidRPr="005A0187" w:rsidP="00D040E1">
      <w:pPr>
        <w:jc w:val="both"/>
        <w:rPr>
          <w:bCs w:val="0"/>
        </w:rPr>
      </w:pPr>
      <w:r w:rsidRPr="005A0187">
        <w:rPr>
          <w:bCs w:val="0"/>
        </w:rPr>
        <w:t>Doterajšie články sa primerane prečíslujú.</w:t>
      </w:r>
    </w:p>
    <w:p w:rsidR="00D040E1" w:rsidRPr="005A0187" w:rsidP="00D040E1">
      <w:pPr>
        <w:tabs>
          <w:tab w:val="center" w:pos="6804"/>
        </w:tabs>
        <w:ind w:left="283"/>
        <w:jc w:val="both"/>
        <w:rPr>
          <w:bCs w:val="0"/>
        </w:rPr>
      </w:pPr>
    </w:p>
    <w:p w:rsidR="00D040E1" w:rsidRPr="005A0187" w:rsidP="00D040E1">
      <w:pPr>
        <w:tabs>
          <w:tab w:val="left" w:pos="2552"/>
        </w:tabs>
        <w:ind w:left="2832"/>
        <w:rPr>
          <w:bCs w:val="0"/>
        </w:rPr>
      </w:pPr>
      <w:r w:rsidRPr="005A0187">
        <w:rPr>
          <w:bCs w:val="0"/>
        </w:rPr>
        <w:t>Navrhovaná úprava súvisí s presunom kompetencií týkajúcich sa informačných systémov finančnej správy z Finančného riaditeľstva SR na Kompetenčné centrum finančných operácií. Účinnosť predmetných ustanovení sa navrhuje k 2. januáru 201</w:t>
      </w:r>
      <w:r w:rsidR="00A641FA">
        <w:rPr>
          <w:bCs w:val="0"/>
        </w:rPr>
        <w:t>2</w:t>
      </w:r>
      <w:r w:rsidRPr="005A0187">
        <w:rPr>
          <w:bCs w:val="0"/>
        </w:rPr>
        <w:t xml:space="preserve">. </w:t>
      </w:r>
    </w:p>
    <w:p w:rsidR="005A0187" w:rsidP="005413EE">
      <w:pPr>
        <w:jc w:val="both"/>
        <w:rPr>
          <w:rFonts w:eastAsia="Calibri"/>
          <w:bCs w:val="0"/>
          <w:color w:val="000000"/>
        </w:rPr>
      </w:pPr>
    </w:p>
    <w:p w:rsidR="00D040E1" w:rsidP="005413EE">
      <w:pPr>
        <w:jc w:val="both"/>
        <w:rPr>
          <w:rFonts w:eastAsia="Calibri"/>
          <w:bCs w:val="0"/>
          <w:color w:val="000000"/>
        </w:rPr>
      </w:pPr>
    </w:p>
    <w:p w:rsidR="00D040E1" w:rsidP="005413EE">
      <w:pPr>
        <w:jc w:val="both"/>
        <w:rPr>
          <w:rFonts w:eastAsia="Calibri"/>
          <w:bCs w:val="0"/>
          <w:color w:val="000000"/>
        </w:rPr>
      </w:pPr>
    </w:p>
    <w:p w:rsidR="00D040E1" w:rsidP="005413EE">
      <w:pPr>
        <w:jc w:val="both"/>
        <w:rPr>
          <w:rFonts w:eastAsia="Calibri"/>
          <w:bCs w:val="0"/>
          <w:color w:val="000000"/>
        </w:rPr>
      </w:pPr>
    </w:p>
    <w:p w:rsidR="00D040E1" w:rsidP="005413EE">
      <w:pPr>
        <w:jc w:val="both"/>
        <w:rPr>
          <w:rFonts w:eastAsia="Calibri"/>
          <w:bCs w:val="0"/>
          <w:color w:val="000000"/>
        </w:rPr>
      </w:pPr>
    </w:p>
    <w:p w:rsidR="00D040E1" w:rsidP="005413EE">
      <w:pPr>
        <w:jc w:val="both"/>
        <w:rPr>
          <w:rFonts w:eastAsia="Calibri"/>
          <w:bCs w:val="0"/>
          <w:color w:val="000000"/>
        </w:rPr>
      </w:pPr>
    </w:p>
    <w:p w:rsidR="00D040E1" w:rsidP="005413EE">
      <w:pPr>
        <w:jc w:val="both"/>
        <w:rPr>
          <w:rFonts w:eastAsia="Calibri"/>
          <w:bCs w:val="0"/>
          <w:color w:val="000000"/>
        </w:rPr>
      </w:pPr>
    </w:p>
    <w:p w:rsidR="00D040E1" w:rsidP="005413EE">
      <w:pPr>
        <w:jc w:val="both"/>
        <w:rPr>
          <w:rFonts w:eastAsia="Calibri"/>
          <w:bCs w:val="0"/>
          <w:color w:val="000000"/>
        </w:rPr>
      </w:pPr>
    </w:p>
    <w:p w:rsidR="00D040E1" w:rsidRPr="005A0187" w:rsidP="005413EE">
      <w:pPr>
        <w:jc w:val="both"/>
        <w:rPr>
          <w:rFonts w:eastAsia="Calibri"/>
          <w:bCs w:val="0"/>
          <w:color w:val="000000"/>
        </w:rPr>
      </w:pPr>
    </w:p>
    <w:p w:rsidR="005A0187" w:rsidRPr="005A0187" w:rsidP="005413EE">
      <w:pPr>
        <w:numPr>
          <w:ilvl w:val="0"/>
          <w:numId w:val="32"/>
        </w:numPr>
        <w:tabs>
          <w:tab w:val="num" w:pos="360"/>
          <w:tab w:val="num" w:pos="502"/>
        </w:tabs>
        <w:ind w:left="0" w:firstLine="0"/>
        <w:jc w:val="both"/>
        <w:rPr>
          <w:b/>
          <w:bCs w:val="0"/>
          <w:color w:val="000000"/>
          <w:lang w:eastAsia="x-none"/>
        </w:rPr>
      </w:pPr>
      <w:r w:rsidRPr="005A0187">
        <w:rPr>
          <w:b/>
          <w:bCs w:val="0"/>
          <w:color w:val="000000"/>
          <w:lang w:eastAsia="x-none"/>
        </w:rPr>
        <w:t>K </w:t>
      </w:r>
      <w:r w:rsidR="005413EE">
        <w:rPr>
          <w:b/>
          <w:bCs w:val="0"/>
          <w:color w:val="000000"/>
          <w:lang w:eastAsia="x-none"/>
        </w:rPr>
        <w:t>č</w:t>
      </w:r>
      <w:r w:rsidRPr="005A0187">
        <w:rPr>
          <w:b/>
          <w:bCs w:val="0"/>
          <w:color w:val="000000"/>
          <w:lang w:eastAsia="x-none"/>
        </w:rPr>
        <w:t>l. I</w:t>
      </w:r>
    </w:p>
    <w:p w:rsidR="005A0187" w:rsidRPr="005A0187" w:rsidP="005413EE">
      <w:pPr>
        <w:tabs>
          <w:tab w:val="num" w:pos="644"/>
        </w:tabs>
        <w:jc w:val="both"/>
        <w:rPr>
          <w:bCs w:val="0"/>
          <w:color w:val="000000"/>
          <w:lang w:eastAsia="x-none"/>
        </w:rPr>
      </w:pPr>
      <w:r w:rsidR="005413EE">
        <w:rPr>
          <w:bCs w:val="0"/>
          <w:color w:val="000000"/>
          <w:lang w:eastAsia="x-none"/>
        </w:rPr>
        <w:t xml:space="preserve">      </w:t>
      </w:r>
      <w:r w:rsidRPr="005A0187">
        <w:rPr>
          <w:bCs w:val="0"/>
          <w:color w:val="000000"/>
          <w:lang w:eastAsia="x-none"/>
        </w:rPr>
        <w:t>Za článok I sa vkladá nový článok II, ktorý znie:</w:t>
      </w:r>
    </w:p>
    <w:p w:rsidR="005A0187" w:rsidRPr="005A0187" w:rsidP="005413EE">
      <w:pPr>
        <w:tabs>
          <w:tab w:val="num" w:pos="502"/>
        </w:tabs>
        <w:jc w:val="both"/>
        <w:rPr>
          <w:bCs w:val="0"/>
          <w:color w:val="000000"/>
          <w:lang w:eastAsia="x-none"/>
        </w:rPr>
      </w:pPr>
    </w:p>
    <w:p w:rsidR="005A0187" w:rsidRPr="005A0187" w:rsidP="005413EE">
      <w:pPr>
        <w:widowControl w:val="0"/>
        <w:autoSpaceDE w:val="0"/>
        <w:autoSpaceDN w:val="0"/>
        <w:jc w:val="center"/>
        <w:outlineLvl w:val="0"/>
        <w:rPr>
          <w:bCs w:val="0"/>
          <w:color w:val="000000"/>
        </w:rPr>
      </w:pPr>
      <w:r w:rsidRPr="005A0187">
        <w:rPr>
          <w:bCs w:val="0"/>
          <w:color w:val="000000"/>
        </w:rPr>
        <w:t>„Čl. II</w:t>
      </w:r>
    </w:p>
    <w:p w:rsidR="005A0187" w:rsidRPr="005A0187" w:rsidP="005413EE">
      <w:pPr>
        <w:widowControl w:val="0"/>
        <w:autoSpaceDE w:val="0"/>
        <w:autoSpaceDN w:val="0"/>
        <w:jc w:val="both"/>
        <w:outlineLvl w:val="0"/>
        <w:rPr>
          <w:bCs w:val="0"/>
          <w:color w:val="000000"/>
        </w:rPr>
      </w:pPr>
    </w:p>
    <w:p w:rsidR="005A0187" w:rsidRPr="005A0187" w:rsidP="005413EE">
      <w:pPr>
        <w:jc w:val="both"/>
        <w:rPr>
          <w:rFonts w:eastAsia="Calibri"/>
          <w:bCs w:val="0"/>
          <w:color w:val="000000"/>
        </w:rPr>
      </w:pPr>
      <w:r w:rsidRPr="005A0187">
        <w:rPr>
          <w:rFonts w:eastAsia="Calibri"/>
          <w:bCs w:val="0"/>
          <w:color w:val="000000"/>
        </w:rPr>
        <w:t>Zákon č. 170/2001 Z. z. o núdzových zásobách ropy a ropných výrobkov a o riešení stavu ropnej núdze v znení zákona č. 240/2006 Z. z., zákona č. 401/2009 Z. z., zákona č. 493/2010       Z. z. a zákona č. 256/2011 Z. z. sa mení a dopĺňa takto:</w:t>
      </w:r>
    </w:p>
    <w:p w:rsidR="005A0187" w:rsidRPr="005A0187" w:rsidP="005413EE">
      <w:pPr>
        <w:rPr>
          <w:rFonts w:eastAsia="Calibri"/>
          <w:bCs w:val="0"/>
          <w:color w:val="000000"/>
        </w:rPr>
      </w:pPr>
    </w:p>
    <w:p w:rsidR="005A0187" w:rsidRPr="005A0187" w:rsidP="005413EE">
      <w:pPr>
        <w:numPr>
          <w:ilvl w:val="0"/>
          <w:numId w:val="34"/>
        </w:numPr>
        <w:rPr>
          <w:rFonts w:eastAsia="Calibri"/>
          <w:bCs w:val="0"/>
          <w:color w:val="000000"/>
        </w:rPr>
      </w:pPr>
      <w:r w:rsidRPr="005A0187">
        <w:rPr>
          <w:rFonts w:eastAsia="Calibri"/>
          <w:bCs w:val="0"/>
          <w:color w:val="000000"/>
        </w:rPr>
        <w:t>V § 7a odseky 4 a 5 znejú:</w:t>
      </w:r>
    </w:p>
    <w:p w:rsidR="005A0187" w:rsidRPr="005A0187" w:rsidP="005413EE">
      <w:pPr>
        <w:ind w:left="709"/>
        <w:jc w:val="both"/>
        <w:rPr>
          <w:b/>
          <w:bCs w:val="0"/>
          <w:color w:val="FF0000"/>
        </w:rPr>
      </w:pPr>
      <w:r w:rsidRPr="005413EE">
        <w:rPr>
          <w:rFonts w:eastAsia="Calibri"/>
          <w:bCs w:val="0"/>
          <w:color w:val="000000"/>
        </w:rPr>
        <w:t xml:space="preserve">„(4) </w:t>
      </w:r>
      <w:r w:rsidRPr="005A0187">
        <w:rPr>
          <w:bCs w:val="0"/>
          <w:color w:val="000000"/>
        </w:rPr>
        <w:t>Na správu tohto poplatku sa použije osobitný predpis,</w:t>
      </w:r>
      <w:hyperlink r:id="rId4" w:history="1">
        <w:r w:rsidRPr="005A0187">
          <w:rPr>
            <w:color w:val="000000"/>
            <w:vertAlign w:val="superscript"/>
          </w:rPr>
          <w:t>9h</w:t>
        </w:r>
        <w:r w:rsidRPr="005A0187">
          <w:rPr>
            <w:color w:val="000000"/>
          </w:rPr>
          <w:t>)</w:t>
        </w:r>
      </w:hyperlink>
      <w:r w:rsidRPr="005A0187">
        <w:rPr>
          <w:bCs w:val="0"/>
          <w:color w:val="000000"/>
        </w:rPr>
        <w:t xml:space="preserve"> ak tento zákon neustanovuje inak. </w:t>
      </w:r>
    </w:p>
    <w:p w:rsidR="005A0187" w:rsidRPr="005413EE" w:rsidP="005413EE">
      <w:pPr>
        <w:ind w:left="709"/>
        <w:jc w:val="both"/>
        <w:rPr>
          <w:rFonts w:eastAsia="Calibri"/>
          <w:bCs w:val="0"/>
          <w:color w:val="000000"/>
        </w:rPr>
      </w:pPr>
    </w:p>
    <w:p w:rsidR="005A0187" w:rsidRPr="005413EE" w:rsidP="005413EE">
      <w:pPr>
        <w:ind w:left="709"/>
        <w:jc w:val="both"/>
        <w:rPr>
          <w:rFonts w:eastAsia="Calibri"/>
          <w:bCs w:val="0"/>
          <w:color w:val="000000"/>
        </w:rPr>
      </w:pPr>
      <w:r w:rsidRPr="005413EE">
        <w:rPr>
          <w:rFonts w:eastAsia="Calibri"/>
          <w:bCs w:val="0"/>
          <w:color w:val="000000"/>
        </w:rPr>
        <w:t xml:space="preserve">(5) Ak má podnikateľ nárok na vrátenie spotrebnej dane podľa osobitného predpisu, </w:t>
      </w:r>
      <w:hyperlink r:id="rId5" w:history="1">
        <w:r w:rsidRPr="005413EE">
          <w:rPr>
            <w:rFonts w:eastAsia="Calibri"/>
            <w:color w:val="000000"/>
            <w:vertAlign w:val="superscript"/>
          </w:rPr>
          <w:t>9i</w:t>
        </w:r>
        <w:r w:rsidRPr="005413EE">
          <w:rPr>
            <w:rFonts w:eastAsia="Calibri"/>
            <w:color w:val="000000"/>
          </w:rPr>
          <w:t>)</w:t>
        </w:r>
      </w:hyperlink>
      <w:r w:rsidRPr="005413EE">
        <w:rPr>
          <w:rFonts w:eastAsia="Calibri"/>
          <w:bCs w:val="0"/>
          <w:color w:val="000000"/>
        </w:rPr>
        <w:t xml:space="preserve"> vzniká mu nárok na vrátenie poplatku, ak bol tento poplatok preukázateľne zaplatený colnému úradu. Nárok na vrátenie poplatku vzniká podnikateľovi v prípadoch podľa osobitného predpisu </w:t>
      </w:r>
      <w:r w:rsidRPr="005413EE">
        <w:rPr>
          <w:rFonts w:eastAsia="Calibri"/>
          <w:bCs w:val="0"/>
          <w:color w:val="000000"/>
          <w:vertAlign w:val="superscript"/>
        </w:rPr>
        <w:t>9i</w:t>
      </w:r>
      <w:r w:rsidRPr="005413EE">
        <w:rPr>
          <w:rFonts w:eastAsia="Calibri"/>
          <w:bCs w:val="0"/>
          <w:color w:val="000000"/>
        </w:rPr>
        <w:t xml:space="preserve">) </w:t>
      </w:r>
      <w:r w:rsidRPr="005413EE">
        <w:rPr>
          <w:rFonts w:eastAsia="Calibri"/>
          <w:bCs w:val="0"/>
        </w:rPr>
        <w:t>aj, ak preukázateľne zaplatil poplatok z vybraných ropných výrobkov, na ktoré nie je</w:t>
      </w:r>
      <w:r w:rsidRPr="005413EE">
        <w:rPr>
          <w:rFonts w:eastAsia="Calibri"/>
          <w:bCs w:val="0"/>
          <w:color w:val="000000"/>
        </w:rPr>
        <w:t xml:space="preserve"> ustanovená sadzba dane podľa osobitného predpisu. </w:t>
      </w:r>
      <w:r w:rsidRPr="005413EE">
        <w:rPr>
          <w:rFonts w:eastAsia="Calibri"/>
          <w:bCs w:val="0"/>
          <w:color w:val="000000"/>
          <w:vertAlign w:val="superscript"/>
        </w:rPr>
        <w:t>9f</w:t>
      </w:r>
      <w:r w:rsidRPr="005413EE">
        <w:rPr>
          <w:rFonts w:eastAsia="Calibri"/>
          <w:bCs w:val="0"/>
          <w:color w:val="000000"/>
        </w:rPr>
        <w:t xml:space="preserve">) Pri vrátení poplatku alebo jeho časti postupuje podnikateľ a colný úrad primerane podľa osobitného predpisu </w:t>
      </w:r>
      <w:hyperlink r:id="rId5" w:history="1">
        <w:r w:rsidRPr="005413EE">
          <w:rPr>
            <w:rFonts w:eastAsia="Calibri"/>
            <w:color w:val="000000"/>
            <w:vertAlign w:val="superscript"/>
          </w:rPr>
          <w:t>9i</w:t>
        </w:r>
        <w:r w:rsidRPr="005413EE">
          <w:rPr>
            <w:rFonts w:eastAsia="Calibri"/>
            <w:color w:val="000000"/>
          </w:rPr>
          <w:t>)</w:t>
        </w:r>
      </w:hyperlink>
      <w:r w:rsidRPr="005413EE">
        <w:rPr>
          <w:rFonts w:eastAsia="Calibri"/>
          <w:bCs w:val="0"/>
          <w:color w:val="000000"/>
        </w:rPr>
        <w:t xml:space="preserve"> s výnimkou podľa osobitného predpisu </w:t>
      </w:r>
      <w:hyperlink r:id="rId5" w:history="1">
        <w:r w:rsidRPr="005413EE">
          <w:rPr>
            <w:rFonts w:eastAsia="Calibri"/>
            <w:color w:val="000000"/>
            <w:vertAlign w:val="superscript"/>
          </w:rPr>
          <w:t>9ia</w:t>
        </w:r>
        <w:r w:rsidRPr="005413EE">
          <w:rPr>
            <w:rFonts w:eastAsia="Calibri"/>
            <w:color w:val="000000"/>
          </w:rPr>
          <w:t>)</w:t>
        </w:r>
      </w:hyperlink>
      <w:r w:rsidRPr="005413EE">
        <w:rPr>
          <w:rFonts w:eastAsia="Calibri"/>
          <w:bCs w:val="0"/>
          <w:color w:val="000000"/>
        </w:rPr>
        <w:t>.“.</w:t>
      </w:r>
    </w:p>
    <w:p w:rsidR="005A0187" w:rsidRPr="005413EE" w:rsidP="005413EE">
      <w:pPr>
        <w:ind w:left="709"/>
        <w:jc w:val="both"/>
        <w:rPr>
          <w:rFonts w:eastAsia="Calibri"/>
          <w:bCs w:val="0"/>
          <w:color w:val="000000"/>
        </w:rPr>
      </w:pPr>
    </w:p>
    <w:p w:rsidR="005A0187" w:rsidRPr="005413EE" w:rsidP="005413EE">
      <w:pPr>
        <w:ind w:left="709"/>
        <w:jc w:val="both"/>
        <w:rPr>
          <w:rFonts w:eastAsia="Calibri"/>
          <w:bCs w:val="0"/>
          <w:color w:val="000000"/>
        </w:rPr>
      </w:pPr>
      <w:r w:rsidRPr="005413EE">
        <w:rPr>
          <w:rFonts w:eastAsia="Calibri"/>
          <w:bCs w:val="0"/>
          <w:color w:val="000000"/>
        </w:rPr>
        <w:t>Poznámky pod čiarou k odkazom 9h a 9ia znejú:</w:t>
      </w:r>
    </w:p>
    <w:p w:rsidR="005A0187" w:rsidRPr="005A0187" w:rsidP="005413EE">
      <w:pPr>
        <w:ind w:left="709"/>
        <w:jc w:val="both"/>
        <w:rPr>
          <w:rFonts w:eastAsia="Calibri"/>
          <w:bCs w:val="0"/>
          <w:color w:val="000000"/>
        </w:rPr>
      </w:pPr>
      <w:r w:rsidRPr="005413EE">
        <w:rPr>
          <w:rFonts w:eastAsia="Calibri"/>
          <w:bCs w:val="0"/>
          <w:color w:val="000000"/>
        </w:rPr>
        <w:t>„</w:t>
      </w:r>
      <w:r w:rsidRPr="005413EE">
        <w:rPr>
          <w:rFonts w:eastAsia="Calibri"/>
          <w:bCs w:val="0"/>
          <w:color w:val="000000"/>
          <w:vertAlign w:val="superscript"/>
        </w:rPr>
        <w:t>9h</w:t>
      </w:r>
      <w:r w:rsidRPr="005413EE">
        <w:rPr>
          <w:rFonts w:eastAsia="Calibri"/>
          <w:bCs w:val="0"/>
          <w:color w:val="000000"/>
        </w:rPr>
        <w:t xml:space="preserve">) </w:t>
      </w:r>
      <w:hyperlink r:id="rId6" w:tgtFrame="_blank" w:history="1">
        <w:r w:rsidRPr="005A0187">
          <w:rPr>
            <w:rFonts w:eastAsia="Calibri"/>
            <w:color w:val="000000"/>
          </w:rPr>
          <w:t>§ 40 zákona č. 98/2004 Z. z.</w:t>
        </w:r>
      </w:hyperlink>
      <w:r w:rsidRPr="005A0187">
        <w:rPr>
          <w:rFonts w:eastAsia="Calibri"/>
          <w:bCs w:val="0"/>
          <w:color w:val="000000"/>
        </w:rPr>
        <w:t xml:space="preserve"> v znení neskorších predpisov.</w:t>
      </w:r>
    </w:p>
    <w:p w:rsidR="005A0187" w:rsidRPr="005A0187" w:rsidP="005413EE">
      <w:pPr>
        <w:ind w:left="1134"/>
        <w:jc w:val="both"/>
        <w:rPr>
          <w:rFonts w:eastAsia="Calibri"/>
          <w:bCs w:val="0"/>
          <w:color w:val="000000"/>
        </w:rPr>
      </w:pPr>
      <w:r w:rsidRPr="005A0187">
        <w:rPr>
          <w:rFonts w:eastAsia="Calibri"/>
          <w:bCs w:val="0"/>
          <w:color w:val="000000"/>
        </w:rPr>
        <w:t xml:space="preserve">Zákon č. </w:t>
      </w:r>
      <w:hyperlink r:id="rId7" w:tgtFrame="_blank" w:history="1">
        <w:r w:rsidRPr="005A0187">
          <w:rPr>
            <w:rFonts w:eastAsia="Calibri"/>
            <w:color w:val="000000"/>
          </w:rPr>
          <w:t>563/2009 Z. z.</w:t>
        </w:r>
      </w:hyperlink>
      <w:r w:rsidRPr="005A0187">
        <w:rPr>
          <w:rFonts w:eastAsia="Calibri"/>
          <w:bCs w:val="0"/>
          <w:color w:val="000000"/>
        </w:rPr>
        <w:t xml:space="preserve"> o správe daní (daňový poriadok) a o zmene a doplnení niektorých zákonov v znení zákona č. 331/2011 Z. z.</w:t>
      </w:r>
    </w:p>
    <w:p w:rsidR="005A0187" w:rsidRPr="005A0187" w:rsidP="005413EE">
      <w:pPr>
        <w:ind w:left="1134" w:hanging="425"/>
        <w:jc w:val="both"/>
        <w:rPr>
          <w:rFonts w:eastAsia="Calibri"/>
          <w:b/>
          <w:bCs w:val="0"/>
          <w:color w:val="FF0000"/>
        </w:rPr>
      </w:pPr>
      <w:r w:rsidRPr="005A0187">
        <w:rPr>
          <w:rFonts w:eastAsia="Calibri"/>
          <w:bCs w:val="0"/>
          <w:color w:val="000000"/>
          <w:vertAlign w:val="superscript"/>
        </w:rPr>
        <w:t>9ia</w:t>
      </w:r>
      <w:r w:rsidRPr="005A0187">
        <w:rPr>
          <w:rFonts w:eastAsia="Calibri"/>
          <w:bCs w:val="0"/>
          <w:color w:val="000000"/>
        </w:rPr>
        <w:t xml:space="preserve">) § 79 ods. 7 zákona č. 563/2009 Z. z.“. </w:t>
      </w:r>
    </w:p>
    <w:p w:rsidR="005A0187" w:rsidRPr="005A0187" w:rsidP="005413EE">
      <w:pPr>
        <w:rPr>
          <w:rFonts w:eastAsia="Calibri"/>
          <w:bCs w:val="0"/>
          <w:color w:val="000000"/>
        </w:rPr>
      </w:pPr>
    </w:p>
    <w:p w:rsidR="005A0187" w:rsidRPr="005A0187" w:rsidP="005413EE">
      <w:pPr>
        <w:ind w:left="2552"/>
        <w:jc w:val="both"/>
        <w:rPr>
          <w:bCs w:val="0"/>
          <w:color w:val="000000"/>
        </w:rPr>
      </w:pPr>
      <w:r w:rsidRPr="005A0187">
        <w:rPr>
          <w:bCs w:val="0"/>
          <w:color w:val="000000"/>
        </w:rPr>
        <w:t>Navrhovaná zmena tohto ustanovenia umožní podnikateľovi vrátenie poplatku v tom prípade ak tomuto podnikateľovi vznikne nárok na vrátenie spotrebnej dane z minerálneho oleja, ktorý prevzal zdanený minerálny olej alebo má zdanený minerálny olej podľa zákona o spotrebnej dani z minerálneho oleja. Zároveň sa upresňuje, že poplatok je možné vrátiť aj za vybrané ropné výrobky, ktoré nemajú sadzbu dane podľa zákona o spotrebnej dani z minerálneho oleja.</w:t>
      </w:r>
    </w:p>
    <w:p w:rsidR="005A0187" w:rsidRPr="005A0187" w:rsidP="005413EE">
      <w:pPr>
        <w:rPr>
          <w:rFonts w:eastAsia="Calibri"/>
          <w:bCs w:val="0"/>
          <w:color w:val="000000"/>
        </w:rPr>
      </w:pPr>
    </w:p>
    <w:p w:rsidR="005A0187" w:rsidRPr="005A0187" w:rsidP="005413EE">
      <w:pPr>
        <w:numPr>
          <w:ilvl w:val="0"/>
          <w:numId w:val="34"/>
        </w:numPr>
        <w:rPr>
          <w:rFonts w:eastAsia="Calibri"/>
          <w:bCs w:val="0"/>
          <w:color w:val="000000"/>
        </w:rPr>
      </w:pPr>
      <w:r w:rsidRPr="005A0187">
        <w:rPr>
          <w:rFonts w:eastAsia="Calibri"/>
          <w:bCs w:val="0"/>
          <w:color w:val="000000"/>
        </w:rPr>
        <w:t>Za § 10c sa vkladá § 10d, ktorý vrátane nadpisu znie:</w:t>
      </w:r>
    </w:p>
    <w:p w:rsidR="005A0187" w:rsidRPr="005A0187" w:rsidP="005413EE">
      <w:pPr>
        <w:rPr>
          <w:rFonts w:eastAsia="Calibri"/>
          <w:bCs w:val="0"/>
          <w:color w:val="000000"/>
        </w:rPr>
      </w:pPr>
    </w:p>
    <w:p w:rsidR="005A0187" w:rsidRPr="005A0187" w:rsidP="005413EE">
      <w:pPr>
        <w:ind w:left="426"/>
        <w:jc w:val="center"/>
        <w:rPr>
          <w:rFonts w:eastAsia="Calibri"/>
          <w:bCs w:val="0"/>
          <w:color w:val="000000"/>
        </w:rPr>
      </w:pPr>
      <w:r w:rsidRPr="005A0187">
        <w:rPr>
          <w:rFonts w:eastAsia="Calibri"/>
          <w:bCs w:val="0"/>
          <w:color w:val="000000"/>
        </w:rPr>
        <w:t>„§ 10d</w:t>
      </w:r>
    </w:p>
    <w:p w:rsidR="005A0187" w:rsidRPr="005A0187" w:rsidP="005413EE">
      <w:pPr>
        <w:ind w:left="426"/>
        <w:jc w:val="center"/>
        <w:rPr>
          <w:rFonts w:eastAsia="Calibri"/>
          <w:bCs w:val="0"/>
          <w:color w:val="000000"/>
        </w:rPr>
      </w:pPr>
      <w:r w:rsidRPr="005A0187">
        <w:rPr>
          <w:rFonts w:eastAsia="Calibri"/>
          <w:bCs w:val="0"/>
          <w:color w:val="000000"/>
        </w:rPr>
        <w:t>Prechodné ustanovenia účinné od 1. januára 2012</w:t>
      </w:r>
    </w:p>
    <w:p w:rsidR="005A0187" w:rsidRPr="005A0187" w:rsidP="005413EE">
      <w:pPr>
        <w:jc w:val="both"/>
        <w:rPr>
          <w:rFonts w:eastAsia="Calibri"/>
          <w:bCs w:val="0"/>
          <w:color w:val="000000"/>
        </w:rPr>
      </w:pPr>
    </w:p>
    <w:p w:rsidR="005A0187" w:rsidRPr="005A0187" w:rsidP="005413EE">
      <w:pPr>
        <w:numPr>
          <w:ilvl w:val="0"/>
          <w:numId w:val="33"/>
        </w:numPr>
        <w:jc w:val="both"/>
        <w:rPr>
          <w:rFonts w:eastAsia="Calibri"/>
          <w:bCs w:val="0"/>
        </w:rPr>
      </w:pPr>
      <w:r w:rsidRPr="005A0187">
        <w:rPr>
          <w:rFonts w:eastAsia="Calibri"/>
          <w:bCs w:val="0"/>
          <w:color w:val="000000"/>
        </w:rPr>
        <w:t xml:space="preserve"> Ak mal podnikateľ k 31. augustu 2011 zásoby vybraných ropných výrobkov, za ktoré Správe rezerv preukázateľne uhradil príspevok podľa § 7a predpisu účinného do 31. augusta 2011, a nevznikla mu do 31. decembra 2011 povinnosť podľa § 7a ods. 1 predpisu účinného od 1. septembra 2011, povinnosť </w:t>
      </w:r>
      <w:r w:rsidRPr="005A0187">
        <w:rPr>
          <w:rFonts w:eastAsia="Calibri"/>
          <w:bCs w:val="0"/>
        </w:rPr>
        <w:t>uhradiť poplatok za vybrané ropné výrobky podľa § 7a predpisu účinného od 1. septembra 2011 sa na tieto vybrané ropné výrobky nevzťahuje.</w:t>
      </w:r>
    </w:p>
    <w:p w:rsidR="005A0187" w:rsidRPr="005A0187" w:rsidP="005413EE">
      <w:pPr>
        <w:rPr>
          <w:rFonts w:eastAsia="Calibri"/>
          <w:bCs w:val="0"/>
          <w:color w:val="000000"/>
        </w:rPr>
      </w:pPr>
    </w:p>
    <w:p w:rsidR="005A0187" w:rsidRPr="005A0187" w:rsidP="005413EE">
      <w:pPr>
        <w:numPr>
          <w:ilvl w:val="0"/>
          <w:numId w:val="33"/>
        </w:numPr>
        <w:jc w:val="both"/>
        <w:rPr>
          <w:rFonts w:eastAsia="Calibri"/>
          <w:bCs w:val="0"/>
          <w:color w:val="000000"/>
        </w:rPr>
      </w:pPr>
      <w:r w:rsidRPr="005A0187">
        <w:rPr>
          <w:rFonts w:eastAsia="Calibri"/>
          <w:bCs w:val="0"/>
          <w:color w:val="000000"/>
        </w:rPr>
        <w:t xml:space="preserve"> Ak mal podnikateľ k 31. augustu 2011 zásoby vybraných ropných výrobkov, za ktoré Správe rezerv preukázateľne uhradil príspevok podľa § 7a predpisu účinného do 31. augusta 2011, a od 1. septembra 2011 do 31. decembra  2011 splnil povinnosť podľa  § 7a ods. 1 predpisu účinného od 1. septembra 2011</w:t>
      </w:r>
      <w:r w:rsidRPr="005A0187">
        <w:rPr>
          <w:rFonts w:eastAsia="Calibri"/>
          <w:b/>
          <w:bCs w:val="0"/>
          <w:color w:val="000000"/>
        </w:rPr>
        <w:t>,</w:t>
      </w:r>
      <w:r w:rsidRPr="005A0187">
        <w:rPr>
          <w:rFonts w:eastAsia="Calibri"/>
          <w:bCs w:val="0"/>
          <w:color w:val="000000"/>
        </w:rPr>
        <w:t xml:space="preserve"> môže požiadať colný úrad o vrátenie tohto poplatku z týchto zásob, ktorý preukázateľne uhradil podľa § 7a predpisu účinného od 1. septembra 2011. Nárok na vrátenie poplatku podľa tohto odseku zaniká 31. marca 2012.</w:t>
      </w:r>
    </w:p>
    <w:p w:rsidR="005A0187" w:rsidRPr="005A0187" w:rsidP="005413EE">
      <w:pPr>
        <w:ind w:left="708"/>
        <w:rPr>
          <w:bCs w:val="0"/>
          <w:noProof/>
          <w:color w:val="000000"/>
        </w:rPr>
      </w:pPr>
    </w:p>
    <w:p w:rsidR="005A0187" w:rsidRPr="005A0187" w:rsidP="005413EE">
      <w:pPr>
        <w:numPr>
          <w:ilvl w:val="0"/>
          <w:numId w:val="33"/>
        </w:numPr>
        <w:jc w:val="both"/>
        <w:rPr>
          <w:rFonts w:eastAsia="Calibri"/>
          <w:bCs w:val="0"/>
          <w:color w:val="000000"/>
        </w:rPr>
      </w:pPr>
      <w:r w:rsidRPr="005A0187">
        <w:rPr>
          <w:rFonts w:eastAsia="Calibri"/>
          <w:bCs w:val="0"/>
          <w:color w:val="000000"/>
        </w:rPr>
        <w:t xml:space="preserve"> Ak mal podnikateľ k 31. augustu 2011 zásoby vybraných ropných výrobkov, za ktoré Správe rezerv preukázateľne uhradil príspevok podľa § 7a predpisu účinného do 31. augusta 2011 a v období od 1. septembra 2011 do 31. decembra 2011 takéto vybrané ropné výrobky vyviezol na územie tretieho štátu a uskutočnenie vývozu doložil podľa osobitného predpisu</w:t>
      </w:r>
      <w:r w:rsidRPr="005A0187">
        <w:rPr>
          <w:rFonts w:eastAsia="Calibri"/>
          <w:bCs w:val="0"/>
          <w:color w:val="000000"/>
          <w:vertAlign w:val="superscript"/>
        </w:rPr>
        <w:t>9i</w:t>
      </w:r>
      <w:r w:rsidRPr="005A0187">
        <w:rPr>
          <w:rFonts w:eastAsia="Calibri"/>
          <w:bCs w:val="0"/>
          <w:color w:val="000000"/>
        </w:rPr>
        <w:t>) alebo takéto vybrané ropné výrobky dodal na územie iného členského štátu v režime pozastavenia dane podľa osobitného predpisu</w:t>
      </w:r>
      <w:r w:rsidRPr="005A0187">
        <w:rPr>
          <w:rFonts w:eastAsia="Calibri"/>
          <w:bCs w:val="0"/>
          <w:color w:val="000000"/>
          <w:vertAlign w:val="superscript"/>
        </w:rPr>
        <w:t>9i</w:t>
      </w:r>
      <w:r w:rsidRPr="005A0187">
        <w:rPr>
          <w:rFonts w:eastAsia="Calibri"/>
          <w:bCs w:val="0"/>
          <w:color w:val="000000"/>
        </w:rPr>
        <w:t>), môže požiadať colný úrad o vrátenie príspevku z týchto zásob, ktorý preukázateľne uhradil podľa § 7a predpisu účinného do 31. augusta 2011; vrátiť príspevok možno na základe žiadosti, ku ktorej podnikateľ predloží všetky doklady potrebné na preukázanie oprávnenosti na vrátenie príspevku. Colný úrad vráti príspevok z týchto zásob vypočítaný podľa sadzby uvedenej v prílohe č. 4 predpisu účinného do 31. augusta 2011. Nárok na vrátenie príspevku podľa tohto odseku zaniká 31. marca 2012. Ak colný úrad vráti príspevok podľa tohto odseku, do príjmov Správy rezerv odvedie príjmy podľa § 7a ods. 7 znížené o vrátené príspevky podľa tohto odseku.“.</w:t>
      </w:r>
    </w:p>
    <w:p w:rsidR="005A0187" w:rsidRPr="005A0187" w:rsidP="005413EE">
      <w:pPr>
        <w:jc w:val="both"/>
        <w:rPr>
          <w:rFonts w:eastAsia="Calibri"/>
          <w:bCs w:val="0"/>
          <w:color w:val="000000"/>
        </w:rPr>
      </w:pPr>
    </w:p>
    <w:p w:rsidR="005A0187" w:rsidRPr="005A0187" w:rsidP="005413EE">
      <w:pPr>
        <w:ind w:left="2552"/>
        <w:jc w:val="both"/>
        <w:rPr>
          <w:rFonts w:eastAsia="Calibri"/>
          <w:bCs w:val="0"/>
          <w:color w:val="000000"/>
        </w:rPr>
      </w:pPr>
      <w:r w:rsidRPr="005A0187">
        <w:rPr>
          <w:rFonts w:eastAsia="Calibri"/>
          <w:bCs w:val="0"/>
          <w:color w:val="000000"/>
        </w:rPr>
        <w:t xml:space="preserve">Cieľom novely zákona č. 170/2001 Z. z., ktorá nadobudla účinnosť 1. septembra 2011, je predovšetkým naviazať výber poplatkov              z vybraných ropných výrobkov na tvorbu, obmenu, zámenu, pôžičku, skladovanie, ochraňovanie, udržiavanie a financovanie núdzových zásob ropy a vybraných ropných výrobkov na vznik daňovej povinnosti zo spotrebnej dane podľa zákona č. 98/2004 Z. z. o spotrebnej dani z minerálneho oleja v znení neskorších predpisov, zefektívnenie výberu poplatkov </w:t>
      </w:r>
      <w:r w:rsidRPr="005413EE">
        <w:rPr>
          <w:rFonts w:eastAsia="Calibri"/>
          <w:bCs w:val="0"/>
          <w:color w:val="000000"/>
        </w:rPr>
        <w:t xml:space="preserve">na tvorbu, obmenu, zámenu, pôžičku, skladovanie, ochraňovanie, udržiavanie a financovanie núdzových zásob (ďalej len „poplatok“) </w:t>
      </w:r>
      <w:r w:rsidRPr="005A0187">
        <w:rPr>
          <w:rFonts w:eastAsia="Calibri"/>
          <w:bCs w:val="0"/>
          <w:color w:val="000000"/>
        </w:rPr>
        <w:t>a zníženie administratívnej záťaže pre podnikateľov.</w:t>
      </w:r>
    </w:p>
    <w:p w:rsidR="005A0187" w:rsidRPr="005A0187" w:rsidP="005413EE">
      <w:pPr>
        <w:ind w:left="2552"/>
        <w:jc w:val="both"/>
        <w:rPr>
          <w:rFonts w:eastAsia="Calibri"/>
          <w:bCs w:val="0"/>
          <w:color w:val="000000"/>
        </w:rPr>
      </w:pPr>
      <w:r w:rsidRPr="005A0187">
        <w:rPr>
          <w:rFonts w:eastAsia="Calibri"/>
          <w:bCs w:val="0"/>
          <w:color w:val="000000"/>
        </w:rPr>
        <w:t>Zámerom tejto novely však nebolo duplicitne vybrať poplatok za ten istý vybraný ropný výrobok, na ktorý už bol odvedený príspevok podľa § 7a zákona č. 170/2001 Z. z. v znení účinnom do 31. augusta 2011.</w:t>
      </w:r>
    </w:p>
    <w:p w:rsidR="005A0187" w:rsidRPr="005A0187" w:rsidP="005413EE">
      <w:pPr>
        <w:ind w:left="2552"/>
        <w:jc w:val="both"/>
        <w:rPr>
          <w:rFonts w:eastAsia="Calibri"/>
          <w:bCs w:val="0"/>
          <w:color w:val="000000"/>
        </w:rPr>
      </w:pPr>
      <w:r w:rsidRPr="005A0187">
        <w:rPr>
          <w:rFonts w:eastAsia="Calibri"/>
          <w:bCs w:val="0"/>
          <w:color w:val="000000"/>
        </w:rPr>
        <w:t>Teraz platné ustanovenie zákona č. 170/2001 Z. z. vytvorilo právny stav, ktorý v niektorých prípadoch umožňuje výber poplatkov aj z tých vybratých ropných výrobkov, za ktoré už bol uhradený príspevok podľa zákona platného do 31. augusta 2011. Z uvedených dôvodov sa navrhuje upraviť zákon č. 170/2001 Z. z. tak, aby mohli colné úrady vrátiť poplatok vybratý po 1. septembri 2011 za tie vybrané ropné výrobky, za ktoré už bol uhradený príspevok podľa zákona platného do 31. augusta 2011.</w:t>
      </w:r>
    </w:p>
    <w:p w:rsidR="005A0187" w:rsidRPr="005A0187" w:rsidP="005413EE">
      <w:pPr>
        <w:jc w:val="both"/>
        <w:rPr>
          <w:rFonts w:eastAsia="Calibri"/>
          <w:bCs w:val="0"/>
          <w:color w:val="000000"/>
        </w:rPr>
      </w:pPr>
    </w:p>
    <w:p w:rsidR="005A0187" w:rsidP="005413EE">
      <w:pPr>
        <w:jc w:val="both"/>
        <w:rPr>
          <w:rFonts w:eastAsia="Calibri"/>
          <w:bCs w:val="0"/>
          <w:color w:val="000000"/>
        </w:rPr>
      </w:pPr>
    </w:p>
    <w:p w:rsidR="005A0187" w:rsidRPr="005A0187" w:rsidP="005413EE">
      <w:pPr>
        <w:numPr>
          <w:ilvl w:val="0"/>
          <w:numId w:val="34"/>
        </w:numPr>
        <w:rPr>
          <w:rFonts w:eastAsia="Calibri"/>
          <w:bCs w:val="0"/>
        </w:rPr>
      </w:pPr>
      <w:r w:rsidRPr="005A0187">
        <w:rPr>
          <w:rFonts w:eastAsia="Calibri"/>
          <w:bCs w:val="0"/>
        </w:rPr>
        <w:t>V prílohe č. 4 bod 4 znie:</w:t>
      </w:r>
    </w:p>
    <w:p w:rsidR="005A0187" w:rsidRPr="005A0187" w:rsidP="005413EE">
      <w:pPr>
        <w:ind w:left="720" w:hanging="720"/>
        <w:rPr>
          <w:rFonts w:eastAsia="Calibri"/>
          <w:bCs w:val="0"/>
        </w:rPr>
      </w:pPr>
    </w:p>
    <w:p w:rsidR="005A0187" w:rsidRPr="005A0187" w:rsidP="005413EE">
      <w:pPr>
        <w:ind w:left="720"/>
        <w:rPr>
          <w:rFonts w:eastAsia="Calibri"/>
          <w:bCs w:val="0"/>
        </w:rPr>
      </w:pPr>
      <w:r w:rsidRPr="005A0187">
        <w:rPr>
          <w:rFonts w:eastAsia="Calibri"/>
          <w:bCs w:val="0"/>
        </w:rPr>
        <w:t>„4. Sadzba poplatku pre vybrané ropné výrobky sa ustanovuje takto:</w:t>
      </w:r>
    </w:p>
    <w:p w:rsidR="005A0187" w:rsidRPr="005A0187" w:rsidP="005413EE">
      <w:pPr>
        <w:numPr>
          <w:ilvl w:val="0"/>
          <w:numId w:val="31"/>
        </w:numPr>
        <w:ind w:hanging="437"/>
        <w:jc w:val="both"/>
        <w:rPr>
          <w:rFonts w:eastAsia="Calibri"/>
          <w:bCs w:val="0"/>
        </w:rPr>
      </w:pPr>
      <w:r w:rsidRPr="005A0187">
        <w:rPr>
          <w:rFonts w:eastAsia="Calibri"/>
          <w:bCs w:val="0"/>
        </w:rPr>
        <w:t>motorový benzín a palivo pre tryskové motory benzínového typu kódu kombinovanej nomenklatúry 2710 12 31, 2710 12 41, 2710 12 45, 2710 12 49              a 2710 12 70</w:t>
        <w:tab/>
        <w:tab/>
        <w:tab/>
        <w:tab/>
        <w:tab/>
        <w:t>19,65 eura za 1 000 litrov,</w:t>
      </w:r>
    </w:p>
    <w:p w:rsidR="005A0187" w:rsidRPr="005A0187" w:rsidP="005413EE">
      <w:pPr>
        <w:numPr>
          <w:ilvl w:val="0"/>
          <w:numId w:val="31"/>
        </w:numPr>
        <w:ind w:hanging="437"/>
        <w:jc w:val="both"/>
        <w:rPr>
          <w:rFonts w:eastAsia="Calibri"/>
          <w:bCs w:val="0"/>
        </w:rPr>
      </w:pPr>
      <w:r w:rsidRPr="005A0187">
        <w:rPr>
          <w:rFonts w:eastAsia="Calibri"/>
          <w:bCs w:val="0"/>
        </w:rPr>
        <w:t xml:space="preserve">motorová nafta, petrolej, letecký, petrolej a ostatné plynové oleje kódu kombinovanej nomenklatúry 2710 19 21, 2710 19 25, 2710 19 29, </w:t>
      </w:r>
      <w:r w:rsidRPr="005A0187">
        <w:rPr>
          <w:rFonts w:eastAsia="Calibri"/>
          <w:bCs w:val="0"/>
          <w:color w:val="000000"/>
        </w:rPr>
        <w:t>2710 19 43, 2710 19 46, 2710 19 47, 2710 19 48, 2710 20 11, 2710 20 15, 2710 20 17              a 2710 20 19</w:t>
      </w:r>
      <w:r w:rsidRPr="005A0187">
        <w:rPr>
          <w:rFonts w:eastAsia="Calibri"/>
          <w:bCs w:val="0"/>
        </w:rPr>
        <w:tab/>
        <w:tab/>
        <w:tab/>
        <w:tab/>
        <w:tab/>
        <w:t>19,65 eura za 1 000 litrov,</w:t>
      </w:r>
    </w:p>
    <w:p w:rsidR="005A0187" w:rsidRPr="005A0187" w:rsidP="005413EE">
      <w:pPr>
        <w:numPr>
          <w:ilvl w:val="0"/>
          <w:numId w:val="31"/>
        </w:numPr>
        <w:ind w:hanging="437"/>
        <w:jc w:val="both"/>
        <w:rPr>
          <w:rFonts w:eastAsia="Calibri"/>
          <w:bCs w:val="0"/>
        </w:rPr>
      </w:pPr>
      <w:r w:rsidRPr="005A0187">
        <w:rPr>
          <w:rFonts w:eastAsia="Calibri"/>
          <w:bCs w:val="0"/>
        </w:rPr>
        <w:t xml:space="preserve">vykurovacie oleje kódu kombinovanej nomenklatúry </w:t>
      </w:r>
      <w:r w:rsidRPr="005A0187">
        <w:rPr>
          <w:rFonts w:eastAsia="Calibri"/>
          <w:bCs w:val="0"/>
          <w:color w:val="000000"/>
        </w:rPr>
        <w:t>2710 19 62, 2710 19 64, 271019 68, 2710 20 31, 2710 20 35, 2710 20 39 a 2710 20 90</w:t>
      </w:r>
      <w:r w:rsidRPr="005A0187">
        <w:rPr>
          <w:rFonts w:eastAsia="Calibri"/>
          <w:bCs w:val="0"/>
        </w:rPr>
        <w:tab/>
        <w:tab/>
        <w:tab/>
        <w:tab/>
        <w:tab/>
        <w:tab/>
        <w:tab/>
        <w:tab/>
        <w:tab/>
        <w:t xml:space="preserve">           19,65 eura za 1 000 kilogramov.“.</w:t>
      </w:r>
    </w:p>
    <w:p w:rsidR="005A0187" w:rsidRPr="005A0187" w:rsidP="005413EE">
      <w:pPr>
        <w:rPr>
          <w:rFonts w:eastAsia="Calibri"/>
          <w:bCs w:val="0"/>
          <w:color w:val="000000"/>
        </w:rPr>
      </w:pPr>
    </w:p>
    <w:p w:rsidR="005A0187" w:rsidRPr="005A0187" w:rsidP="005413EE">
      <w:pPr>
        <w:ind w:firstLine="426"/>
        <w:rPr>
          <w:bCs w:val="0"/>
          <w:color w:val="000000"/>
        </w:rPr>
      </w:pPr>
      <w:r w:rsidRPr="005A0187">
        <w:rPr>
          <w:bCs w:val="0"/>
          <w:color w:val="000000"/>
        </w:rPr>
        <w:t>Doterajšie články sa primerane prečíslujú.</w:t>
      </w:r>
    </w:p>
    <w:p w:rsidR="005A0187" w:rsidRPr="005A0187" w:rsidP="005413EE">
      <w:pPr>
        <w:ind w:left="2552"/>
        <w:rPr>
          <w:b/>
          <w:bCs w:val="0"/>
          <w:color w:val="000000"/>
        </w:rPr>
      </w:pPr>
    </w:p>
    <w:p w:rsidR="005A0187" w:rsidRPr="005A0187" w:rsidP="005413EE">
      <w:pPr>
        <w:tabs>
          <w:tab w:val="num" w:pos="644"/>
        </w:tabs>
        <w:ind w:left="2552"/>
        <w:jc w:val="both"/>
        <w:rPr>
          <w:color w:val="000000"/>
          <w:lang w:eastAsia="x-none"/>
        </w:rPr>
      </w:pPr>
      <w:r w:rsidRPr="005A0187">
        <w:rPr>
          <w:color w:val="000000"/>
          <w:lang w:eastAsia="x-none"/>
        </w:rPr>
        <w:t>V súvislosti s Nariadením komisie (EÚ) č. 1006/2011 z 27. septembra 201, ktorým sa mení a dopĺňa príloha č. I k nariadeniu Rady (EHS) č.2658/87 o colnej štatistickej nomenklatúre a o Spoločnom colnom sadzobníku, ktorým sa zmenilo číslovanie väčšiny kódov kombinovanej nomenklatúry minerálnych olejov je potrebné zmeny premietnuť do príloh tohto zákona.</w:t>
      </w:r>
    </w:p>
    <w:p w:rsidR="005A0187" w:rsidRPr="005413EE" w:rsidP="005413EE">
      <w:pPr>
        <w:rPr>
          <w:rFonts w:eastAsia="Calibri"/>
          <w:bCs w:val="0"/>
          <w:color w:val="000000"/>
        </w:rPr>
      </w:pPr>
    </w:p>
    <w:p w:rsidR="005A0187" w:rsidRPr="005A0187" w:rsidP="005413EE">
      <w:pPr>
        <w:ind w:firstLine="708"/>
        <w:rPr>
          <w:bCs w:val="0"/>
        </w:rPr>
      </w:pPr>
    </w:p>
    <w:p w:rsidR="005A0187" w:rsidRPr="005413EE" w:rsidP="005413EE">
      <w:pPr>
        <w:rPr>
          <w:rFonts w:eastAsia="Calibri"/>
          <w:bCs w:val="0"/>
          <w:color w:val="000000"/>
        </w:rPr>
      </w:pPr>
    </w:p>
    <w:p w:rsidR="00353B09" w:rsidRPr="005413EE" w:rsidP="005413EE">
      <w:pPr>
        <w:ind w:left="2124"/>
        <w:jc w:val="both"/>
      </w:pPr>
    </w:p>
    <w:p w:rsidR="00D274A9" w:rsidRPr="00D274A9" w:rsidP="005413EE">
      <w:pPr>
        <w:pStyle w:val="ListParagraph"/>
        <w:numPr>
          <w:ilvl w:val="0"/>
          <w:numId w:val="32"/>
        </w:numPr>
        <w:spacing w:after="0" w:line="240" w:lineRule="auto"/>
        <w:jc w:val="both"/>
        <w:rPr>
          <w:rFonts w:ascii="Times New Roman" w:hAnsi="Times New Roman"/>
          <w:b/>
          <w:sz w:val="24"/>
          <w:szCs w:val="24"/>
        </w:rPr>
      </w:pPr>
      <w:r w:rsidRPr="00D274A9">
        <w:rPr>
          <w:rFonts w:ascii="Times New Roman" w:hAnsi="Times New Roman"/>
          <w:b/>
          <w:sz w:val="24"/>
          <w:szCs w:val="24"/>
        </w:rPr>
        <w:t>K</w:t>
      </w:r>
      <w:r w:rsidR="00D040E1">
        <w:rPr>
          <w:rFonts w:ascii="Times New Roman" w:hAnsi="Times New Roman"/>
          <w:b/>
          <w:sz w:val="24"/>
          <w:szCs w:val="24"/>
        </w:rPr>
        <w:t xml:space="preserve"> doterajšiemu </w:t>
      </w:r>
      <w:r w:rsidRPr="00D274A9">
        <w:rPr>
          <w:rFonts w:ascii="Times New Roman" w:hAnsi="Times New Roman"/>
          <w:b/>
          <w:sz w:val="24"/>
          <w:szCs w:val="24"/>
        </w:rPr>
        <w:t>čl. II bod 73</w:t>
      </w:r>
    </w:p>
    <w:p w:rsidR="00353B09" w:rsidRPr="005413EE" w:rsidP="00D274A9">
      <w:pPr>
        <w:pStyle w:val="ListParagraph"/>
        <w:spacing w:after="0" w:line="240" w:lineRule="auto"/>
        <w:ind w:left="644"/>
        <w:jc w:val="both"/>
        <w:rPr>
          <w:rFonts w:ascii="Times New Roman" w:hAnsi="Times New Roman"/>
          <w:sz w:val="24"/>
          <w:szCs w:val="24"/>
        </w:rPr>
      </w:pPr>
      <w:r w:rsidRPr="005413EE">
        <w:rPr>
          <w:rFonts w:ascii="Times New Roman" w:hAnsi="Times New Roman"/>
          <w:sz w:val="24"/>
          <w:szCs w:val="24"/>
        </w:rPr>
        <w:t>V čl. II v bode 73. v § 44i ods. 5 sa slová „ do 31. Januára 2013“ nahrádzajú slovami „do 31. januára 2012“.</w:t>
      </w:r>
    </w:p>
    <w:p w:rsidR="00D274A9" w:rsidP="005413EE">
      <w:pPr>
        <w:ind w:left="2127"/>
        <w:jc w:val="both"/>
      </w:pPr>
    </w:p>
    <w:p w:rsidR="00353B09" w:rsidRPr="005413EE" w:rsidP="00D274A9">
      <w:pPr>
        <w:ind w:left="2832"/>
        <w:jc w:val="both"/>
      </w:pPr>
      <w:r w:rsidRPr="005413EE">
        <w:t>Oprava účinnosti prechodného ustanovenia, ktoré ustanovuje minimálnu sadzbu dane z cigariet  na obdobie od 1. januára 2012 do 31. Januára 2013 pričom nasledujúci odsek 6 v § 44i ustanovuje minimálnu sadzbu dane z cigariet v inej výške od 1. februára 2012 do 28. februára 2013. Simultánne by tak boli účinné dve rôzne sadzby dane v období  od 1. februára 2012 do 31. januára 2013. Rovnako sa zohľadňuje kontext s ustanovením § 44i ods. 1.</w:t>
      </w:r>
    </w:p>
    <w:p w:rsidR="00353B09" w:rsidRPr="005413EE" w:rsidP="005413EE">
      <w:pPr>
        <w:ind w:left="2127"/>
        <w:jc w:val="both"/>
      </w:pPr>
    </w:p>
    <w:p w:rsidR="00F62045" w:rsidRPr="00F62045" w:rsidP="005413EE">
      <w:pPr>
        <w:pStyle w:val="ListParagraph"/>
        <w:numPr>
          <w:ilvl w:val="0"/>
          <w:numId w:val="32"/>
        </w:numPr>
        <w:spacing w:after="0" w:line="240" w:lineRule="auto"/>
        <w:ind w:left="714" w:hanging="357"/>
        <w:jc w:val="both"/>
        <w:rPr>
          <w:rFonts w:ascii="Times New Roman" w:hAnsi="Times New Roman"/>
          <w:b/>
          <w:sz w:val="24"/>
          <w:szCs w:val="24"/>
        </w:rPr>
      </w:pPr>
      <w:r w:rsidRPr="00F62045">
        <w:rPr>
          <w:rFonts w:ascii="Times New Roman" w:hAnsi="Times New Roman"/>
          <w:b/>
          <w:sz w:val="24"/>
          <w:szCs w:val="24"/>
        </w:rPr>
        <w:t>K </w:t>
      </w:r>
      <w:r w:rsidR="00D040E1">
        <w:rPr>
          <w:rFonts w:ascii="Times New Roman" w:hAnsi="Times New Roman"/>
          <w:b/>
          <w:sz w:val="24"/>
          <w:szCs w:val="24"/>
        </w:rPr>
        <w:t>doterajšiemu</w:t>
      </w:r>
      <w:r w:rsidRPr="00F62045" w:rsidR="00D040E1">
        <w:rPr>
          <w:rFonts w:ascii="Times New Roman" w:hAnsi="Times New Roman"/>
          <w:b/>
          <w:sz w:val="24"/>
          <w:szCs w:val="24"/>
        </w:rPr>
        <w:t xml:space="preserve"> </w:t>
      </w:r>
      <w:r w:rsidRPr="00F62045">
        <w:rPr>
          <w:rFonts w:ascii="Times New Roman" w:hAnsi="Times New Roman"/>
          <w:b/>
          <w:sz w:val="24"/>
          <w:szCs w:val="24"/>
        </w:rPr>
        <w:t>čl. II bod 73</w:t>
      </w:r>
    </w:p>
    <w:p w:rsidR="00353B09" w:rsidRPr="005413EE" w:rsidP="00F62045">
      <w:pPr>
        <w:pStyle w:val="ListParagraph"/>
        <w:spacing w:after="0" w:line="240" w:lineRule="auto"/>
        <w:ind w:left="714"/>
        <w:jc w:val="both"/>
        <w:rPr>
          <w:rFonts w:ascii="Times New Roman" w:hAnsi="Times New Roman"/>
          <w:sz w:val="24"/>
          <w:szCs w:val="24"/>
        </w:rPr>
      </w:pPr>
      <w:r w:rsidRPr="005413EE">
        <w:rPr>
          <w:rFonts w:ascii="Times New Roman" w:hAnsi="Times New Roman"/>
          <w:sz w:val="24"/>
          <w:szCs w:val="24"/>
        </w:rPr>
        <w:t>V čl. II v bode 73. v § 44i ods. 11 sa slová „právnickej osoby alebo fyzickej osoby“ nahrádzajú slovami „osoby“.</w:t>
      </w:r>
    </w:p>
    <w:p w:rsidR="00353B09" w:rsidRPr="005413EE" w:rsidP="005413EE">
      <w:pPr>
        <w:jc w:val="both"/>
      </w:pPr>
      <w:r w:rsidRPr="005413EE">
        <w:tab/>
        <w:tab/>
        <w:tab/>
      </w:r>
    </w:p>
    <w:p w:rsidR="00353B09" w:rsidRPr="005413EE" w:rsidP="00F62045">
      <w:pPr>
        <w:ind w:left="2124" w:firstLine="708"/>
        <w:jc w:val="both"/>
      </w:pPr>
      <w:r w:rsidRPr="005413EE">
        <w:t>Zjednotenie použitých pojmov v zmysle zmeny v čl. II v 75. bode.</w:t>
      </w:r>
    </w:p>
    <w:p w:rsidR="00353B09" w:rsidP="005413EE">
      <w:pPr>
        <w:ind w:left="1416" w:firstLine="708"/>
        <w:jc w:val="both"/>
      </w:pPr>
      <w:r w:rsidR="00D040E1">
        <w:t xml:space="preserve"> </w:t>
      </w:r>
    </w:p>
    <w:p w:rsidR="00F62045" w:rsidRPr="005413EE" w:rsidP="005413EE">
      <w:pPr>
        <w:ind w:left="1416" w:firstLine="708"/>
        <w:jc w:val="both"/>
      </w:pPr>
    </w:p>
    <w:p w:rsidR="00F62045" w:rsidRPr="00F62045" w:rsidP="005413EE">
      <w:pPr>
        <w:pStyle w:val="ListParagraph"/>
        <w:numPr>
          <w:ilvl w:val="0"/>
          <w:numId w:val="32"/>
        </w:numPr>
        <w:spacing w:after="0" w:line="240" w:lineRule="auto"/>
        <w:jc w:val="both"/>
        <w:rPr>
          <w:rFonts w:ascii="Times New Roman" w:hAnsi="Times New Roman"/>
          <w:b/>
          <w:sz w:val="24"/>
          <w:szCs w:val="24"/>
        </w:rPr>
      </w:pPr>
      <w:r w:rsidRPr="00F62045">
        <w:rPr>
          <w:rFonts w:ascii="Times New Roman" w:hAnsi="Times New Roman"/>
          <w:b/>
          <w:sz w:val="24"/>
          <w:szCs w:val="24"/>
        </w:rPr>
        <w:t>K </w:t>
      </w:r>
      <w:r w:rsidR="00D040E1">
        <w:rPr>
          <w:rFonts w:ascii="Times New Roman" w:hAnsi="Times New Roman"/>
          <w:b/>
          <w:sz w:val="24"/>
          <w:szCs w:val="24"/>
        </w:rPr>
        <w:t>doterajšiemu</w:t>
      </w:r>
      <w:r w:rsidRPr="00F62045" w:rsidR="00D040E1">
        <w:rPr>
          <w:rFonts w:ascii="Times New Roman" w:hAnsi="Times New Roman"/>
          <w:b/>
          <w:sz w:val="24"/>
          <w:szCs w:val="24"/>
        </w:rPr>
        <w:t xml:space="preserve"> </w:t>
      </w:r>
      <w:r w:rsidRPr="00F62045">
        <w:rPr>
          <w:rFonts w:ascii="Times New Roman" w:hAnsi="Times New Roman"/>
          <w:b/>
          <w:sz w:val="24"/>
          <w:szCs w:val="24"/>
        </w:rPr>
        <w:t>čl. II bod 74</w:t>
      </w:r>
    </w:p>
    <w:p w:rsidR="00353B09" w:rsidRPr="005413EE" w:rsidP="00F62045">
      <w:pPr>
        <w:pStyle w:val="ListParagraph"/>
        <w:spacing w:after="0" w:line="240" w:lineRule="auto"/>
        <w:ind w:left="644"/>
        <w:jc w:val="both"/>
        <w:rPr>
          <w:rFonts w:ascii="Times New Roman" w:hAnsi="Times New Roman"/>
          <w:sz w:val="24"/>
          <w:szCs w:val="24"/>
        </w:rPr>
      </w:pPr>
      <w:r w:rsidRPr="005413EE">
        <w:rPr>
          <w:rFonts w:ascii="Times New Roman" w:hAnsi="Times New Roman"/>
          <w:sz w:val="24"/>
          <w:szCs w:val="24"/>
        </w:rPr>
        <w:t>V čl. II v bode 74 sa vkladané § 44k a § 44l označujú ako § 44j a § 44k.</w:t>
      </w:r>
    </w:p>
    <w:p w:rsidR="00353B09" w:rsidRPr="005413EE" w:rsidP="005413EE">
      <w:pPr>
        <w:ind w:left="2124"/>
        <w:jc w:val="both"/>
      </w:pPr>
    </w:p>
    <w:p w:rsidR="00353B09" w:rsidRPr="005413EE" w:rsidP="00F62045">
      <w:pPr>
        <w:ind w:left="2832"/>
        <w:jc w:val="both"/>
      </w:pPr>
      <w:r w:rsidRPr="005413EE">
        <w:t>Vkladané nové prechodné ustanovenia musia abecedne nadväzovať na platné prechodné ustanovenia.</w:t>
      </w:r>
    </w:p>
    <w:p w:rsidR="005A0187" w:rsidP="005413EE">
      <w:pPr>
        <w:rPr>
          <w:rFonts w:eastAsia="Calibri"/>
          <w:bCs w:val="0"/>
          <w:color w:val="000000"/>
        </w:rPr>
      </w:pPr>
    </w:p>
    <w:p w:rsidR="00F62045" w:rsidRPr="005413EE" w:rsidP="005413EE">
      <w:pPr>
        <w:rPr>
          <w:rFonts w:eastAsia="Calibri"/>
          <w:bCs w:val="0"/>
          <w:color w:val="000000"/>
        </w:rPr>
      </w:pPr>
      <w:r w:rsidR="00D040E1">
        <w:rPr>
          <w:rFonts w:eastAsia="Calibri"/>
          <w:bCs w:val="0"/>
          <w:color w:val="000000"/>
        </w:rPr>
        <w:t xml:space="preserve"> </w:t>
      </w:r>
    </w:p>
    <w:p w:rsidR="005A0187" w:rsidRPr="005413EE" w:rsidP="005413EE">
      <w:pPr>
        <w:rPr>
          <w:rFonts w:eastAsia="Calibri"/>
          <w:bCs w:val="0"/>
          <w:color w:val="000000"/>
        </w:rPr>
      </w:pPr>
    </w:p>
    <w:p w:rsidR="005A0187" w:rsidRPr="005A0187" w:rsidP="00F62045">
      <w:pPr>
        <w:numPr>
          <w:ilvl w:val="0"/>
          <w:numId w:val="32"/>
        </w:numPr>
        <w:jc w:val="both"/>
        <w:rPr>
          <w:b/>
          <w:bCs w:val="0"/>
          <w:color w:val="000000"/>
          <w:lang w:eastAsia="x-none"/>
        </w:rPr>
      </w:pPr>
      <w:r w:rsidRPr="005A0187">
        <w:rPr>
          <w:b/>
          <w:bCs w:val="0"/>
          <w:color w:val="000000"/>
          <w:lang w:eastAsia="x-none"/>
        </w:rPr>
        <w:t xml:space="preserve">K </w:t>
      </w:r>
      <w:r w:rsidR="00D040E1">
        <w:rPr>
          <w:b/>
        </w:rPr>
        <w:t>doterajšiemu</w:t>
      </w:r>
      <w:r w:rsidR="00D040E1">
        <w:rPr>
          <w:b/>
          <w:bCs w:val="0"/>
          <w:color w:val="000000"/>
          <w:lang w:eastAsia="x-none"/>
        </w:rPr>
        <w:t xml:space="preserve"> č</w:t>
      </w:r>
      <w:r w:rsidRPr="005A0187">
        <w:rPr>
          <w:b/>
          <w:bCs w:val="0"/>
          <w:color w:val="000000"/>
          <w:lang w:eastAsia="x-none"/>
        </w:rPr>
        <w:t>l. II bod 74</w:t>
      </w:r>
    </w:p>
    <w:p w:rsidR="005A0187" w:rsidRPr="005A0187" w:rsidP="005413EE">
      <w:pPr>
        <w:tabs>
          <w:tab w:val="num" w:pos="644"/>
        </w:tabs>
        <w:jc w:val="both"/>
        <w:rPr>
          <w:bCs w:val="0"/>
          <w:color w:val="000000"/>
          <w:lang w:eastAsia="x-none"/>
        </w:rPr>
      </w:pPr>
      <w:r w:rsidR="00F62045">
        <w:rPr>
          <w:bCs w:val="0"/>
          <w:lang w:eastAsia="x-none"/>
        </w:rPr>
        <w:tab/>
      </w:r>
      <w:r w:rsidRPr="005A0187">
        <w:rPr>
          <w:bCs w:val="0"/>
          <w:lang w:eastAsia="x-none"/>
        </w:rPr>
        <w:t>V </w:t>
      </w:r>
      <w:r w:rsidR="00D040E1">
        <w:rPr>
          <w:bCs w:val="0"/>
          <w:lang w:eastAsia="x-none"/>
        </w:rPr>
        <w:t>č</w:t>
      </w:r>
      <w:r w:rsidRPr="005A0187">
        <w:rPr>
          <w:bCs w:val="0"/>
          <w:color w:val="000000"/>
          <w:lang w:eastAsia="x-none"/>
        </w:rPr>
        <w:t>l. II bode</w:t>
      </w:r>
      <w:r w:rsidRPr="005A0187">
        <w:rPr>
          <w:bCs w:val="0"/>
          <w:lang w:eastAsia="x-none"/>
        </w:rPr>
        <w:t xml:space="preserve"> 74 sa § 44l dopĺňa odsekom 10, ktorý znie:</w:t>
      </w:r>
    </w:p>
    <w:p w:rsidR="005A0187" w:rsidRPr="005A0187" w:rsidP="00F62045">
      <w:pPr>
        <w:tabs>
          <w:tab w:val="num" w:pos="502"/>
        </w:tabs>
        <w:ind w:left="708"/>
        <w:jc w:val="both"/>
        <w:rPr>
          <w:bCs w:val="0"/>
          <w:color w:val="000000"/>
          <w:lang w:eastAsia="x-none"/>
        </w:rPr>
      </w:pPr>
      <w:r w:rsidRPr="005A0187">
        <w:rPr>
          <w:bCs w:val="0"/>
          <w:lang w:eastAsia="x-none"/>
        </w:rPr>
        <w:t>„(10) Ustanovenie § 20 ods. 14 písm. b) v znení účinnom od 1. septembra 2012 sa od 1. januára 2013 neuplatňuje.“.</w:t>
      </w:r>
    </w:p>
    <w:p w:rsidR="005A0187" w:rsidRPr="005A0187" w:rsidP="005413EE">
      <w:pPr>
        <w:rPr>
          <w:rFonts w:eastAsia="Calibri"/>
          <w:bCs w:val="0"/>
          <w:color w:val="000000"/>
        </w:rPr>
      </w:pPr>
    </w:p>
    <w:p w:rsidR="005A0187" w:rsidRPr="005A0187" w:rsidP="005413EE">
      <w:pPr>
        <w:ind w:left="2552"/>
        <w:jc w:val="both"/>
        <w:rPr>
          <w:bCs w:val="0"/>
          <w:noProof/>
          <w:color w:val="000000"/>
        </w:rPr>
      </w:pPr>
      <w:r w:rsidRPr="005A0187">
        <w:rPr>
          <w:bCs w:val="0"/>
          <w:color w:val="000000"/>
        </w:rPr>
        <w:t xml:space="preserve">Ustanovenie sa upravuje v nadväznosti na novelu zákona č. 431/2002 Z. z. o účtovníctve v znení neskorších predpisov, ktorá je v súčasnosti predložená na rokovanie NR SR, číslo tlače 509. </w:t>
      </w:r>
    </w:p>
    <w:p w:rsidR="00353B09" w:rsidP="005413EE">
      <w:pPr>
        <w:ind w:left="2124"/>
        <w:jc w:val="both"/>
      </w:pPr>
    </w:p>
    <w:p w:rsidR="00D040E1" w:rsidP="005413EE">
      <w:pPr>
        <w:ind w:left="2124"/>
        <w:jc w:val="both"/>
      </w:pPr>
    </w:p>
    <w:p w:rsidR="00D040E1" w:rsidP="005413EE">
      <w:pPr>
        <w:ind w:left="2124"/>
        <w:jc w:val="both"/>
      </w:pPr>
    </w:p>
    <w:p w:rsidR="00D040E1" w:rsidP="005413EE">
      <w:pPr>
        <w:ind w:left="2124"/>
        <w:jc w:val="both"/>
      </w:pPr>
    </w:p>
    <w:p w:rsidR="00F62045" w:rsidRPr="005413EE" w:rsidP="005413EE">
      <w:pPr>
        <w:ind w:left="2124"/>
        <w:jc w:val="both"/>
      </w:pPr>
      <w:r w:rsidR="00D040E1">
        <w:t xml:space="preserve"> </w:t>
      </w:r>
    </w:p>
    <w:p w:rsidR="00353B09" w:rsidRPr="005413EE" w:rsidP="005413EE">
      <w:pPr>
        <w:ind w:left="2124"/>
        <w:jc w:val="both"/>
      </w:pPr>
    </w:p>
    <w:p w:rsidR="00F62045" w:rsidRPr="00F62045" w:rsidP="005413EE">
      <w:pPr>
        <w:pStyle w:val="ListParagraph"/>
        <w:numPr>
          <w:ilvl w:val="0"/>
          <w:numId w:val="32"/>
        </w:numPr>
        <w:spacing w:after="0" w:line="240" w:lineRule="auto"/>
        <w:jc w:val="both"/>
        <w:rPr>
          <w:rFonts w:ascii="Times New Roman" w:hAnsi="Times New Roman"/>
          <w:b/>
          <w:sz w:val="24"/>
          <w:szCs w:val="24"/>
        </w:rPr>
      </w:pPr>
      <w:r w:rsidRPr="00F62045">
        <w:rPr>
          <w:rFonts w:ascii="Times New Roman" w:hAnsi="Times New Roman"/>
          <w:b/>
          <w:sz w:val="24"/>
          <w:szCs w:val="24"/>
        </w:rPr>
        <w:t>K </w:t>
      </w:r>
      <w:r w:rsidR="00D040E1">
        <w:rPr>
          <w:rFonts w:ascii="Times New Roman" w:hAnsi="Times New Roman"/>
          <w:b/>
          <w:sz w:val="24"/>
          <w:szCs w:val="24"/>
        </w:rPr>
        <w:t>doterajšiemu</w:t>
      </w:r>
      <w:r w:rsidRPr="00F62045" w:rsidR="00D040E1">
        <w:rPr>
          <w:rFonts w:ascii="Times New Roman" w:hAnsi="Times New Roman"/>
          <w:b/>
          <w:sz w:val="24"/>
          <w:szCs w:val="24"/>
        </w:rPr>
        <w:t xml:space="preserve"> </w:t>
      </w:r>
      <w:r w:rsidRPr="00F62045">
        <w:rPr>
          <w:rFonts w:ascii="Times New Roman" w:hAnsi="Times New Roman"/>
          <w:b/>
          <w:sz w:val="24"/>
          <w:szCs w:val="24"/>
        </w:rPr>
        <w:t>čl. II bod 75</w:t>
      </w:r>
    </w:p>
    <w:p w:rsidR="00353B09" w:rsidRPr="005413EE" w:rsidP="00F62045">
      <w:pPr>
        <w:pStyle w:val="ListParagraph"/>
        <w:spacing w:after="0" w:line="240" w:lineRule="auto"/>
        <w:ind w:left="644"/>
        <w:jc w:val="both"/>
        <w:rPr>
          <w:rFonts w:ascii="Times New Roman" w:hAnsi="Times New Roman"/>
          <w:sz w:val="24"/>
          <w:szCs w:val="24"/>
        </w:rPr>
      </w:pPr>
      <w:r w:rsidRPr="005413EE">
        <w:rPr>
          <w:rFonts w:ascii="Times New Roman" w:hAnsi="Times New Roman"/>
          <w:sz w:val="24"/>
          <w:szCs w:val="24"/>
        </w:rPr>
        <w:t>V čl. II v bode 75. sa slová „§ 44 a 44h“ nahrádzajú slovami „§ 44 až 44e a § 44g“.</w:t>
      </w:r>
    </w:p>
    <w:p w:rsidR="00353B09" w:rsidRPr="005413EE" w:rsidP="005413EE">
      <w:pPr>
        <w:jc w:val="both"/>
      </w:pPr>
      <w:r w:rsidRPr="005413EE">
        <w:tab/>
        <w:tab/>
        <w:tab/>
      </w:r>
    </w:p>
    <w:p w:rsidR="00353B09" w:rsidRPr="005413EE" w:rsidP="00F62045">
      <w:pPr>
        <w:ind w:left="2124"/>
        <w:jc w:val="both"/>
      </w:pPr>
      <w:r w:rsidR="00F62045">
        <w:t xml:space="preserve">     </w:t>
      </w:r>
      <w:r w:rsidRPr="005413EE">
        <w:t>Výnimka sa mala vzťahovať na všetky platné prechodné ustanovenia.</w:t>
      </w:r>
    </w:p>
    <w:p w:rsidR="005A0187" w:rsidP="005413EE">
      <w:pPr>
        <w:rPr>
          <w:b/>
          <w:bCs w:val="0"/>
        </w:rPr>
      </w:pPr>
    </w:p>
    <w:p w:rsidR="00F62045" w:rsidP="005413EE">
      <w:pPr>
        <w:rPr>
          <w:b/>
          <w:bCs w:val="0"/>
        </w:rPr>
      </w:pPr>
    </w:p>
    <w:p w:rsidR="00F62045" w:rsidRPr="005413EE" w:rsidP="005413EE">
      <w:pPr>
        <w:rPr>
          <w:b/>
          <w:bCs w:val="0"/>
        </w:rPr>
      </w:pPr>
      <w:r w:rsidR="00D040E1">
        <w:rPr>
          <w:b/>
          <w:bCs w:val="0"/>
        </w:rPr>
        <w:t xml:space="preserve"> </w:t>
      </w:r>
    </w:p>
    <w:p w:rsidR="00353B09" w:rsidRPr="00353B09" w:rsidP="005413EE">
      <w:pPr>
        <w:jc w:val="both"/>
        <w:rPr>
          <w:bCs w:val="0"/>
        </w:rPr>
      </w:pPr>
    </w:p>
    <w:p w:rsidR="00353B09" w:rsidRPr="00353B09" w:rsidP="005413EE">
      <w:pPr>
        <w:numPr>
          <w:ilvl w:val="0"/>
          <w:numId w:val="32"/>
        </w:numPr>
        <w:jc w:val="both"/>
        <w:rPr>
          <w:b/>
          <w:bCs w:val="0"/>
        </w:rPr>
      </w:pPr>
      <w:r w:rsidRPr="00353B09">
        <w:rPr>
          <w:b/>
          <w:bCs w:val="0"/>
        </w:rPr>
        <w:t>Za doterajší čl. II, ktorý sa označuje ako čl. III sa vkladá nový článok, ktorý znie:</w:t>
      </w:r>
    </w:p>
    <w:p w:rsidR="00353B09" w:rsidRPr="00353B09" w:rsidP="005413EE">
      <w:pPr>
        <w:jc w:val="center"/>
        <w:rPr>
          <w:bCs w:val="0"/>
        </w:rPr>
      </w:pPr>
    </w:p>
    <w:p w:rsidR="00353B09" w:rsidRPr="00353B09" w:rsidP="005413EE">
      <w:pPr>
        <w:jc w:val="center"/>
        <w:rPr>
          <w:bCs w:val="0"/>
        </w:rPr>
      </w:pPr>
      <w:r w:rsidRPr="00353B09">
        <w:rPr>
          <w:bCs w:val="0"/>
        </w:rPr>
        <w:t>„Čl. IV</w:t>
      </w:r>
    </w:p>
    <w:p w:rsidR="00353B09" w:rsidRPr="00353B09" w:rsidP="005413EE">
      <w:pPr>
        <w:autoSpaceDE w:val="0"/>
        <w:autoSpaceDN w:val="0"/>
        <w:adjustRightInd w:val="0"/>
        <w:ind w:left="360"/>
        <w:contextualSpacing/>
        <w:rPr>
          <w:bCs w:val="0"/>
          <w:lang w:eastAsia="en-US"/>
        </w:rPr>
      </w:pPr>
    </w:p>
    <w:p w:rsidR="00353B09" w:rsidRPr="00353B09" w:rsidP="005413EE">
      <w:pPr>
        <w:autoSpaceDE w:val="0"/>
        <w:autoSpaceDN w:val="0"/>
        <w:adjustRightInd w:val="0"/>
        <w:contextualSpacing/>
        <w:jc w:val="both"/>
        <w:rPr>
          <w:bCs w:val="0"/>
          <w:lang w:eastAsia="en-US"/>
        </w:rPr>
      </w:pPr>
      <w:r w:rsidRPr="00353B09">
        <w:rPr>
          <w:bCs w:val="0"/>
          <w:lang w:eastAsia="en-US"/>
        </w:rPr>
        <w:t xml:space="preserve">Zákon č. 652/2004 Z. z. o orgánoch štátnej správy v colníctve a o zmene a doplnení niektorých zákonov v znení zákona č. 331/2005 Z. z., zákona č. 191/2007 Z. z., zákona č. 537/2007 Z. z., zákona č. 166/2008 Z. z., zákona č. 491/2008 Z. z., zákona č. 207/2009 Z. z., zákona č. 305/2009 Z. z., zákona č. 465/2009 Z. z., zákona č. 508/2010 Z. z., zákona č. 192/2011 Z. z.,  zákona č. 256/2011 Z. z. a zákona č. 331/2011 Z. z. sa mení takto: </w:t>
      </w:r>
    </w:p>
    <w:p w:rsidR="00353B09" w:rsidRPr="00353B09" w:rsidP="005413EE">
      <w:pPr>
        <w:autoSpaceDE w:val="0"/>
        <w:autoSpaceDN w:val="0"/>
        <w:adjustRightInd w:val="0"/>
        <w:rPr>
          <w:bCs w:val="0"/>
        </w:rPr>
      </w:pPr>
      <w:r w:rsidRPr="00353B09">
        <w:rPr>
          <w:bCs w:val="0"/>
        </w:rPr>
        <w:t>V § 52 ods. 9 sa slová „finančné riaditeľstvo“ nahrádzajú slovami „Kompetenčné centrum finančných operácií“.“.</w:t>
      </w:r>
    </w:p>
    <w:p w:rsidR="00353B09" w:rsidRPr="00353B09" w:rsidP="005413EE">
      <w:pPr>
        <w:tabs>
          <w:tab w:val="left" w:pos="2835"/>
        </w:tabs>
        <w:rPr>
          <w:b/>
          <w:bCs w:val="0"/>
        </w:rPr>
      </w:pPr>
      <w:r w:rsidRPr="00353B09">
        <w:rPr>
          <w:b/>
          <w:bCs w:val="0"/>
        </w:rPr>
        <w:tab/>
        <w:tab/>
      </w:r>
    </w:p>
    <w:p w:rsidR="00F62045" w:rsidRPr="00353B09" w:rsidP="00F62045">
      <w:pPr>
        <w:jc w:val="both"/>
        <w:rPr>
          <w:bCs w:val="0"/>
        </w:rPr>
      </w:pPr>
      <w:r w:rsidRPr="00353B09">
        <w:rPr>
          <w:bCs w:val="0"/>
        </w:rPr>
        <w:t>Doterajšie články sa primerane prečíslujú.</w:t>
      </w:r>
    </w:p>
    <w:p w:rsidR="00F62045" w:rsidP="005413EE">
      <w:pPr>
        <w:tabs>
          <w:tab w:val="left" w:pos="2835"/>
        </w:tabs>
        <w:ind w:left="2832"/>
        <w:jc w:val="both"/>
        <w:rPr>
          <w:b/>
          <w:bCs w:val="0"/>
        </w:rPr>
      </w:pPr>
    </w:p>
    <w:p w:rsidR="00353B09" w:rsidRPr="00353B09" w:rsidP="005413EE">
      <w:pPr>
        <w:tabs>
          <w:tab w:val="left" w:pos="2835"/>
        </w:tabs>
        <w:ind w:left="2832"/>
        <w:jc w:val="both"/>
        <w:rPr>
          <w:bCs w:val="0"/>
        </w:rPr>
      </w:pPr>
      <w:r w:rsidRPr="00353B09">
        <w:rPr>
          <w:bCs w:val="0"/>
        </w:rPr>
        <w:t>Navrhovaná úprava súvisí s presunom kompetencií týkajúcich sa informačných systémov finančnej správy z Finančného riaditeľstva SR na Kompetenčné centrum finančných operácií. Účinnosť predmetných ustanovení sa navrhuje k 2. januáru 201</w:t>
      </w:r>
      <w:r w:rsidR="00A641FA">
        <w:rPr>
          <w:bCs w:val="0"/>
        </w:rPr>
        <w:t>2</w:t>
      </w:r>
      <w:r w:rsidRPr="00353B09">
        <w:rPr>
          <w:bCs w:val="0"/>
        </w:rPr>
        <w:t xml:space="preserve">. </w:t>
      </w:r>
    </w:p>
    <w:p w:rsidR="00353B09" w:rsidRPr="00353B09" w:rsidP="005413EE">
      <w:pPr>
        <w:tabs>
          <w:tab w:val="left" w:pos="2835"/>
        </w:tabs>
        <w:ind w:left="2832"/>
        <w:jc w:val="both"/>
        <w:rPr>
          <w:b/>
          <w:bCs w:val="0"/>
        </w:rPr>
      </w:pPr>
    </w:p>
    <w:p w:rsidR="00353B09" w:rsidRPr="005413EE" w:rsidP="005413EE">
      <w:pPr>
        <w:ind w:left="1416" w:firstLine="708"/>
        <w:jc w:val="both"/>
      </w:pPr>
    </w:p>
    <w:p w:rsidR="00353B09" w:rsidRPr="005413EE" w:rsidP="005413EE">
      <w:pPr>
        <w:ind w:left="1416" w:firstLine="708"/>
        <w:jc w:val="both"/>
      </w:pPr>
    </w:p>
    <w:p w:rsidR="00F62045" w:rsidRPr="00F62045" w:rsidP="005413EE">
      <w:pPr>
        <w:pStyle w:val="ListParagraph"/>
        <w:numPr>
          <w:ilvl w:val="0"/>
          <w:numId w:val="32"/>
        </w:numPr>
        <w:spacing w:after="0" w:line="240" w:lineRule="auto"/>
        <w:jc w:val="both"/>
        <w:rPr>
          <w:rFonts w:ascii="Times New Roman" w:hAnsi="Times New Roman"/>
          <w:b/>
          <w:sz w:val="24"/>
          <w:szCs w:val="24"/>
        </w:rPr>
      </w:pPr>
      <w:r w:rsidRPr="00F62045">
        <w:rPr>
          <w:rFonts w:ascii="Times New Roman" w:hAnsi="Times New Roman"/>
          <w:b/>
          <w:sz w:val="24"/>
          <w:szCs w:val="24"/>
        </w:rPr>
        <w:t>K</w:t>
      </w:r>
      <w:r w:rsidRPr="00D040E1" w:rsidR="00D040E1">
        <w:rPr>
          <w:rFonts w:ascii="Times New Roman" w:hAnsi="Times New Roman"/>
          <w:b/>
          <w:sz w:val="24"/>
          <w:szCs w:val="24"/>
        </w:rPr>
        <w:t xml:space="preserve"> </w:t>
      </w:r>
      <w:r w:rsidR="00D040E1">
        <w:rPr>
          <w:rFonts w:ascii="Times New Roman" w:hAnsi="Times New Roman"/>
          <w:b/>
          <w:sz w:val="24"/>
          <w:szCs w:val="24"/>
        </w:rPr>
        <w:t>doterajšiemu</w:t>
      </w:r>
      <w:r w:rsidRPr="00F62045">
        <w:rPr>
          <w:rFonts w:ascii="Times New Roman" w:hAnsi="Times New Roman"/>
          <w:b/>
          <w:sz w:val="24"/>
          <w:szCs w:val="24"/>
        </w:rPr>
        <w:t> čl. III bod 5</w:t>
      </w:r>
    </w:p>
    <w:p w:rsidR="00353B09" w:rsidRPr="005413EE" w:rsidP="00F62045">
      <w:pPr>
        <w:pStyle w:val="ListParagraph"/>
        <w:spacing w:after="0" w:line="240" w:lineRule="auto"/>
        <w:ind w:left="644"/>
        <w:jc w:val="both"/>
        <w:rPr>
          <w:rFonts w:ascii="Times New Roman" w:hAnsi="Times New Roman"/>
          <w:sz w:val="24"/>
          <w:szCs w:val="24"/>
        </w:rPr>
      </w:pPr>
      <w:r w:rsidRPr="005413EE">
        <w:rPr>
          <w:rFonts w:ascii="Times New Roman" w:hAnsi="Times New Roman"/>
          <w:sz w:val="24"/>
          <w:szCs w:val="24"/>
        </w:rPr>
        <w:t>V čl. III v 5 . bode sa vkladané poznámky pod čiarou 11a a 11b označujú ako 10a a 10b.</w:t>
      </w:r>
    </w:p>
    <w:p w:rsidR="00F62045" w:rsidP="005413EE">
      <w:pPr>
        <w:ind w:left="2124"/>
        <w:jc w:val="both"/>
      </w:pPr>
    </w:p>
    <w:p w:rsidR="00353B09" w:rsidRPr="005413EE" w:rsidP="00F62045">
      <w:pPr>
        <w:ind w:left="2832"/>
        <w:jc w:val="both"/>
      </w:pPr>
      <w:r w:rsidRPr="005413EE">
        <w:t>Pri vkladaní nových poznámok pod čiarou do platného právneho predpisu je potrebné zohľadniť doterajšie poradie poznámok pod čiarou.</w:t>
      </w:r>
    </w:p>
    <w:p w:rsidR="00353B09" w:rsidP="005413EE">
      <w:pPr>
        <w:jc w:val="both"/>
      </w:pPr>
    </w:p>
    <w:p w:rsidR="00D040E1" w:rsidP="005413EE">
      <w:pPr>
        <w:jc w:val="both"/>
      </w:pPr>
    </w:p>
    <w:p w:rsidR="00D040E1" w:rsidP="005413EE">
      <w:pPr>
        <w:jc w:val="both"/>
      </w:pPr>
    </w:p>
    <w:p w:rsidR="00D040E1" w:rsidRPr="005413EE" w:rsidP="005413EE">
      <w:pPr>
        <w:jc w:val="both"/>
      </w:pPr>
    </w:p>
    <w:p w:rsidR="00F62045" w:rsidRPr="00F62045" w:rsidP="00F62045">
      <w:pPr>
        <w:pStyle w:val="ListParagraph"/>
        <w:numPr>
          <w:ilvl w:val="0"/>
          <w:numId w:val="32"/>
        </w:numPr>
        <w:spacing w:after="0" w:line="240" w:lineRule="auto"/>
        <w:jc w:val="both"/>
        <w:rPr>
          <w:rFonts w:ascii="Times New Roman" w:hAnsi="Times New Roman"/>
          <w:b/>
          <w:sz w:val="24"/>
          <w:szCs w:val="24"/>
        </w:rPr>
      </w:pPr>
      <w:r w:rsidRPr="00F62045">
        <w:rPr>
          <w:rFonts w:ascii="Times New Roman" w:hAnsi="Times New Roman"/>
          <w:b/>
          <w:sz w:val="24"/>
          <w:szCs w:val="24"/>
        </w:rPr>
        <w:t>K </w:t>
      </w:r>
      <w:r w:rsidR="00D040E1">
        <w:rPr>
          <w:rFonts w:ascii="Times New Roman" w:hAnsi="Times New Roman"/>
          <w:b/>
          <w:sz w:val="24"/>
          <w:szCs w:val="24"/>
        </w:rPr>
        <w:t>doterajšiemu</w:t>
      </w:r>
      <w:r w:rsidRPr="00F62045" w:rsidR="00D040E1">
        <w:rPr>
          <w:rFonts w:ascii="Times New Roman" w:hAnsi="Times New Roman"/>
          <w:b/>
          <w:sz w:val="24"/>
          <w:szCs w:val="24"/>
        </w:rPr>
        <w:t xml:space="preserve"> </w:t>
      </w:r>
      <w:r w:rsidRPr="00F62045">
        <w:rPr>
          <w:rFonts w:ascii="Times New Roman" w:hAnsi="Times New Roman"/>
          <w:b/>
          <w:sz w:val="24"/>
          <w:szCs w:val="24"/>
        </w:rPr>
        <w:t>čl. III bod 86</w:t>
      </w:r>
    </w:p>
    <w:p w:rsidR="00F62045" w:rsidRPr="005413EE" w:rsidP="00F62045">
      <w:pPr>
        <w:pStyle w:val="ListParagraph"/>
        <w:spacing w:after="0" w:line="240" w:lineRule="auto"/>
        <w:ind w:left="644"/>
        <w:jc w:val="both"/>
        <w:rPr>
          <w:rFonts w:ascii="Times New Roman" w:hAnsi="Times New Roman"/>
          <w:sz w:val="24"/>
          <w:szCs w:val="24"/>
        </w:rPr>
      </w:pPr>
      <w:r w:rsidRPr="005413EE">
        <w:rPr>
          <w:rFonts w:ascii="Times New Roman" w:hAnsi="Times New Roman"/>
          <w:sz w:val="24"/>
          <w:szCs w:val="24"/>
        </w:rPr>
        <w:t>V čl. III v 86. bode v § 48c ods. 3 v úvodnej vete sa za slová „zemného plynu“ vkladajú slová „podľa odsekov 1 a 2“.</w:t>
      </w:r>
    </w:p>
    <w:p w:rsidR="00F62045" w:rsidRPr="005413EE" w:rsidP="00F62045">
      <w:pPr>
        <w:ind w:left="2124"/>
        <w:jc w:val="both"/>
      </w:pPr>
    </w:p>
    <w:p w:rsidR="00F62045" w:rsidRPr="005413EE" w:rsidP="00F62045">
      <w:pPr>
        <w:ind w:left="2832"/>
        <w:jc w:val="both"/>
      </w:pPr>
      <w:r w:rsidRPr="005413EE">
        <w:t>Spresňuje sa znenie prechodného ustanovenia tak, aby bolo jednoznačne zrejmé,  že sa uvedené vzťahuje k obom odsekom prechodného ustanovenia a že sa toto ustanovenie týka o</w:t>
      </w:r>
      <w:r w:rsidRPr="005413EE">
        <w:rPr>
          <w:color w:val="000000"/>
        </w:rPr>
        <w:t>sôb, ktoré chcú byť platiteľom dane zo stlačeného zemného plynu od 1. apríla 2012</w:t>
      </w:r>
      <w:r w:rsidRPr="005413EE">
        <w:t xml:space="preserve">.  </w:t>
      </w:r>
    </w:p>
    <w:p w:rsidR="00F62045" w:rsidRPr="005413EE" w:rsidP="00F62045">
      <w:pPr>
        <w:jc w:val="both"/>
      </w:pPr>
    </w:p>
    <w:p w:rsidR="00353B09" w:rsidP="005413EE">
      <w:pPr>
        <w:jc w:val="both"/>
      </w:pPr>
    </w:p>
    <w:p w:rsidR="00D040E1" w:rsidP="005413EE">
      <w:pPr>
        <w:jc w:val="both"/>
      </w:pPr>
    </w:p>
    <w:p w:rsidR="00D040E1" w:rsidP="005413EE">
      <w:pPr>
        <w:jc w:val="both"/>
      </w:pPr>
    </w:p>
    <w:p w:rsidR="00D040E1" w:rsidP="005413EE">
      <w:pPr>
        <w:jc w:val="both"/>
      </w:pPr>
    </w:p>
    <w:p w:rsidR="00D040E1" w:rsidP="005413EE">
      <w:pPr>
        <w:jc w:val="both"/>
      </w:pPr>
    </w:p>
    <w:p w:rsidR="00D040E1" w:rsidP="005413EE">
      <w:pPr>
        <w:jc w:val="both"/>
      </w:pPr>
    </w:p>
    <w:p w:rsidR="00D040E1" w:rsidRPr="005413EE" w:rsidP="005413EE">
      <w:pPr>
        <w:jc w:val="both"/>
      </w:pPr>
    </w:p>
    <w:p w:rsidR="00353B09" w:rsidRPr="005413EE" w:rsidP="005413EE">
      <w:pPr>
        <w:jc w:val="both"/>
      </w:pPr>
    </w:p>
    <w:p w:rsidR="00353B09" w:rsidRPr="00353B09" w:rsidP="005413EE">
      <w:pPr>
        <w:numPr>
          <w:ilvl w:val="0"/>
          <w:numId w:val="32"/>
        </w:numPr>
        <w:contextualSpacing/>
        <w:jc w:val="both"/>
        <w:rPr>
          <w:b/>
          <w:lang w:eastAsia="en-US"/>
        </w:rPr>
      </w:pPr>
      <w:r w:rsidRPr="00353B09">
        <w:rPr>
          <w:b/>
          <w:lang w:eastAsia="en-US"/>
        </w:rPr>
        <w:t>Za doterajší čl. III, ktorý sa označuje ako čl. V, sa vkladajú nové články, ktoré znejú:  </w:t>
      </w:r>
    </w:p>
    <w:p w:rsidR="00353B09" w:rsidRPr="00353B09" w:rsidP="005413EE">
      <w:pPr>
        <w:ind w:left="709"/>
        <w:contextualSpacing/>
        <w:jc w:val="center"/>
        <w:rPr>
          <w:bCs w:val="0"/>
          <w:lang w:eastAsia="en-US"/>
        </w:rPr>
      </w:pPr>
      <w:r w:rsidRPr="00353B09">
        <w:rPr>
          <w:bCs w:val="0"/>
          <w:lang w:eastAsia="en-US"/>
        </w:rPr>
        <w:t>„Čl. VI</w:t>
      </w:r>
    </w:p>
    <w:p w:rsidR="00353B09" w:rsidRPr="00353B09" w:rsidP="005413EE">
      <w:pPr>
        <w:autoSpaceDE w:val="0"/>
        <w:autoSpaceDN w:val="0"/>
        <w:adjustRightInd w:val="0"/>
        <w:rPr>
          <w:bCs w:val="0"/>
          <w:lang w:eastAsia="en-US"/>
        </w:rPr>
      </w:pPr>
    </w:p>
    <w:p w:rsidR="00353B09" w:rsidRPr="00353B09" w:rsidP="005413EE">
      <w:pPr>
        <w:autoSpaceDE w:val="0"/>
        <w:autoSpaceDN w:val="0"/>
        <w:adjustRightInd w:val="0"/>
        <w:jc w:val="both"/>
        <w:rPr>
          <w:bCs w:val="0"/>
          <w:lang w:eastAsia="en-US"/>
        </w:rPr>
      </w:pPr>
      <w:r w:rsidRPr="00353B09">
        <w:rPr>
          <w:bCs w:val="0"/>
          <w:lang w:eastAsia="en-US"/>
        </w:rPr>
        <w:t xml:space="preserve">Zákon č. 563/2009 Z. z. o správe daní (daňový poriadok) a o zmene a doplnení niektorých zákonov v znení zákona č. 331/2011 Z. z., zákona č. 332/2011 Z. z. a zákona č. 384/2011 </w:t>
        <w:br/>
        <w:t>Z. z.  sa mení a</w:t>
      </w:r>
      <w:r w:rsidRPr="00353B09">
        <w:rPr>
          <w:b/>
          <w:bCs w:val="0"/>
          <w:lang w:eastAsia="en-US"/>
        </w:rPr>
        <w:t xml:space="preserve"> </w:t>
      </w:r>
      <w:r w:rsidRPr="00353B09">
        <w:rPr>
          <w:bCs w:val="0"/>
          <w:lang w:eastAsia="en-US"/>
        </w:rPr>
        <w:t>dopĺňa takto:</w:t>
      </w:r>
    </w:p>
    <w:p w:rsidR="00353B09" w:rsidRPr="00353B09" w:rsidP="005413EE">
      <w:pPr>
        <w:autoSpaceDE w:val="0"/>
        <w:autoSpaceDN w:val="0"/>
        <w:adjustRightInd w:val="0"/>
        <w:rPr>
          <w:bCs w:val="0"/>
          <w:lang w:eastAsia="en-US"/>
        </w:rPr>
      </w:pPr>
    </w:p>
    <w:p w:rsidR="00353B09" w:rsidRPr="00353B09" w:rsidP="005413EE">
      <w:pPr>
        <w:autoSpaceDE w:val="0"/>
        <w:autoSpaceDN w:val="0"/>
        <w:adjustRightInd w:val="0"/>
        <w:rPr>
          <w:bCs w:val="0"/>
          <w:lang w:eastAsia="en-US"/>
        </w:rPr>
      </w:pPr>
      <w:r w:rsidRPr="00353B09">
        <w:rPr>
          <w:bCs w:val="0"/>
          <w:lang w:eastAsia="en-US"/>
        </w:rPr>
        <w:t>1. V poznámke pod čiarou k odkazu 1 sa na začiatok vkladá citácia, ktorá znie:</w:t>
      </w:r>
    </w:p>
    <w:p w:rsidR="00353B09" w:rsidRPr="00353B09" w:rsidP="005413EE">
      <w:pPr>
        <w:autoSpaceDE w:val="0"/>
        <w:autoSpaceDN w:val="0"/>
        <w:adjustRightInd w:val="0"/>
        <w:rPr>
          <w:bCs w:val="0"/>
          <w:lang w:eastAsia="en-US"/>
        </w:rPr>
      </w:pPr>
      <w:r w:rsidRPr="00353B09">
        <w:rPr>
          <w:bCs w:val="0"/>
          <w:lang w:eastAsia="en-US"/>
        </w:rPr>
        <w:t>„Zákon č. 170/2001 Z. z. o núdzových zásobách ropy a ropných výrobkov a o riešení stavu ropnej núdze v znení neskorších predpisov.“.</w:t>
      </w:r>
    </w:p>
    <w:p w:rsidR="00353B09" w:rsidRPr="00353B09" w:rsidP="005413EE">
      <w:pPr>
        <w:autoSpaceDE w:val="0"/>
        <w:autoSpaceDN w:val="0"/>
        <w:adjustRightInd w:val="0"/>
        <w:rPr>
          <w:bCs w:val="0"/>
          <w:lang w:eastAsia="en-US"/>
        </w:rPr>
      </w:pPr>
      <w:r w:rsidRPr="00353B09">
        <w:rPr>
          <w:bCs w:val="0"/>
          <w:lang w:eastAsia="en-US"/>
        </w:rPr>
        <w:t xml:space="preserve">  </w:t>
      </w:r>
    </w:p>
    <w:p w:rsidR="00353B09" w:rsidRPr="00353B09" w:rsidP="005413EE">
      <w:pPr>
        <w:tabs>
          <w:tab w:val="left" w:pos="2835"/>
        </w:tabs>
        <w:autoSpaceDE w:val="0"/>
        <w:autoSpaceDN w:val="0"/>
        <w:adjustRightInd w:val="0"/>
        <w:ind w:left="2835"/>
        <w:jc w:val="both"/>
        <w:rPr>
          <w:bCs w:val="0"/>
        </w:rPr>
      </w:pPr>
      <w:r w:rsidRPr="00353B09">
        <w:rPr>
          <w:bCs w:val="0"/>
        </w:rPr>
        <w:t xml:space="preserve">Novelou zákona č. 170/2001 Z. z. o núdzových zásobách ropy a ropných výrobkov a o riešení stavu ropnej núdze v znení neskorších predpisov sa výber poplatkov z vybraných ropných výrobkov na tvorbu, obmenu, zámenu, pôžičku, skladovanie, ochraňovanie, udržiavanie a financovanie núdzových zásob naviazal na vznik daňovej povinnosti zo spotrebnej dane podľa zákona č. 98/2004 Z. z. o spotrebnej dani z minerálneho oleja v znení neskorších predpisov. Keďže pri vymáhaní neuhradeného poplatku alebo jeho časti postupuje colný úrad podľa zákona </w:t>
        <w:br/>
        <w:t>č. 511/1992Zb. o správe daní, ktorého platnosť končí 31. decembra 2011, je potrebné daňový poriadok upraviť tak, aby od 1. januára 2012 mohol colný úrad  pri vymáhaní neuhradeného poplatku alebo jeho časti postupovať podľa tohto daňového poriadku.</w:t>
      </w:r>
    </w:p>
    <w:p w:rsidR="00353B09" w:rsidRPr="00353B09" w:rsidP="005413EE">
      <w:pPr>
        <w:tabs>
          <w:tab w:val="left" w:pos="2835"/>
        </w:tabs>
        <w:autoSpaceDE w:val="0"/>
        <w:autoSpaceDN w:val="0"/>
        <w:adjustRightInd w:val="0"/>
        <w:rPr>
          <w:bCs w:val="0"/>
        </w:rPr>
      </w:pPr>
      <w:r w:rsidRPr="00353B09">
        <w:rPr>
          <w:bCs w:val="0"/>
        </w:rPr>
        <w:tab/>
      </w:r>
    </w:p>
    <w:p w:rsidR="00353B09" w:rsidRPr="00353B09" w:rsidP="005413EE">
      <w:pPr>
        <w:autoSpaceDE w:val="0"/>
        <w:autoSpaceDN w:val="0"/>
        <w:adjustRightInd w:val="0"/>
        <w:rPr>
          <w:bCs w:val="0"/>
          <w:lang w:eastAsia="en-US"/>
        </w:rPr>
      </w:pPr>
    </w:p>
    <w:p w:rsidR="00353B09" w:rsidRPr="00353B09" w:rsidP="005413EE">
      <w:pPr>
        <w:autoSpaceDE w:val="0"/>
        <w:autoSpaceDN w:val="0"/>
        <w:adjustRightInd w:val="0"/>
        <w:rPr>
          <w:bCs w:val="0"/>
          <w:lang w:eastAsia="en-US"/>
        </w:rPr>
      </w:pPr>
      <w:r w:rsidRPr="00353B09">
        <w:rPr>
          <w:bCs w:val="0"/>
          <w:lang w:eastAsia="en-US"/>
        </w:rPr>
        <w:t xml:space="preserve">2. V § 11 ods. 6 písmeno b) znie: </w:t>
      </w:r>
    </w:p>
    <w:p w:rsidR="00353B09" w:rsidRPr="00353B09" w:rsidP="005413EE">
      <w:pPr>
        <w:autoSpaceDE w:val="0"/>
        <w:autoSpaceDN w:val="0"/>
        <w:adjustRightInd w:val="0"/>
        <w:rPr>
          <w:bCs w:val="0"/>
          <w:lang w:eastAsia="en-US"/>
        </w:rPr>
      </w:pPr>
      <w:r w:rsidRPr="00353B09">
        <w:rPr>
          <w:bCs w:val="0"/>
          <w:lang w:eastAsia="en-US"/>
        </w:rPr>
        <w:t>„b) finančnému riaditeľstvu alebo Kompetenčnému centru finančných operácií na účely plnenia úloh podľa tohto zákona alebo osobitných predpisov,</w:t>
      </w:r>
      <w:r w:rsidRPr="00353B09">
        <w:rPr>
          <w:bCs w:val="0"/>
          <w:vertAlign w:val="superscript"/>
          <w:lang w:eastAsia="en-US"/>
        </w:rPr>
        <w:t>8</w:t>
      </w:r>
      <w:r w:rsidRPr="00353B09">
        <w:rPr>
          <w:bCs w:val="0"/>
          <w:lang w:eastAsia="en-US"/>
        </w:rPr>
        <w:t>)“.</w:t>
      </w:r>
    </w:p>
    <w:p w:rsidR="00353B09" w:rsidRPr="00353B09" w:rsidP="005413EE">
      <w:pPr>
        <w:autoSpaceDE w:val="0"/>
        <w:autoSpaceDN w:val="0"/>
        <w:adjustRightInd w:val="0"/>
        <w:rPr>
          <w:bCs w:val="0"/>
          <w:lang w:eastAsia="en-US"/>
        </w:rPr>
      </w:pPr>
    </w:p>
    <w:p w:rsidR="00353B09" w:rsidRPr="00353B09" w:rsidP="005413EE">
      <w:pPr>
        <w:autoSpaceDE w:val="0"/>
        <w:autoSpaceDN w:val="0"/>
        <w:adjustRightInd w:val="0"/>
        <w:rPr>
          <w:bCs w:val="0"/>
          <w:lang w:eastAsia="en-US"/>
        </w:rPr>
      </w:pPr>
      <w:r w:rsidRPr="00353B09">
        <w:rPr>
          <w:bCs w:val="0"/>
          <w:lang w:eastAsia="en-US"/>
        </w:rPr>
        <w:t>Poznámka pod čiarou k odkazu 8 znie:</w:t>
      </w:r>
    </w:p>
    <w:p w:rsidR="00353B09" w:rsidRPr="00353B09" w:rsidP="005413EE">
      <w:pPr>
        <w:widowControl w:val="0"/>
        <w:autoSpaceDE w:val="0"/>
        <w:autoSpaceDN w:val="0"/>
        <w:adjustRightInd w:val="0"/>
        <w:ind w:left="426" w:hanging="426"/>
        <w:jc w:val="both"/>
        <w:rPr>
          <w:bCs w:val="0"/>
        </w:rPr>
      </w:pPr>
      <w:r w:rsidRPr="00353B09">
        <w:rPr>
          <w:bCs w:val="0"/>
          <w:lang w:eastAsia="en-US"/>
        </w:rPr>
        <w:t>„</w:t>
      </w:r>
      <w:r w:rsidRPr="00353B09">
        <w:rPr>
          <w:bCs w:val="0"/>
          <w:vertAlign w:val="superscript"/>
          <w:lang w:eastAsia="en-US"/>
        </w:rPr>
        <w:t>8</w:t>
      </w:r>
      <w:r w:rsidRPr="00353B09">
        <w:rPr>
          <w:bCs w:val="0"/>
          <w:lang w:eastAsia="en-US"/>
        </w:rPr>
        <w:t>)</w:t>
      </w:r>
      <w:r w:rsidRPr="00353B09">
        <w:rPr>
          <w:bCs w:val="0"/>
        </w:rPr>
        <w:t xml:space="preserve"> Napríklad zákon č. 479/2009 Z. z. o orgánoch štátnej správy v oblasti daní a poplatkov a o zmene a doplnení niektorých zákonov, zákon č. 9/2010 Z. z.</w:t>
      </w:r>
      <w:r w:rsidRPr="00353B09">
        <w:rPr>
          <w:b/>
          <w:bCs w:val="0"/>
        </w:rPr>
        <w:t xml:space="preserve"> </w:t>
      </w:r>
      <w:r w:rsidRPr="00353B09">
        <w:rPr>
          <w:bCs w:val="0"/>
        </w:rPr>
        <w:t xml:space="preserve">o sťažnostiach, zákon </w:t>
        <w:br/>
        <w:t>č. 333/2011 Z. z. o orgánoch štátnej správy v oblasti daní, poplatkov a colníctva.“</w:t>
      </w:r>
    </w:p>
    <w:p w:rsidR="00353B09" w:rsidRPr="00353B09" w:rsidP="005413EE">
      <w:pPr>
        <w:widowControl w:val="0"/>
        <w:autoSpaceDE w:val="0"/>
        <w:autoSpaceDN w:val="0"/>
        <w:adjustRightInd w:val="0"/>
        <w:jc w:val="both"/>
        <w:rPr>
          <w:bCs w:val="0"/>
        </w:rPr>
      </w:pPr>
    </w:p>
    <w:p w:rsidR="00353B09" w:rsidRPr="00353B09" w:rsidP="005413EE">
      <w:pPr>
        <w:tabs>
          <w:tab w:val="left" w:pos="2835"/>
        </w:tabs>
        <w:rPr>
          <w:b/>
          <w:bCs w:val="0"/>
        </w:rPr>
      </w:pPr>
      <w:r w:rsidRPr="00353B09">
        <w:rPr>
          <w:bCs w:val="0"/>
        </w:rPr>
        <w:tab/>
      </w:r>
    </w:p>
    <w:p w:rsidR="00353B09" w:rsidRPr="00353B09" w:rsidP="005413EE">
      <w:pPr>
        <w:widowControl w:val="0"/>
        <w:autoSpaceDE w:val="0"/>
        <w:autoSpaceDN w:val="0"/>
        <w:adjustRightInd w:val="0"/>
        <w:ind w:left="2835"/>
        <w:jc w:val="both"/>
        <w:rPr>
          <w:bCs w:val="0"/>
        </w:rPr>
      </w:pPr>
      <w:r w:rsidRPr="00353B09">
        <w:rPr>
          <w:bCs w:val="0"/>
        </w:rPr>
        <w:t xml:space="preserve">Navrhovaná úprava rozširuje okruh orgánov oprávnených oboznamovať sa s informáciami, ktoré sú predmetom daňového tajomstva o Kompetenčné centrum </w:t>
      </w:r>
      <w:r w:rsidRPr="00353B09">
        <w:rPr>
          <w:bCs w:val="0"/>
          <w:lang w:eastAsia="en-US"/>
        </w:rPr>
        <w:t xml:space="preserve">finančných operácií, ktoré sa od 1. januára 2012 konštituuje na základe </w:t>
      </w:r>
      <w:r w:rsidRPr="00353B09">
        <w:rPr>
          <w:bCs w:val="0"/>
        </w:rPr>
        <w:t xml:space="preserve">zákona č. 333/2011 </w:t>
        <w:br/>
        <w:t xml:space="preserve">Z. z. o orgánoch štátnej správy v oblasti daní, poplatkov a colníctva a spolu s Finančným riaditeľstvom SR, daňovými úradmi, colnými úradmi a Kriminálnym úradom finančnej správy tvorí finančnú správu. </w:t>
      </w:r>
    </w:p>
    <w:p w:rsidR="00353B09" w:rsidRPr="00353B09" w:rsidP="005413EE">
      <w:pPr>
        <w:widowControl w:val="0"/>
        <w:autoSpaceDE w:val="0"/>
        <w:autoSpaceDN w:val="0"/>
        <w:adjustRightInd w:val="0"/>
        <w:jc w:val="both"/>
        <w:rPr>
          <w:bCs w:val="0"/>
        </w:rPr>
      </w:pPr>
    </w:p>
    <w:p w:rsidR="00353B09" w:rsidRPr="00353B09" w:rsidP="005413EE">
      <w:pPr>
        <w:widowControl w:val="0"/>
        <w:autoSpaceDE w:val="0"/>
        <w:autoSpaceDN w:val="0"/>
        <w:adjustRightInd w:val="0"/>
        <w:jc w:val="both"/>
        <w:rPr>
          <w:bCs w:val="0"/>
        </w:rPr>
      </w:pPr>
      <w:r w:rsidRPr="00353B09">
        <w:rPr>
          <w:bCs w:val="0"/>
        </w:rPr>
        <w:t>3. V § 14 sa odsek 1 dopĺňa písmenom d), ktoré znie:</w:t>
      </w:r>
    </w:p>
    <w:p w:rsidR="00353B09" w:rsidRPr="00353B09" w:rsidP="005413EE">
      <w:pPr>
        <w:widowControl w:val="0"/>
        <w:autoSpaceDE w:val="0"/>
        <w:autoSpaceDN w:val="0"/>
        <w:adjustRightInd w:val="0"/>
        <w:ind w:left="360"/>
        <w:contextualSpacing/>
        <w:jc w:val="both"/>
        <w:rPr>
          <w:bCs w:val="0"/>
          <w:lang w:eastAsia="en-US"/>
        </w:rPr>
      </w:pPr>
      <w:r w:rsidRPr="00353B09">
        <w:rPr>
          <w:bCs w:val="0"/>
          <w:lang w:eastAsia="en-US"/>
        </w:rPr>
        <w:t>„d) zástupca neuvedený v písmenách b) a c) za daňový subjekt, ktorý je platiteľom dane z pridanej hodnoty, ktorého zastupuje pri správe daní.“.</w:t>
      </w:r>
    </w:p>
    <w:p w:rsidR="00F62045" w:rsidP="005413EE">
      <w:pPr>
        <w:widowControl w:val="0"/>
        <w:autoSpaceDE w:val="0"/>
        <w:autoSpaceDN w:val="0"/>
        <w:adjustRightInd w:val="0"/>
        <w:ind w:left="2835"/>
        <w:jc w:val="both"/>
        <w:rPr>
          <w:bCs w:val="0"/>
        </w:rPr>
      </w:pPr>
    </w:p>
    <w:p w:rsidR="00353B09" w:rsidRPr="00353B09" w:rsidP="005413EE">
      <w:pPr>
        <w:widowControl w:val="0"/>
        <w:autoSpaceDE w:val="0"/>
        <w:autoSpaceDN w:val="0"/>
        <w:adjustRightInd w:val="0"/>
        <w:ind w:left="2835"/>
        <w:jc w:val="both"/>
        <w:rPr>
          <w:bCs w:val="0"/>
        </w:rPr>
      </w:pPr>
      <w:r w:rsidRPr="00353B09">
        <w:rPr>
          <w:bCs w:val="0"/>
        </w:rPr>
        <w:t xml:space="preserve">Vzhľadom na to, že platiteľ dane z pridanej hodnoty je povinný doručovať správcovi dane podania elektronickými prostriedkami, rovnaká povinnosť sa navrhuje aj inému zástupcovi ako je daňový poradca alebo advokát, ak ho zastupuje pri správe daní. </w:t>
      </w:r>
    </w:p>
    <w:p w:rsidR="00353B09" w:rsidRPr="00353B09" w:rsidP="005413EE">
      <w:pPr>
        <w:widowControl w:val="0"/>
        <w:autoSpaceDE w:val="0"/>
        <w:autoSpaceDN w:val="0"/>
        <w:adjustRightInd w:val="0"/>
        <w:jc w:val="both"/>
        <w:rPr>
          <w:bCs w:val="0"/>
        </w:rPr>
      </w:pPr>
    </w:p>
    <w:p w:rsidR="00353B09" w:rsidRPr="00353B09" w:rsidP="005413EE">
      <w:pPr>
        <w:widowControl w:val="0"/>
        <w:autoSpaceDE w:val="0"/>
        <w:autoSpaceDN w:val="0"/>
        <w:adjustRightInd w:val="0"/>
        <w:jc w:val="both"/>
        <w:rPr>
          <w:bCs w:val="0"/>
        </w:rPr>
      </w:pPr>
    </w:p>
    <w:p w:rsidR="00353B09" w:rsidRPr="00353B09" w:rsidP="005413EE">
      <w:pPr>
        <w:widowControl w:val="0"/>
        <w:autoSpaceDE w:val="0"/>
        <w:autoSpaceDN w:val="0"/>
        <w:adjustRightInd w:val="0"/>
        <w:jc w:val="both"/>
        <w:rPr>
          <w:bCs w:val="0"/>
        </w:rPr>
      </w:pPr>
      <w:r w:rsidRPr="00353B09">
        <w:rPr>
          <w:bCs w:val="0"/>
        </w:rPr>
        <w:t>4. V § 156 ods. 9 sa vypúšťa slovo „úplnej“ dvakrát.</w:t>
      </w:r>
    </w:p>
    <w:p w:rsidR="00353B09" w:rsidRPr="00353B09" w:rsidP="005413EE">
      <w:pPr>
        <w:widowControl w:val="0"/>
        <w:autoSpaceDE w:val="0"/>
        <w:autoSpaceDN w:val="0"/>
        <w:adjustRightInd w:val="0"/>
        <w:jc w:val="both"/>
        <w:rPr>
          <w:bCs w:val="0"/>
        </w:rPr>
      </w:pPr>
    </w:p>
    <w:p w:rsidR="00353B09" w:rsidRPr="00353B09" w:rsidP="005413EE">
      <w:pPr>
        <w:widowControl w:val="0"/>
        <w:autoSpaceDE w:val="0"/>
        <w:autoSpaceDN w:val="0"/>
        <w:adjustRightInd w:val="0"/>
        <w:jc w:val="both"/>
        <w:rPr>
          <w:b/>
          <w:bCs w:val="0"/>
        </w:rPr>
      </w:pPr>
      <w:r w:rsidRPr="00353B09">
        <w:rPr>
          <w:bCs w:val="0"/>
        </w:rPr>
        <w:tab/>
        <w:tab/>
        <w:tab/>
        <w:tab/>
      </w:r>
      <w:r w:rsidRPr="00353B09">
        <w:rPr>
          <w:b/>
          <w:bCs w:val="0"/>
        </w:rPr>
        <w:t xml:space="preserve"> </w:t>
      </w:r>
    </w:p>
    <w:p w:rsidR="00353B09" w:rsidRPr="00353B09" w:rsidP="005413EE">
      <w:pPr>
        <w:widowControl w:val="0"/>
        <w:autoSpaceDE w:val="0"/>
        <w:autoSpaceDN w:val="0"/>
        <w:adjustRightInd w:val="0"/>
        <w:ind w:left="2835"/>
        <w:jc w:val="both"/>
        <w:rPr>
          <w:bCs w:val="0"/>
        </w:rPr>
      </w:pPr>
      <w:r w:rsidRPr="00353B09">
        <w:rPr>
          <w:bCs w:val="0"/>
        </w:rPr>
        <w:t>Navrhovaná úprava reflektuje na úpravu výpočtu úroku z omeškania pri poskytovaní medzinárodnej pomoci pri vymáhaní pohľadávok v zmysle Smernice Rady 2010/24/EÚ zo 16. marca 2010 o vzájomnej pomoci pri vymáhaní pohľadávok vyplývajúcich z daní, poplatkov a ďalších opatrení.  Úrok z omeškania správca dane vyrubí odo dňa doručenia žiadosti o vymáhanie pohľadávky bez ohľadu na jej neskoršie doplnenie. Táto úprava zabezpečí kontinuitu výpočtu úroku z omeškania dožiadaným členským štátom nadväzne na jeho výpočet žiadajúcim členským štátom.</w:t>
      </w:r>
    </w:p>
    <w:p w:rsidR="00353B09" w:rsidRPr="00353B09" w:rsidP="005413EE">
      <w:pPr>
        <w:autoSpaceDE w:val="0"/>
        <w:autoSpaceDN w:val="0"/>
        <w:adjustRightInd w:val="0"/>
        <w:rPr>
          <w:bCs w:val="0"/>
        </w:rPr>
      </w:pPr>
      <w:r w:rsidRPr="00353B09">
        <w:rPr>
          <w:bCs w:val="0"/>
          <w:lang w:eastAsia="en-US"/>
        </w:rPr>
        <w:t xml:space="preserve"> </w:t>
      </w:r>
    </w:p>
    <w:p w:rsidR="00353B09" w:rsidRPr="00353B09" w:rsidP="005413EE">
      <w:pPr>
        <w:tabs>
          <w:tab w:val="left" w:pos="2977"/>
        </w:tabs>
        <w:rPr>
          <w:b/>
          <w:bCs w:val="0"/>
        </w:rPr>
      </w:pPr>
    </w:p>
    <w:p w:rsidR="00353B09" w:rsidRPr="00353B09" w:rsidP="005413EE">
      <w:pPr>
        <w:widowControl w:val="0"/>
        <w:autoSpaceDE w:val="0"/>
        <w:autoSpaceDN w:val="0"/>
        <w:adjustRightInd w:val="0"/>
        <w:jc w:val="both"/>
        <w:rPr>
          <w:bCs w:val="0"/>
        </w:rPr>
      </w:pPr>
      <w:r w:rsidRPr="00353B09">
        <w:rPr>
          <w:bCs w:val="0"/>
        </w:rPr>
        <w:t>5. V § 165a sa za slovo „Podľa“ vkladajú slová „ § 13 ods. 5 druhej a tretej vety  postupuje správca dane, ktorým je colný úrad pri správe daní podľa osobitného predpisu</w:t>
      </w:r>
      <w:r w:rsidRPr="00353B09">
        <w:rPr>
          <w:bCs w:val="0"/>
          <w:vertAlign w:val="superscript"/>
        </w:rPr>
        <w:t>33</w:t>
      </w:r>
      <w:r w:rsidRPr="00353B09">
        <w:rPr>
          <w:bCs w:val="0"/>
        </w:rPr>
        <w:t xml:space="preserve">) od 1. apríla 2012, podľa § 14 sa postupuje od 1. apríla 2012 a podľa“. </w:t>
      </w:r>
    </w:p>
    <w:p w:rsidR="00353B09" w:rsidRPr="00353B09" w:rsidP="005413EE">
      <w:pPr>
        <w:widowControl w:val="0"/>
        <w:autoSpaceDE w:val="0"/>
        <w:autoSpaceDN w:val="0"/>
        <w:adjustRightInd w:val="0"/>
        <w:jc w:val="both"/>
        <w:rPr>
          <w:bCs w:val="0"/>
        </w:rPr>
      </w:pPr>
    </w:p>
    <w:p w:rsidR="00353B09" w:rsidRPr="00353B09" w:rsidP="005413EE">
      <w:pPr>
        <w:widowControl w:val="0"/>
        <w:autoSpaceDE w:val="0"/>
        <w:autoSpaceDN w:val="0"/>
        <w:adjustRightInd w:val="0"/>
        <w:jc w:val="both"/>
        <w:rPr>
          <w:b/>
          <w:bCs w:val="0"/>
        </w:rPr>
      </w:pPr>
      <w:r w:rsidRPr="00353B09">
        <w:rPr>
          <w:bCs w:val="0"/>
        </w:rPr>
        <w:tab/>
        <w:tab/>
        <w:tab/>
        <w:tab/>
      </w:r>
      <w:r w:rsidRPr="00353B09">
        <w:rPr>
          <w:b/>
          <w:bCs w:val="0"/>
        </w:rPr>
        <w:t xml:space="preserve"> </w:t>
      </w:r>
    </w:p>
    <w:p w:rsidR="00353B09" w:rsidRPr="00353B09" w:rsidP="005413EE">
      <w:pPr>
        <w:widowControl w:val="0"/>
        <w:autoSpaceDE w:val="0"/>
        <w:autoSpaceDN w:val="0"/>
        <w:adjustRightInd w:val="0"/>
        <w:ind w:left="2835"/>
        <w:jc w:val="both"/>
        <w:rPr>
          <w:bCs w:val="0"/>
        </w:rPr>
      </w:pPr>
      <w:r w:rsidRPr="00353B09">
        <w:rPr>
          <w:bCs w:val="0"/>
        </w:rPr>
        <w:t>Navrhovanou úpravou sa posunie termín účinnosti ustanovenia o povinnom doručovaní písomností, čím sa zabezpečí dostatočný časový priestor na prípravu elektronickej komunikácie daňového subjektu so správcom dane. Navrhovaná úprava precizuje oprávnenie daňového subjektu doručovať písomnosti elektronicky bez zaručeného elektronického podpisu za podmienky uzatvorenia písomnej dohody so správcom dane, ktorým je colný úrad od 1. apríla 2012.</w:t>
      </w:r>
    </w:p>
    <w:p w:rsidR="00353B09" w:rsidRPr="00353B09" w:rsidP="005413EE">
      <w:pPr>
        <w:widowControl w:val="0"/>
        <w:autoSpaceDE w:val="0"/>
        <w:autoSpaceDN w:val="0"/>
        <w:adjustRightInd w:val="0"/>
        <w:ind w:left="2835"/>
        <w:jc w:val="both"/>
        <w:rPr>
          <w:bCs w:val="0"/>
        </w:rPr>
      </w:pPr>
    </w:p>
    <w:p w:rsidR="00353B09" w:rsidRPr="00353B09" w:rsidP="005413EE">
      <w:pPr>
        <w:widowControl w:val="0"/>
        <w:autoSpaceDE w:val="0"/>
        <w:autoSpaceDN w:val="0"/>
        <w:adjustRightInd w:val="0"/>
        <w:ind w:left="2835"/>
        <w:jc w:val="both"/>
        <w:rPr>
          <w:bCs w:val="0"/>
        </w:rPr>
      </w:pPr>
    </w:p>
    <w:p w:rsidR="00353B09" w:rsidRPr="00353B09" w:rsidP="005413EE">
      <w:pPr>
        <w:autoSpaceDE w:val="0"/>
        <w:autoSpaceDN w:val="0"/>
        <w:adjustRightInd w:val="0"/>
        <w:contextualSpacing/>
        <w:jc w:val="center"/>
        <w:rPr>
          <w:bCs w:val="0"/>
          <w:lang w:eastAsia="en-US"/>
        </w:rPr>
      </w:pPr>
      <w:r w:rsidRPr="00353B09">
        <w:rPr>
          <w:bCs w:val="0"/>
          <w:lang w:eastAsia="en-US"/>
        </w:rPr>
        <w:t>Čl. VII</w:t>
      </w:r>
    </w:p>
    <w:p w:rsidR="00353B09" w:rsidRPr="00353B09" w:rsidP="005413EE">
      <w:pPr>
        <w:autoSpaceDE w:val="0"/>
        <w:autoSpaceDN w:val="0"/>
        <w:adjustRightInd w:val="0"/>
        <w:contextualSpacing/>
        <w:jc w:val="center"/>
        <w:rPr>
          <w:bCs w:val="0"/>
          <w:lang w:eastAsia="en-US"/>
        </w:rPr>
      </w:pPr>
    </w:p>
    <w:p w:rsidR="00353B09" w:rsidRPr="00353B09" w:rsidP="005413EE">
      <w:pPr>
        <w:autoSpaceDE w:val="0"/>
        <w:autoSpaceDN w:val="0"/>
        <w:adjustRightInd w:val="0"/>
        <w:contextualSpacing/>
        <w:jc w:val="both"/>
        <w:rPr>
          <w:bCs w:val="0"/>
          <w:lang w:eastAsia="en-US"/>
        </w:rPr>
      </w:pPr>
      <w:r w:rsidRPr="00353B09">
        <w:rPr>
          <w:bCs w:val="0"/>
          <w:lang w:eastAsia="en-US"/>
        </w:rPr>
        <w:t>Zákon č. 333/2011 Z. z. o orgánoch štátnej správy v oblasti daní, poplatkov a colníctva sa mení a dopĺňa takto:</w:t>
      </w:r>
    </w:p>
    <w:p w:rsidR="00353B09" w:rsidRPr="00353B09" w:rsidP="005413EE">
      <w:pPr>
        <w:autoSpaceDE w:val="0"/>
        <w:autoSpaceDN w:val="0"/>
        <w:adjustRightInd w:val="0"/>
        <w:contextualSpacing/>
        <w:jc w:val="both"/>
        <w:rPr>
          <w:bCs w:val="0"/>
          <w:lang w:eastAsia="en-US"/>
        </w:rPr>
      </w:pPr>
    </w:p>
    <w:p w:rsidR="00353B09" w:rsidRPr="00353B09" w:rsidP="005413EE">
      <w:pPr>
        <w:numPr>
          <w:ilvl w:val="0"/>
          <w:numId w:val="38"/>
        </w:numPr>
        <w:autoSpaceDE w:val="0"/>
        <w:autoSpaceDN w:val="0"/>
        <w:adjustRightInd w:val="0"/>
        <w:contextualSpacing/>
        <w:jc w:val="both"/>
        <w:rPr>
          <w:bCs w:val="0"/>
          <w:lang w:eastAsia="en-US"/>
        </w:rPr>
      </w:pPr>
      <w:r w:rsidRPr="00353B09">
        <w:rPr>
          <w:bCs w:val="0"/>
          <w:lang w:eastAsia="en-US"/>
        </w:rPr>
        <w:t xml:space="preserve">V § 4 ods. 3 písm. d) sa slová „spravuje, rozvíja a prevádzkuje“ nahrádzajú slovami „spravuje a rozvíja“. </w:t>
      </w:r>
    </w:p>
    <w:p w:rsidR="00353B09" w:rsidRPr="00353B09" w:rsidP="005413EE">
      <w:pPr>
        <w:widowControl w:val="0"/>
        <w:tabs>
          <w:tab w:val="left" w:pos="2835"/>
        </w:tabs>
        <w:autoSpaceDE w:val="0"/>
        <w:autoSpaceDN w:val="0"/>
        <w:adjustRightInd w:val="0"/>
        <w:ind w:left="360"/>
        <w:contextualSpacing/>
        <w:jc w:val="both"/>
        <w:rPr>
          <w:b/>
          <w:bCs w:val="0"/>
          <w:lang w:eastAsia="en-US"/>
        </w:rPr>
      </w:pPr>
      <w:r w:rsidRPr="00353B09">
        <w:rPr>
          <w:b/>
          <w:bCs w:val="0"/>
          <w:lang w:eastAsia="en-US"/>
        </w:rPr>
        <w:tab/>
      </w:r>
    </w:p>
    <w:p w:rsidR="00353B09" w:rsidRPr="00353B09" w:rsidP="005413EE">
      <w:pPr>
        <w:widowControl w:val="0"/>
        <w:numPr>
          <w:ilvl w:val="0"/>
          <w:numId w:val="38"/>
        </w:numPr>
        <w:tabs>
          <w:tab w:val="left" w:pos="2835"/>
        </w:tabs>
        <w:autoSpaceDE w:val="0"/>
        <w:autoSpaceDN w:val="0"/>
        <w:adjustRightInd w:val="0"/>
        <w:contextualSpacing/>
        <w:jc w:val="both"/>
        <w:rPr>
          <w:bCs w:val="0"/>
          <w:lang w:eastAsia="en-US"/>
        </w:rPr>
      </w:pPr>
      <w:r w:rsidRPr="00353B09">
        <w:rPr>
          <w:bCs w:val="0"/>
          <w:lang w:eastAsia="en-US"/>
        </w:rPr>
        <w:t>V § 6 ods. 3 sa za písmeno j) vkladá nové písmeno k), ktoré znie:</w:t>
      </w:r>
    </w:p>
    <w:p w:rsidR="00353B09" w:rsidRPr="00353B09" w:rsidP="005413EE">
      <w:pPr>
        <w:ind w:left="360"/>
        <w:contextualSpacing/>
        <w:rPr>
          <w:bCs w:val="0"/>
          <w:lang w:eastAsia="en-US"/>
        </w:rPr>
      </w:pPr>
      <w:r w:rsidRPr="00353B09">
        <w:rPr>
          <w:bCs w:val="0"/>
          <w:lang w:eastAsia="en-US"/>
        </w:rPr>
        <w:t>„k) prevádzkuje informačné systémy finančnej správy,</w:t>
      </w:r>
      <w:r w:rsidRPr="00353B09">
        <w:rPr>
          <w:bCs w:val="0"/>
          <w:vertAlign w:val="superscript"/>
          <w:lang w:eastAsia="en-US"/>
        </w:rPr>
        <w:t>11</w:t>
      </w:r>
      <w:r w:rsidRPr="00353B09">
        <w:rPr>
          <w:bCs w:val="0"/>
          <w:lang w:eastAsia="en-US"/>
        </w:rPr>
        <w:t>)“.</w:t>
      </w:r>
    </w:p>
    <w:p w:rsidR="00353B09" w:rsidRPr="00353B09" w:rsidP="005413EE">
      <w:pPr>
        <w:ind w:left="360"/>
        <w:contextualSpacing/>
        <w:rPr>
          <w:b/>
          <w:bCs w:val="0"/>
          <w:lang w:eastAsia="en-US"/>
        </w:rPr>
      </w:pPr>
      <w:r w:rsidRPr="00353B09">
        <w:rPr>
          <w:bCs w:val="0"/>
          <w:lang w:eastAsia="en-US"/>
        </w:rPr>
        <w:t>Doterajšie písmeno k) sa označuje ako písmeno l).“.</w:t>
      </w:r>
    </w:p>
    <w:p w:rsidR="00F62045" w:rsidP="005413EE">
      <w:pPr>
        <w:widowControl w:val="0"/>
        <w:tabs>
          <w:tab w:val="left" w:pos="2835"/>
        </w:tabs>
        <w:autoSpaceDE w:val="0"/>
        <w:autoSpaceDN w:val="0"/>
        <w:adjustRightInd w:val="0"/>
        <w:jc w:val="both"/>
        <w:rPr>
          <w:b/>
          <w:bCs w:val="0"/>
        </w:rPr>
      </w:pPr>
      <w:r w:rsidRPr="00353B09" w:rsidR="00353B09">
        <w:rPr>
          <w:b/>
          <w:bCs w:val="0"/>
        </w:rPr>
        <w:tab/>
      </w:r>
    </w:p>
    <w:p w:rsidR="00F62045" w:rsidRPr="005413EE" w:rsidP="00F62045">
      <w:pPr>
        <w:tabs>
          <w:tab w:val="left" w:pos="2977"/>
        </w:tabs>
        <w:jc w:val="both"/>
        <w:rPr>
          <w:bCs w:val="0"/>
        </w:rPr>
      </w:pPr>
      <w:r w:rsidRPr="00353B09">
        <w:rPr>
          <w:bCs w:val="0"/>
        </w:rPr>
        <w:t xml:space="preserve">    Doterajšie články sa primerane prečíslujú.</w:t>
      </w:r>
    </w:p>
    <w:p w:rsidR="00353B09" w:rsidRPr="00353B09" w:rsidP="005413EE">
      <w:pPr>
        <w:widowControl w:val="0"/>
        <w:tabs>
          <w:tab w:val="left" w:pos="2835"/>
        </w:tabs>
        <w:autoSpaceDE w:val="0"/>
        <w:autoSpaceDN w:val="0"/>
        <w:adjustRightInd w:val="0"/>
        <w:jc w:val="both"/>
        <w:rPr>
          <w:b/>
          <w:bCs w:val="0"/>
        </w:rPr>
      </w:pPr>
    </w:p>
    <w:p w:rsidR="00353B09" w:rsidRPr="00353B09" w:rsidP="005413EE">
      <w:pPr>
        <w:widowControl w:val="0"/>
        <w:tabs>
          <w:tab w:val="left" w:pos="2835"/>
        </w:tabs>
        <w:autoSpaceDE w:val="0"/>
        <w:autoSpaceDN w:val="0"/>
        <w:adjustRightInd w:val="0"/>
        <w:ind w:left="2832"/>
        <w:jc w:val="both"/>
        <w:rPr>
          <w:bCs w:val="0"/>
        </w:rPr>
      </w:pPr>
      <w:r w:rsidRPr="00353B09">
        <w:rPr>
          <w:b/>
          <w:bCs w:val="0"/>
        </w:rPr>
        <w:tab/>
      </w:r>
      <w:r w:rsidRPr="00353B09">
        <w:rPr>
          <w:bCs w:val="0"/>
        </w:rPr>
        <w:t xml:space="preserve">Vzhľadom na objektívne podmienky spojené s technickým a personálnym zabezpečením prevádzky informačných systémov finančnej správy sa prevádzka týchto informačných systémov, konformne so zákonom č. 275/2006 Z. z. o informačných systémoch verejnej správy a o zmene a doplnení niektorých zákonov v znení neskorších predpisov, presúva z Finančného riaditeľstva SR na Kompetenčné centrum finančných operácií. </w:t>
      </w:r>
    </w:p>
    <w:p w:rsidR="00353B09" w:rsidRPr="00353B09" w:rsidP="005413EE">
      <w:pPr>
        <w:tabs>
          <w:tab w:val="left" w:pos="2977"/>
        </w:tabs>
        <w:rPr>
          <w:bCs w:val="0"/>
        </w:rPr>
      </w:pPr>
      <w:r w:rsidRPr="00353B09">
        <w:rPr>
          <w:b/>
          <w:bCs w:val="0"/>
        </w:rPr>
        <w:tab/>
      </w:r>
      <w:r w:rsidRPr="00353B09">
        <w:rPr>
          <w:bCs w:val="0"/>
        </w:rPr>
        <w:t xml:space="preserve"> </w:t>
      </w:r>
    </w:p>
    <w:p w:rsidR="005413EE" w:rsidRPr="00353B09" w:rsidP="005413EE">
      <w:pPr>
        <w:tabs>
          <w:tab w:val="left" w:pos="2977"/>
        </w:tabs>
        <w:jc w:val="both"/>
        <w:rPr>
          <w:bCs w:val="0"/>
        </w:rPr>
      </w:pPr>
      <w:r w:rsidRPr="00353B09" w:rsidR="00353B09">
        <w:rPr>
          <w:bCs w:val="0"/>
        </w:rPr>
        <w:t xml:space="preserve">    </w:t>
      </w:r>
    </w:p>
    <w:p w:rsidR="00353B09" w:rsidRPr="00353B09" w:rsidP="005413EE">
      <w:pPr>
        <w:tabs>
          <w:tab w:val="left" w:pos="2977"/>
        </w:tabs>
        <w:jc w:val="both"/>
        <w:rPr>
          <w:bCs w:val="0"/>
        </w:rPr>
      </w:pPr>
    </w:p>
    <w:p w:rsidR="00353B09" w:rsidRPr="00353B09" w:rsidP="005413EE">
      <w:pPr>
        <w:numPr>
          <w:ilvl w:val="0"/>
          <w:numId w:val="32"/>
        </w:numPr>
        <w:tabs>
          <w:tab w:val="left" w:pos="2977"/>
        </w:tabs>
        <w:jc w:val="both"/>
        <w:rPr>
          <w:b/>
          <w:bCs w:val="0"/>
        </w:rPr>
      </w:pPr>
      <w:r w:rsidRPr="00353B09">
        <w:rPr>
          <w:b/>
          <w:bCs w:val="0"/>
        </w:rPr>
        <w:t>Článok o účinnosti znie:</w:t>
      </w:r>
    </w:p>
    <w:p w:rsidR="00353B09" w:rsidRPr="00353B09" w:rsidP="005413EE">
      <w:pPr>
        <w:tabs>
          <w:tab w:val="left" w:pos="2977"/>
        </w:tabs>
        <w:jc w:val="both"/>
        <w:rPr>
          <w:bCs w:val="0"/>
        </w:rPr>
      </w:pPr>
    </w:p>
    <w:p w:rsidR="00353B09" w:rsidRPr="00353B09" w:rsidP="005413EE">
      <w:pPr>
        <w:tabs>
          <w:tab w:val="left" w:pos="2977"/>
        </w:tabs>
        <w:contextualSpacing/>
        <w:jc w:val="center"/>
        <w:rPr>
          <w:bCs w:val="0"/>
          <w:lang w:eastAsia="en-US"/>
        </w:rPr>
      </w:pPr>
      <w:r w:rsidRPr="00353B09">
        <w:rPr>
          <w:bCs w:val="0"/>
          <w:lang w:eastAsia="en-US"/>
        </w:rPr>
        <w:t>„Čl. VIII</w:t>
      </w:r>
    </w:p>
    <w:p w:rsidR="00353B09" w:rsidRPr="00353B09" w:rsidP="00A7722A">
      <w:pPr>
        <w:tabs>
          <w:tab w:val="left" w:pos="709"/>
        </w:tabs>
        <w:ind w:left="644"/>
        <w:contextualSpacing/>
        <w:jc w:val="both"/>
        <w:rPr>
          <w:bCs w:val="0"/>
          <w:lang w:eastAsia="en-US"/>
        </w:rPr>
      </w:pPr>
      <w:r w:rsidR="00A7722A">
        <w:rPr>
          <w:bCs w:val="0"/>
          <w:lang w:eastAsia="en-US"/>
        </w:rPr>
        <w:tab/>
      </w:r>
      <w:r w:rsidRPr="00353B09">
        <w:rPr>
          <w:bCs w:val="0"/>
          <w:lang w:eastAsia="en-US"/>
        </w:rPr>
        <w:t>Tento zákon nadobúda účinnosť 1. januára 2012 okrem ustanovení čl. II, čl. IV, čl. VI a </w:t>
        <w:br/>
        <w:t>čl. VII, ktoré nadobúdajú účinnosť 2. januára 2012, čl. III bodov 7, 9, 37, 60 a 61, ktoré nadobúdajú účinnosť 1. februára 2012, čl. I bodov 3, 61, 62, 74, 78, 79, 80, 81, 84 a 87 a čl. V bodu 76, ktoré nadobúdajú účinnosť 1. apríla 2012, čl. I bodov 46, 51, 53, 58, 66, 70, 83 a 86 a čl. III bodov 38, 65 a 67, ktoré nadobúdajú účinnosť 1. septembra 2012.“.</w:t>
      </w:r>
    </w:p>
    <w:p w:rsidR="00353B09" w:rsidP="005413EE">
      <w:pPr>
        <w:tabs>
          <w:tab w:val="left" w:pos="2977"/>
        </w:tabs>
        <w:jc w:val="both"/>
        <w:rPr>
          <w:bCs w:val="0"/>
        </w:rPr>
      </w:pPr>
    </w:p>
    <w:p w:rsidR="00BD1409" w:rsidP="00BD1409">
      <w:pPr>
        <w:tabs>
          <w:tab w:val="left" w:pos="284"/>
        </w:tabs>
        <w:ind w:left="2832"/>
        <w:jc w:val="both"/>
        <w:rPr>
          <w:bCs w:val="0"/>
        </w:rPr>
      </w:pPr>
      <w:r>
        <w:rPr>
          <w:bCs w:val="0"/>
        </w:rPr>
        <w:t>Vzhľadom na vkladané nové články sa primerane upraví článok upravujúci účinnosť.</w:t>
      </w:r>
    </w:p>
    <w:p w:rsidR="00F231EF" w:rsidP="00D040E1">
      <w:pPr>
        <w:tabs>
          <w:tab w:val="left" w:pos="284"/>
        </w:tabs>
        <w:jc w:val="both"/>
        <w:rPr>
          <w:bCs w:val="0"/>
        </w:rPr>
      </w:pPr>
    </w:p>
    <w:p w:rsidR="00F231EF" w:rsidP="00D040E1">
      <w:pPr>
        <w:tabs>
          <w:tab w:val="left" w:pos="284"/>
        </w:tabs>
        <w:jc w:val="both"/>
        <w:rPr>
          <w:bCs w:val="0"/>
        </w:rPr>
      </w:pPr>
    </w:p>
    <w:p w:rsidR="00D040E1" w:rsidP="00D040E1">
      <w:pPr>
        <w:numPr>
          <w:ilvl w:val="0"/>
          <w:numId w:val="32"/>
        </w:numPr>
        <w:tabs>
          <w:tab w:val="left" w:pos="284"/>
        </w:tabs>
        <w:jc w:val="both"/>
        <w:rPr>
          <w:bCs w:val="0"/>
        </w:rPr>
      </w:pPr>
      <w:r>
        <w:rPr>
          <w:bCs w:val="0"/>
        </w:rPr>
        <w:t xml:space="preserve">V nadväznosti na navrhované zmeny sa primerane upraví článok návrhu zákona upravujúci účinnosť. </w:t>
      </w:r>
    </w:p>
    <w:p w:rsidR="00D040E1" w:rsidP="00D040E1">
      <w:pPr>
        <w:tabs>
          <w:tab w:val="left" w:pos="284"/>
        </w:tabs>
        <w:ind w:left="644"/>
        <w:jc w:val="both"/>
        <w:rPr>
          <w:bCs w:val="0"/>
        </w:rPr>
      </w:pPr>
    </w:p>
    <w:p w:rsidR="00D040E1" w:rsidRPr="00353B09" w:rsidP="00D040E1">
      <w:pPr>
        <w:tabs>
          <w:tab w:val="left" w:pos="284"/>
        </w:tabs>
        <w:ind w:left="2832"/>
        <w:jc w:val="both"/>
        <w:rPr>
          <w:bCs w:val="0"/>
        </w:rPr>
      </w:pPr>
      <w:r>
        <w:rPr>
          <w:bCs w:val="0"/>
        </w:rPr>
        <w:t>Vzhľadom na vkladané nové články sa pr</w:t>
      </w:r>
      <w:r w:rsidR="00D22A2A">
        <w:rPr>
          <w:bCs w:val="0"/>
        </w:rPr>
        <w:t>imerane upraví článok upravujúci</w:t>
      </w:r>
      <w:r>
        <w:rPr>
          <w:bCs w:val="0"/>
        </w:rPr>
        <w:t xml:space="preserve"> účinnosť.</w:t>
      </w:r>
    </w:p>
    <w:sectPr w:rsidSect="00BC3578">
      <w:footerReference w:type="even" r:id="rId8"/>
      <w:footerReference w:type="default" r:id="rId9"/>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1FA">
      <w:rPr>
        <w:rStyle w:val="PageNumber"/>
        <w:noProof/>
      </w:rPr>
      <w:t>10</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0E4E"/>
    <w:multiLevelType w:val="hybridMultilevel"/>
    <w:tmpl w:val="93662B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2">
    <w:nsid w:val="09A36F70"/>
    <w:multiLevelType w:val="hybridMultilevel"/>
    <w:tmpl w:val="CD64F9BE"/>
    <w:lvl w:ilvl="0">
      <w:start w:val="1"/>
      <w:numFmt w:val="decimal"/>
      <w:lvlText w:val="%1."/>
      <w:lvlJc w:val="left"/>
      <w:pPr>
        <w:tabs>
          <w:tab w:val="num" w:pos="644"/>
        </w:tabs>
        <w:ind w:left="644" w:hanging="360"/>
      </w:pPr>
      <w:rPr>
        <w:rFonts w:hint="default"/>
        <w:b/>
        <w:color w:val="auto"/>
        <w:u w:val="none" w:color="auto"/>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5">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3">
    <w:nsid w:val="28AC10D6"/>
    <w:multiLevelType w:val="hybridMultilevel"/>
    <w:tmpl w:val="CA581F6E"/>
    <w:lvl w:ilvl="0">
      <w:start w:val="1"/>
      <w:numFmt w:val="decimal"/>
      <w:lvlText w:val="%1."/>
      <w:lvlJc w:val="left"/>
      <w:pPr>
        <w:tabs>
          <w:tab w:val="num" w:pos="360"/>
        </w:tabs>
        <w:ind w:left="360"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16F2944"/>
    <w:multiLevelType w:val="hybridMultilevel"/>
    <w:tmpl w:val="6100D4E4"/>
    <w:lvl w:ilvl="0">
      <w:start w:val="1"/>
      <w:numFmt w:val="decimal"/>
      <w:lvlText w:val="%1."/>
      <w:lvlJc w:val="left"/>
      <w:pPr>
        <w:tabs>
          <w:tab w:val="num" w:pos="644"/>
        </w:tabs>
        <w:ind w:left="644" w:hanging="360"/>
      </w:pPr>
      <w:rPr>
        <w:rFonts w:hint="default"/>
        <w:b/>
        <w:color w:val="auto"/>
        <w:u w:val="none" w:color="auto"/>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6">
    <w:nsid w:val="373D61AB"/>
    <w:multiLevelType w:val="hybridMultilevel"/>
    <w:tmpl w:val="6E3A171E"/>
    <w:lvl w:ilvl="0">
      <w:start w:val="1"/>
      <w:numFmt w:val="decimal"/>
      <w:lvlText w:val="%1."/>
      <w:lvlJc w:val="left"/>
      <w:pPr>
        <w:tabs>
          <w:tab w:val="num" w:pos="360"/>
        </w:tabs>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2A721D9"/>
    <w:multiLevelType w:val="hybridMultilevel"/>
    <w:tmpl w:val="A0FEBE0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44D55AE"/>
    <w:multiLevelType w:val="hybridMultilevel"/>
    <w:tmpl w:val="691252D0"/>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1">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A296D95"/>
    <w:multiLevelType w:val="hybridMultilevel"/>
    <w:tmpl w:val="2A6A70CE"/>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53C5115"/>
    <w:multiLevelType w:val="hybridMultilevel"/>
    <w:tmpl w:val="CDBE7240"/>
    <w:lvl w:ilvl="0">
      <w:start w:val="1"/>
      <w:numFmt w:val="lowerLetter"/>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32">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7">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6"/>
  </w:num>
  <w:num w:numId="5">
    <w:abstractNumId w:val="27"/>
  </w:num>
  <w:num w:numId="6">
    <w:abstractNumId w:val="7"/>
  </w:num>
  <w:num w:numId="7">
    <w:abstractNumId w:val="17"/>
  </w:num>
  <w:num w:numId="8">
    <w:abstractNumId w:val="32"/>
  </w:num>
  <w:num w:numId="9">
    <w:abstractNumId w:val="33"/>
  </w:num>
  <w:num w:numId="10">
    <w:abstractNumId w:val="3"/>
  </w:num>
  <w:num w:numId="11">
    <w:abstractNumId w:val="21"/>
  </w:num>
  <w:num w:numId="12">
    <w:abstractNumId w:val="9"/>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4"/>
  </w:num>
  <w:num w:numId="19">
    <w:abstractNumId w:val="11"/>
  </w:num>
  <w:num w:numId="20">
    <w:abstractNumId w:val="26"/>
  </w:num>
  <w:num w:numId="21">
    <w:abstractNumId w:val="8"/>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3"/>
  </w:num>
  <w:num w:numId="25">
    <w:abstractNumId w:val="36"/>
  </w:num>
  <w:num w:numId="26">
    <w:abstractNumId w:val="22"/>
  </w:num>
  <w:num w:numId="27">
    <w:abstractNumId w:val="18"/>
  </w:num>
  <w:num w:numId="28">
    <w:abstractNumId w:val="10"/>
  </w:num>
  <w:num w:numId="29">
    <w:abstractNumId w:val="4"/>
  </w:num>
  <w:num w:numId="30">
    <w:abstractNumId w:val="30"/>
  </w:num>
  <w:num w:numId="31">
    <w:abstractNumId w:val="31"/>
  </w:num>
  <w:num w:numId="32">
    <w:abstractNumId w:val="2"/>
  </w:num>
  <w:num w:numId="33">
    <w:abstractNumId w:val="20"/>
  </w:num>
  <w:num w:numId="34">
    <w:abstractNumId w:val="0"/>
  </w:num>
  <w:num w:numId="35">
    <w:abstractNumId w:val="28"/>
  </w:num>
  <w:num w:numId="36">
    <w:abstractNumId w:val="19"/>
  </w:num>
  <w:num w:numId="37">
    <w:abstractNumId w:val="13"/>
  </w:num>
  <w:num w:numId="38">
    <w:abstractNumId w:val="16"/>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27DA1"/>
    <w:rsid w:val="0004001B"/>
    <w:rsid w:val="00040044"/>
    <w:rsid w:val="00041192"/>
    <w:rsid w:val="000434DA"/>
    <w:rsid w:val="00045E54"/>
    <w:rsid w:val="0005173D"/>
    <w:rsid w:val="0005235B"/>
    <w:rsid w:val="00053FB9"/>
    <w:rsid w:val="00066275"/>
    <w:rsid w:val="00067F0B"/>
    <w:rsid w:val="000741D0"/>
    <w:rsid w:val="0007451E"/>
    <w:rsid w:val="000826D8"/>
    <w:rsid w:val="00085A9B"/>
    <w:rsid w:val="00092341"/>
    <w:rsid w:val="00092B30"/>
    <w:rsid w:val="000A44A0"/>
    <w:rsid w:val="000A7E84"/>
    <w:rsid w:val="000B19F4"/>
    <w:rsid w:val="000B4AAD"/>
    <w:rsid w:val="000D0046"/>
    <w:rsid w:val="000D14F9"/>
    <w:rsid w:val="000D4078"/>
    <w:rsid w:val="000E176D"/>
    <w:rsid w:val="000E2CAC"/>
    <w:rsid w:val="000E5323"/>
    <w:rsid w:val="000E5C35"/>
    <w:rsid w:val="000F1967"/>
    <w:rsid w:val="000F27D9"/>
    <w:rsid w:val="0010647C"/>
    <w:rsid w:val="001117D7"/>
    <w:rsid w:val="001139A4"/>
    <w:rsid w:val="0011524C"/>
    <w:rsid w:val="00117627"/>
    <w:rsid w:val="001212D5"/>
    <w:rsid w:val="00143F10"/>
    <w:rsid w:val="00152B22"/>
    <w:rsid w:val="00153E1E"/>
    <w:rsid w:val="001545C9"/>
    <w:rsid w:val="001559B7"/>
    <w:rsid w:val="00160A16"/>
    <w:rsid w:val="001626EB"/>
    <w:rsid w:val="0016756E"/>
    <w:rsid w:val="001734EE"/>
    <w:rsid w:val="00183676"/>
    <w:rsid w:val="00184104"/>
    <w:rsid w:val="001852E1"/>
    <w:rsid w:val="00192864"/>
    <w:rsid w:val="001957AD"/>
    <w:rsid w:val="001A602E"/>
    <w:rsid w:val="001B1E93"/>
    <w:rsid w:val="001B41F7"/>
    <w:rsid w:val="001C51E2"/>
    <w:rsid w:val="001C5BF3"/>
    <w:rsid w:val="001C6390"/>
    <w:rsid w:val="001D1076"/>
    <w:rsid w:val="001D5926"/>
    <w:rsid w:val="001D6BE4"/>
    <w:rsid w:val="001E6E4A"/>
    <w:rsid w:val="001E6F56"/>
    <w:rsid w:val="001F1FB7"/>
    <w:rsid w:val="00205C7B"/>
    <w:rsid w:val="0020683C"/>
    <w:rsid w:val="00210542"/>
    <w:rsid w:val="00213659"/>
    <w:rsid w:val="00214BD9"/>
    <w:rsid w:val="00232F32"/>
    <w:rsid w:val="002461A5"/>
    <w:rsid w:val="00254F23"/>
    <w:rsid w:val="00255E78"/>
    <w:rsid w:val="002629D4"/>
    <w:rsid w:val="00272FA8"/>
    <w:rsid w:val="002743DB"/>
    <w:rsid w:val="002777DC"/>
    <w:rsid w:val="00284126"/>
    <w:rsid w:val="0028499B"/>
    <w:rsid w:val="00294FAE"/>
    <w:rsid w:val="002A59BC"/>
    <w:rsid w:val="002A6335"/>
    <w:rsid w:val="002A7220"/>
    <w:rsid w:val="002B6101"/>
    <w:rsid w:val="002C62FF"/>
    <w:rsid w:val="002D29EA"/>
    <w:rsid w:val="002E46AB"/>
    <w:rsid w:val="002E7F6B"/>
    <w:rsid w:val="002F3ED4"/>
    <w:rsid w:val="00301227"/>
    <w:rsid w:val="00321A20"/>
    <w:rsid w:val="00325E49"/>
    <w:rsid w:val="0032711D"/>
    <w:rsid w:val="00334FEC"/>
    <w:rsid w:val="003371B9"/>
    <w:rsid w:val="00342FD3"/>
    <w:rsid w:val="00347242"/>
    <w:rsid w:val="00352292"/>
    <w:rsid w:val="00353B09"/>
    <w:rsid w:val="00356336"/>
    <w:rsid w:val="003676F8"/>
    <w:rsid w:val="00370DA7"/>
    <w:rsid w:val="00371F1B"/>
    <w:rsid w:val="00373CBB"/>
    <w:rsid w:val="0038060C"/>
    <w:rsid w:val="00397CB2"/>
    <w:rsid w:val="003A4FC0"/>
    <w:rsid w:val="003B1B33"/>
    <w:rsid w:val="003C2355"/>
    <w:rsid w:val="003E4817"/>
    <w:rsid w:val="003E5C21"/>
    <w:rsid w:val="003E60B4"/>
    <w:rsid w:val="00401691"/>
    <w:rsid w:val="00415698"/>
    <w:rsid w:val="004231C1"/>
    <w:rsid w:val="004265B4"/>
    <w:rsid w:val="0043269C"/>
    <w:rsid w:val="00450C55"/>
    <w:rsid w:val="0046108E"/>
    <w:rsid w:val="0047332F"/>
    <w:rsid w:val="004770E8"/>
    <w:rsid w:val="004925DB"/>
    <w:rsid w:val="00493DCA"/>
    <w:rsid w:val="004A12F3"/>
    <w:rsid w:val="004A3E40"/>
    <w:rsid w:val="004B7312"/>
    <w:rsid w:val="004D03C0"/>
    <w:rsid w:val="004D71D6"/>
    <w:rsid w:val="004E263D"/>
    <w:rsid w:val="004E2763"/>
    <w:rsid w:val="004E6C03"/>
    <w:rsid w:val="004F0838"/>
    <w:rsid w:val="004F2B3E"/>
    <w:rsid w:val="004F45C8"/>
    <w:rsid w:val="00500C97"/>
    <w:rsid w:val="0050102D"/>
    <w:rsid w:val="00504177"/>
    <w:rsid w:val="00522678"/>
    <w:rsid w:val="005375F3"/>
    <w:rsid w:val="005413EE"/>
    <w:rsid w:val="00552BE1"/>
    <w:rsid w:val="00553474"/>
    <w:rsid w:val="0057223B"/>
    <w:rsid w:val="005757C8"/>
    <w:rsid w:val="0058523A"/>
    <w:rsid w:val="005860D4"/>
    <w:rsid w:val="00587F18"/>
    <w:rsid w:val="00590FB8"/>
    <w:rsid w:val="00594981"/>
    <w:rsid w:val="00595842"/>
    <w:rsid w:val="00595B3A"/>
    <w:rsid w:val="005A0187"/>
    <w:rsid w:val="005A7352"/>
    <w:rsid w:val="005B36AB"/>
    <w:rsid w:val="005C6DA4"/>
    <w:rsid w:val="005D03BE"/>
    <w:rsid w:val="005D04B9"/>
    <w:rsid w:val="005D1F0B"/>
    <w:rsid w:val="005D2E69"/>
    <w:rsid w:val="005D368F"/>
    <w:rsid w:val="005D62EB"/>
    <w:rsid w:val="005E0E12"/>
    <w:rsid w:val="005E26FF"/>
    <w:rsid w:val="005E27AA"/>
    <w:rsid w:val="005E3D70"/>
    <w:rsid w:val="005F2A14"/>
    <w:rsid w:val="00602FF8"/>
    <w:rsid w:val="006107BB"/>
    <w:rsid w:val="00611469"/>
    <w:rsid w:val="0061451E"/>
    <w:rsid w:val="00622525"/>
    <w:rsid w:val="00624DDC"/>
    <w:rsid w:val="0063617C"/>
    <w:rsid w:val="0063749C"/>
    <w:rsid w:val="00642D4E"/>
    <w:rsid w:val="006437A1"/>
    <w:rsid w:val="006443CB"/>
    <w:rsid w:val="0065582E"/>
    <w:rsid w:val="00665A38"/>
    <w:rsid w:val="0066682E"/>
    <w:rsid w:val="00670BE9"/>
    <w:rsid w:val="006732DF"/>
    <w:rsid w:val="006A3C85"/>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865EF"/>
    <w:rsid w:val="00787F13"/>
    <w:rsid w:val="00791016"/>
    <w:rsid w:val="007965EB"/>
    <w:rsid w:val="007A7FC3"/>
    <w:rsid w:val="007B40ED"/>
    <w:rsid w:val="007C3A2E"/>
    <w:rsid w:val="007C6EC6"/>
    <w:rsid w:val="007E168E"/>
    <w:rsid w:val="0081158D"/>
    <w:rsid w:val="00830899"/>
    <w:rsid w:val="008458BA"/>
    <w:rsid w:val="0085189B"/>
    <w:rsid w:val="008720CA"/>
    <w:rsid w:val="008769DE"/>
    <w:rsid w:val="00880343"/>
    <w:rsid w:val="00881478"/>
    <w:rsid w:val="00883651"/>
    <w:rsid w:val="0089148D"/>
    <w:rsid w:val="008A2AEF"/>
    <w:rsid w:val="008A65D4"/>
    <w:rsid w:val="008B2507"/>
    <w:rsid w:val="008B619A"/>
    <w:rsid w:val="008C2619"/>
    <w:rsid w:val="008C606C"/>
    <w:rsid w:val="008D037B"/>
    <w:rsid w:val="008E0724"/>
    <w:rsid w:val="008E46E2"/>
    <w:rsid w:val="008E4744"/>
    <w:rsid w:val="008E52C8"/>
    <w:rsid w:val="008F1D4B"/>
    <w:rsid w:val="008F35D7"/>
    <w:rsid w:val="00901501"/>
    <w:rsid w:val="00902EC3"/>
    <w:rsid w:val="00914F38"/>
    <w:rsid w:val="009171A7"/>
    <w:rsid w:val="009434CE"/>
    <w:rsid w:val="00945E30"/>
    <w:rsid w:val="009534E4"/>
    <w:rsid w:val="009673E9"/>
    <w:rsid w:val="00972CAE"/>
    <w:rsid w:val="00985280"/>
    <w:rsid w:val="00990B21"/>
    <w:rsid w:val="009940AF"/>
    <w:rsid w:val="00996EF0"/>
    <w:rsid w:val="009A5069"/>
    <w:rsid w:val="009B1A9B"/>
    <w:rsid w:val="009B629D"/>
    <w:rsid w:val="009C5634"/>
    <w:rsid w:val="009D0655"/>
    <w:rsid w:val="009D25C5"/>
    <w:rsid w:val="009D3928"/>
    <w:rsid w:val="009E4434"/>
    <w:rsid w:val="009E58D6"/>
    <w:rsid w:val="009E6FD9"/>
    <w:rsid w:val="009F0117"/>
    <w:rsid w:val="009F4560"/>
    <w:rsid w:val="00A13BFD"/>
    <w:rsid w:val="00A22570"/>
    <w:rsid w:val="00A26DE4"/>
    <w:rsid w:val="00A42717"/>
    <w:rsid w:val="00A44797"/>
    <w:rsid w:val="00A45E0F"/>
    <w:rsid w:val="00A46F21"/>
    <w:rsid w:val="00A641FA"/>
    <w:rsid w:val="00A64B15"/>
    <w:rsid w:val="00A73ECD"/>
    <w:rsid w:val="00A76F2A"/>
    <w:rsid w:val="00A7722A"/>
    <w:rsid w:val="00A80718"/>
    <w:rsid w:val="00A8165F"/>
    <w:rsid w:val="00A8705A"/>
    <w:rsid w:val="00AC22E2"/>
    <w:rsid w:val="00AC65F9"/>
    <w:rsid w:val="00AC7EC3"/>
    <w:rsid w:val="00AE3087"/>
    <w:rsid w:val="00AE69DF"/>
    <w:rsid w:val="00AF0917"/>
    <w:rsid w:val="00AF7145"/>
    <w:rsid w:val="00B07F36"/>
    <w:rsid w:val="00B16CED"/>
    <w:rsid w:val="00B17563"/>
    <w:rsid w:val="00B55EBB"/>
    <w:rsid w:val="00B614DE"/>
    <w:rsid w:val="00B64787"/>
    <w:rsid w:val="00B71E6A"/>
    <w:rsid w:val="00B7289A"/>
    <w:rsid w:val="00B774DD"/>
    <w:rsid w:val="00B956AC"/>
    <w:rsid w:val="00B97CFB"/>
    <w:rsid w:val="00BA1E88"/>
    <w:rsid w:val="00BB1415"/>
    <w:rsid w:val="00BB19BA"/>
    <w:rsid w:val="00BB42C8"/>
    <w:rsid w:val="00BB438D"/>
    <w:rsid w:val="00BB4DB1"/>
    <w:rsid w:val="00BB5C38"/>
    <w:rsid w:val="00BC2BF3"/>
    <w:rsid w:val="00BC3578"/>
    <w:rsid w:val="00BD1191"/>
    <w:rsid w:val="00BD1409"/>
    <w:rsid w:val="00BD172A"/>
    <w:rsid w:val="00BD37D8"/>
    <w:rsid w:val="00BD7172"/>
    <w:rsid w:val="00BE5478"/>
    <w:rsid w:val="00BE788B"/>
    <w:rsid w:val="00C059CD"/>
    <w:rsid w:val="00C2409D"/>
    <w:rsid w:val="00C37D3C"/>
    <w:rsid w:val="00C40208"/>
    <w:rsid w:val="00C511AD"/>
    <w:rsid w:val="00C637C7"/>
    <w:rsid w:val="00C72FBD"/>
    <w:rsid w:val="00C74C86"/>
    <w:rsid w:val="00C81129"/>
    <w:rsid w:val="00C85101"/>
    <w:rsid w:val="00C91164"/>
    <w:rsid w:val="00C93E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F0260"/>
    <w:rsid w:val="00CF7721"/>
    <w:rsid w:val="00D040E1"/>
    <w:rsid w:val="00D066CB"/>
    <w:rsid w:val="00D14BB3"/>
    <w:rsid w:val="00D22A2A"/>
    <w:rsid w:val="00D24006"/>
    <w:rsid w:val="00D274A9"/>
    <w:rsid w:val="00D3491C"/>
    <w:rsid w:val="00D43E19"/>
    <w:rsid w:val="00D468CB"/>
    <w:rsid w:val="00D51BBC"/>
    <w:rsid w:val="00D5389F"/>
    <w:rsid w:val="00D56CFD"/>
    <w:rsid w:val="00D60D33"/>
    <w:rsid w:val="00D64717"/>
    <w:rsid w:val="00D77944"/>
    <w:rsid w:val="00D93A8F"/>
    <w:rsid w:val="00DB14FA"/>
    <w:rsid w:val="00DB15FF"/>
    <w:rsid w:val="00DC342A"/>
    <w:rsid w:val="00DD72DC"/>
    <w:rsid w:val="00DE311B"/>
    <w:rsid w:val="00DF00E6"/>
    <w:rsid w:val="00E077EC"/>
    <w:rsid w:val="00E13467"/>
    <w:rsid w:val="00E165F4"/>
    <w:rsid w:val="00E20A99"/>
    <w:rsid w:val="00E24E2F"/>
    <w:rsid w:val="00E27648"/>
    <w:rsid w:val="00E3668B"/>
    <w:rsid w:val="00E4207A"/>
    <w:rsid w:val="00E54D4F"/>
    <w:rsid w:val="00E564B4"/>
    <w:rsid w:val="00E56CEF"/>
    <w:rsid w:val="00E70960"/>
    <w:rsid w:val="00E8666A"/>
    <w:rsid w:val="00E92427"/>
    <w:rsid w:val="00E95866"/>
    <w:rsid w:val="00E97E3F"/>
    <w:rsid w:val="00EA2888"/>
    <w:rsid w:val="00EA6751"/>
    <w:rsid w:val="00EA7E4D"/>
    <w:rsid w:val="00EC5F3F"/>
    <w:rsid w:val="00ED0C91"/>
    <w:rsid w:val="00ED3C5E"/>
    <w:rsid w:val="00EE616F"/>
    <w:rsid w:val="00F00247"/>
    <w:rsid w:val="00F03B10"/>
    <w:rsid w:val="00F15963"/>
    <w:rsid w:val="00F231EF"/>
    <w:rsid w:val="00F328DE"/>
    <w:rsid w:val="00F33022"/>
    <w:rsid w:val="00F362CE"/>
    <w:rsid w:val="00F62045"/>
    <w:rsid w:val="00F6286E"/>
    <w:rsid w:val="00F7316C"/>
    <w:rsid w:val="00F7461A"/>
    <w:rsid w:val="00F80E71"/>
    <w:rsid w:val="00F87FF3"/>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14522',%20'8997749',%20'0',%20'0',%20'0',%20'139560')" TargetMode="External" /><Relationship Id="rId5" Type="http://schemas.openxmlformats.org/officeDocument/2006/relationships/hyperlink" Target="javascript:%20fZzSRInternal('14522',%20'8997749',%20'0',%20'0',%20'0',%20'139561')" TargetMode="External" /><Relationship Id="rId6" Type="http://schemas.openxmlformats.org/officeDocument/2006/relationships/hyperlink" Target="http://www.epi.sk/Main/Default.aspx?Template=~/Main/TArticles.ascx&amp;zzsrlnkid=9121255&amp;phContent=~/ZzSR/ShowRule.ascx&amp;RuleId=0&amp;FragmentId1=4505752&amp;FragmentId2=5498181" TargetMode="External" /><Relationship Id="rId7" Type="http://schemas.openxmlformats.org/officeDocument/2006/relationships/hyperlink" Target="http://www.epi.sk/Main/Default.aspx?Template=~/Main/TArticles.ascx&amp;zzsrlnkid=9121255&amp;phContent=~/ZzSR/ShowRule.ascx&amp;RuleId=16192&amp;FragmentId1=0&amp;FragmentId2=0" TargetMode="External" /><Relationship Id="rId8" Type="http://schemas.openxmlformats.org/officeDocument/2006/relationships/footer" Target="footer1.xml" /><Relationship Id="rId9" Type="http://schemas.openxmlformats.org/officeDocument/2006/relationships/footer" Target="footer2.xml" /></Relationships>
</file>

<file path=docProps/app.xml><?xml version="1.0" encoding="utf-8"?>
<Properties xmlns="http://schemas.openxmlformats.org/officeDocument/2006/extended-properties" xmlns:vt="http://schemas.openxmlformats.org/officeDocument/2006/docPropsVTypes">
  <Template>Normal.dotm</Template>
  <TotalTime>924</TotalTime>
  <Pages>13</Pages>
  <Words>4310</Words>
  <Characters>24572</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295</cp:revision>
  <cp:lastPrinted>2011-06-10T10:52:00Z</cp:lastPrinted>
  <dcterms:created xsi:type="dcterms:W3CDTF">2003-06-05T11:59:00Z</dcterms:created>
  <dcterms:modified xsi:type="dcterms:W3CDTF">2011-11-24T10:03:00Z</dcterms:modified>
</cp:coreProperties>
</file>