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272FA8">
        <w:t>34</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Pr="00E85590" w:rsidR="00E85590">
        <w:t>3610</w:t>
      </w:r>
      <w:r w:rsidRPr="00053FB9" w:rsidR="003371B9">
        <w:t>/</w:t>
      </w:r>
      <w:r w:rsidR="00053FB9">
        <w:t>201</w:t>
      </w:r>
      <w:r w:rsidR="00BC3578">
        <w:t>1</w:t>
      </w:r>
    </w:p>
    <w:p w:rsidR="0004001B" w:rsidP="00067F0B">
      <w:pPr>
        <w:ind w:left="3540" w:firstLine="708"/>
        <w:rPr>
          <w:b/>
        </w:rPr>
      </w:pPr>
    </w:p>
    <w:p w:rsidR="00A45E0F" w:rsidP="00067F0B">
      <w:pPr>
        <w:ind w:left="3540" w:firstLine="708"/>
        <w:rPr>
          <w:b/>
        </w:rPr>
      </w:pPr>
      <w:r w:rsidR="001D6BE4">
        <w:rPr>
          <w:b/>
        </w:rPr>
        <w:t xml:space="preserve">          </w:t>
      </w:r>
      <w:r w:rsidR="000B19F4">
        <w:rPr>
          <w:b/>
        </w:rPr>
        <w:t xml:space="preserve"> </w:t>
      </w:r>
      <w:r w:rsidR="00E54D4F">
        <w:rPr>
          <w:b/>
        </w:rPr>
        <w:t xml:space="preserve">  </w:t>
      </w:r>
    </w:p>
    <w:p w:rsidR="00E85590" w:rsidP="00067F0B">
      <w:pPr>
        <w:ind w:left="3540" w:firstLine="708"/>
        <w:rPr>
          <w:b/>
        </w:rPr>
      </w:pPr>
      <w:r w:rsidR="00201108">
        <w:rPr>
          <w:b/>
        </w:rPr>
        <w:t xml:space="preserve">        285</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w:t>
      </w:r>
      <w:r>
        <w:rPr>
          <w:b/>
        </w:rPr>
        <w:t xml:space="preserv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15</w:t>
      </w:r>
      <w:r w:rsidR="00C72FBD">
        <w:rPr>
          <w:b/>
        </w:rPr>
        <w:t xml:space="preserve">. </w:t>
      </w:r>
      <w:r w:rsidR="00272FA8">
        <w:rPr>
          <w:b/>
        </w:rPr>
        <w:t>novembra</w:t>
      </w:r>
      <w:r w:rsidR="00830899">
        <w:rPr>
          <w:b/>
        </w:rPr>
        <w:t xml:space="preserve"> 2011</w:t>
      </w:r>
    </w:p>
    <w:p w:rsidR="00AC22E2" w:rsidP="00AC22E2">
      <w:pPr>
        <w:pStyle w:val="Heading1"/>
        <w:ind w:left="0"/>
        <w:jc w:val="both"/>
        <w:rPr>
          <w:rFonts w:eastAsia="Times New Roman"/>
        </w:rPr>
      </w:pPr>
    </w:p>
    <w:p w:rsidR="00EC5F3F" w:rsidRPr="005D2E69" w:rsidP="00117627">
      <w:pPr>
        <w:jc w:val="both"/>
      </w:pPr>
      <w:r w:rsidRPr="005D2E69">
        <w:t>Výbor Národnej rady Sl</w:t>
      </w:r>
      <w:r w:rsidRPr="005D2E69" w:rsidR="003371B9">
        <w:t>ovenskej republiky pre financie a</w:t>
      </w:r>
      <w:r w:rsidRPr="005D2E69">
        <w:t xml:space="preserve"> rozpočet </w:t>
      </w:r>
      <w:r w:rsidRPr="005D2E69" w:rsidR="00F966EF">
        <w:t>prerokoval</w:t>
      </w:r>
      <w:r w:rsidR="00E85590">
        <w:t xml:space="preserve"> v</w:t>
      </w:r>
      <w:r w:rsidRPr="00E85590" w:rsidR="00E85590">
        <w:rPr>
          <w:bCs w:val="0"/>
        </w:rPr>
        <w:t>ládny návrh zákona, ktorým sa mení a dopĺňa zákon č. 566/2001 Z. z. o cenných papieroch a investičných službách a o zmene a doplnení niektorých zákonov (zákon o cenných papieroch) v znení neskorších predpisov a ktorým sa menia a dopĺňajú niektoré zákony (tlač 497)</w:t>
      </w:r>
      <w:r w:rsidR="00E85590">
        <w:rPr>
          <w:bCs w:val="0"/>
        </w:rPr>
        <w:t xml:space="preserve"> </w:t>
      </w:r>
      <w:r w:rsidRPr="005D2E69" w:rsidR="00450C55">
        <w:rPr>
          <w:b/>
        </w:rPr>
        <w:t>a</w:t>
      </w:r>
      <w:r w:rsidRPr="005D2E69" w:rsidR="00ED3C5E">
        <w:t xml:space="preserve"> </w:t>
      </w:r>
      <w:r w:rsidRPr="005D2E69" w:rsidR="008458BA">
        <w:t xml:space="preserve"> </w:t>
      </w:r>
    </w:p>
    <w:p w:rsidR="00BD7172" w:rsidRPr="00990B21" w:rsidP="00BD7172"/>
    <w:p w:rsidR="000D14F9" w:rsidRPr="00990B21" w:rsidP="00BD7172"/>
    <w:p w:rsidR="00EC5F3F" w:rsidP="00067F0B">
      <w:pPr>
        <w:numPr>
          <w:ilvl w:val="0"/>
          <w:numId w:val="1"/>
        </w:numPr>
        <w:jc w:val="both"/>
        <w:rPr>
          <w:b/>
        </w:rPr>
      </w:pPr>
      <w:r w:rsidR="00A45E0F">
        <w:rPr>
          <w:b/>
        </w:rPr>
        <w:t>s</w:t>
      </w:r>
      <w:r>
        <w:rPr>
          <w:b/>
        </w:rPr>
        <w:t>úhlasí</w:t>
      </w:r>
    </w:p>
    <w:p w:rsidR="00A45E0F" w:rsidP="00A45E0F">
      <w:pPr>
        <w:ind w:left="1080"/>
        <w:jc w:val="both"/>
        <w:rPr>
          <w:b/>
        </w:rPr>
      </w:pP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00E85590">
        <w:t>v</w:t>
      </w:r>
      <w:r w:rsidRPr="00E85590" w:rsidR="00E85590">
        <w:rPr>
          <w:bCs w:val="0"/>
        </w:rPr>
        <w:t>ládny</w:t>
      </w:r>
      <w:r w:rsidR="00E85590">
        <w:rPr>
          <w:bCs w:val="0"/>
        </w:rPr>
        <w:t>m</w:t>
      </w:r>
      <w:r w:rsidRPr="00E85590" w:rsidR="00E85590">
        <w:rPr>
          <w:bCs w:val="0"/>
        </w:rPr>
        <w:t xml:space="preserve"> návrh</w:t>
      </w:r>
      <w:r w:rsidR="00E85590">
        <w:rPr>
          <w:bCs w:val="0"/>
        </w:rPr>
        <w:t>om</w:t>
      </w:r>
      <w:r w:rsidRPr="00E85590" w:rsidR="00E85590">
        <w:rPr>
          <w:bCs w:val="0"/>
        </w:rPr>
        <w:t xml:space="preserve"> zákona, ktorým sa mení a dopĺňa zákon č. 566/2001 Z. z. o cenných papieroch a investičných službách a o zmene a doplnení niektorých zákonov (zákon o cenných papieroch) v znení neskorších predpisov a ktorým sa menia a dopĺňajú niektoré zákony (tlač 497)</w:t>
      </w:r>
    </w:p>
    <w:p w:rsidR="00D64717" w:rsidRPr="00D64717" w:rsidP="00D64717"/>
    <w:p w:rsidR="00450C55"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 republiky</w:t>
      </w:r>
    </w:p>
    <w:p w:rsidR="00A45E0F" w:rsidRPr="00A45E0F" w:rsidP="00A45E0F"/>
    <w:p w:rsidR="00EC5F3F" w:rsidRPr="00E20A99" w:rsidP="005B36AB">
      <w:pPr>
        <w:pStyle w:val="Heading1"/>
        <w:ind w:left="1416" w:firstLine="708"/>
        <w:jc w:val="both"/>
      </w:pPr>
      <w:r w:rsidRPr="00E85590" w:rsidR="00E85590">
        <w:rPr>
          <w:b w:val="0"/>
        </w:rPr>
        <w:t>v</w:t>
      </w:r>
      <w:r w:rsidRPr="00E85590" w:rsidR="00E85590">
        <w:rPr>
          <w:b w:val="0"/>
          <w:bCs w:val="0"/>
        </w:rPr>
        <w:t>ládny návrh zákona, ktorým sa mení a dopĺňa zákon č. 566/2001 Z. z. o cenných papieroch a investičných službách a o zmene a doplnení niektorých zákonov (zákon o cenných papieroch) v znení neskorších predpisov a ktorým sa menia a dopĺňajú niektoré zákony (tlač 497)</w:t>
      </w:r>
      <w:r w:rsidR="00E85590">
        <w:rPr>
          <w:b w:val="0"/>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p>
    <w:p w:rsidR="00E13467" w:rsidP="000139BA">
      <w:pPr>
        <w:ind w:left="1416"/>
        <w:jc w:val="both"/>
        <w:rPr>
          <w:b/>
        </w:rPr>
      </w:pPr>
      <w:r>
        <w:rPr>
          <w:b/>
        </w:rPr>
        <w:tab/>
      </w:r>
    </w:p>
    <w:p w:rsidR="0004001B" w:rsidP="000139BA">
      <w:pPr>
        <w:ind w:left="1416"/>
        <w:jc w:val="both"/>
        <w:rPr>
          <w:b/>
        </w:rPr>
      </w:pPr>
    </w:p>
    <w:p w:rsidR="00D64717"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067F0B" w:rsidP="00067F0B">
      <w:pPr>
        <w:ind w:left="1776"/>
        <w:rPr>
          <w:b/>
        </w:rPr>
      </w:pPr>
    </w:p>
    <w:p w:rsidR="00117627" w:rsidP="00117627">
      <w:r w:rsidR="00BD7172">
        <w:t xml:space="preserve"> </w:t>
      </w:r>
      <w:r w:rsidR="00E20A99">
        <w:t xml:space="preserve"> </w:t>
      </w:r>
      <w:r>
        <w:tab/>
        <w:tab/>
        <w:tab/>
        <w:t xml:space="preserve">  informovať predsedu Národnej rady Slovenskej republiky o výsledku </w:t>
      </w:r>
    </w:p>
    <w:p w:rsidR="00117627" w:rsidP="00117627">
      <w:r>
        <w:t xml:space="preserve">                        prerokovania uvedeného vládneho návrhu vo výbore</w:t>
      </w:r>
    </w:p>
    <w:p w:rsidR="00117627" w:rsidP="00117627">
      <w:pPr>
        <w:ind w:left="2850"/>
        <w:jc w:val="both"/>
      </w:pPr>
    </w:p>
    <w:p w:rsidR="00C059CD" w:rsidP="00A73ECD">
      <w:pPr>
        <w:rPr>
          <w:b/>
          <w:bCs w:val="0"/>
        </w:rPr>
      </w:pPr>
      <w:r w:rsidR="00E20A99">
        <w:t xml:space="preserve">         </w:t>
      </w:r>
      <w:r w:rsidR="00E20A99">
        <w:t xml:space="preserve">                                                     </w:t>
      </w:r>
    </w:p>
    <w:p w:rsidR="00A45E0F">
      <w:pPr>
        <w:ind w:left="5664" w:firstLine="708"/>
        <w:rPr>
          <w:b/>
          <w:bCs w:val="0"/>
        </w:rPr>
      </w:pP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Pr="003371B9" w:rsidR="00040044">
        <w:rPr>
          <w:b/>
          <w:bCs w:val="0"/>
        </w:rPr>
        <w:t xml:space="preserve">Jozef </w:t>
      </w:r>
      <w:r w:rsidRPr="003371B9" w:rsidR="00E20A99">
        <w:rPr>
          <w:b/>
          <w:bCs w:val="0"/>
        </w:rPr>
        <w:t xml:space="preserve"> </w:t>
      </w:r>
      <w:r w:rsidRPr="003371B9" w:rsidR="003371B9">
        <w:rPr>
          <w:b/>
          <w:bCs w:val="0"/>
        </w:rPr>
        <w:t>K</w:t>
      </w:r>
      <w:r w:rsidR="003371B9">
        <w:rPr>
          <w:b/>
          <w:bCs w:val="0"/>
        </w:rPr>
        <w:t> </w:t>
      </w:r>
      <w:r w:rsidRPr="003371B9" w:rsidR="003371B9">
        <w:rPr>
          <w:b/>
          <w:bCs w:val="0"/>
        </w:rPr>
        <w:t>o</w:t>
      </w:r>
      <w:r w:rsidR="003371B9">
        <w:rPr>
          <w:b/>
          <w:bCs w:val="0"/>
        </w:rPr>
        <w:t> </w:t>
      </w:r>
      <w:r w:rsidRPr="003371B9" w:rsidR="003371B9">
        <w:rPr>
          <w:b/>
          <w:bCs w:val="0"/>
        </w:rPr>
        <w:t>l</w:t>
      </w:r>
      <w:r w:rsidR="003371B9">
        <w:rPr>
          <w:b/>
          <w:bCs w:val="0"/>
        </w:rPr>
        <w:t xml:space="preserve"> </w:t>
      </w:r>
      <w:r w:rsidRPr="003371B9" w:rsidR="003371B9">
        <w:rPr>
          <w:b/>
          <w:bCs w:val="0"/>
        </w:rPr>
        <w:t>l</w:t>
      </w:r>
      <w:r w:rsidR="003371B9">
        <w:rPr>
          <w:b/>
          <w:bCs w:val="0"/>
        </w:rPr>
        <w:t xml:space="preserve"> </w:t>
      </w:r>
      <w:r w:rsidRPr="003371B9" w:rsidR="003371B9">
        <w:rPr>
          <w:b/>
          <w:bCs w:val="0"/>
        </w:rPr>
        <w:t>á</w:t>
      </w:r>
      <w:r w:rsidR="003371B9">
        <w:rPr>
          <w:b/>
          <w:bCs w:val="0"/>
        </w:rPr>
        <w:t xml:space="preserve"> </w:t>
      </w:r>
      <w:r w:rsidRPr="003371B9" w:rsidR="003371B9">
        <w:rPr>
          <w:b/>
          <w:bCs w:val="0"/>
        </w:rPr>
        <w:t>r</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EC5F3F">
      <w:pPr>
        <w:pStyle w:val="Heading4"/>
      </w:pPr>
    </w:p>
    <w:p w:rsidR="00595842" w:rsidRPr="00BD7172" w:rsidP="00595842">
      <w:pPr>
        <w:jc w:val="both"/>
        <w:rPr>
          <w:b/>
        </w:rPr>
      </w:pPr>
      <w:r w:rsidR="00C37D3C">
        <w:rPr>
          <w:b/>
        </w:rPr>
        <w:t xml:space="preserve">   </w:t>
      </w:r>
      <w:r w:rsidR="00045E54">
        <w:rPr>
          <w:b/>
        </w:rPr>
        <w:t>Zuzana Aštary</w:t>
      </w:r>
      <w:r w:rsidR="003371B9">
        <w:rPr>
          <w:b/>
        </w:rPr>
        <w:t>ová</w:t>
      </w:r>
    </w:p>
    <w:p w:rsidR="00EC5F3F">
      <w:r w:rsidR="00595842">
        <w:t xml:space="preserve">  </w:t>
      </w:r>
      <w:r>
        <w:t>overovateľ</w:t>
      </w:r>
      <w:r w:rsidR="003371B9">
        <w:t>ka</w:t>
      </w:r>
      <w:r>
        <w:t xml:space="preserve"> výboru</w:t>
      </w:r>
    </w:p>
    <w:p w:rsidR="00A45E0F"/>
    <w:p w:rsidR="00A45E0F"/>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272FA8">
        <w:rPr>
          <w:b/>
        </w:rPr>
        <w:t xml:space="preserve"> </w:t>
      </w:r>
      <w:r w:rsidR="00201108">
        <w:rPr>
          <w:b/>
        </w:rPr>
        <w:t>285</w:t>
      </w:r>
    </w:p>
    <w:p w:rsidR="000D14F9" w:rsidRPr="003371B9" w:rsidP="000D14F9">
      <w:pPr>
        <w:jc w:val="right"/>
      </w:pPr>
      <w:r w:rsidR="00272FA8">
        <w:rPr>
          <w:bCs w:val="0"/>
        </w:rPr>
        <w:t>34</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3371B9">
      <w:pPr>
        <w:pStyle w:val="Heading1"/>
        <w:ind w:left="360"/>
        <w:jc w:val="center"/>
      </w:pPr>
      <w:r w:rsidR="00117627">
        <w:t>k</w:t>
      </w:r>
      <w:r w:rsidRPr="00117627" w:rsidR="00117627">
        <w:t xml:space="preserve"> </w:t>
      </w:r>
      <w:r w:rsidR="00E85590">
        <w:t>v</w:t>
      </w:r>
      <w:r w:rsidRPr="00E85590" w:rsidR="00E85590">
        <w:rPr>
          <w:bCs w:val="0"/>
        </w:rPr>
        <w:t>ládn</w:t>
      </w:r>
      <w:r w:rsidR="00E85590">
        <w:rPr>
          <w:bCs w:val="0"/>
        </w:rPr>
        <w:t>emu</w:t>
      </w:r>
      <w:r w:rsidRPr="00E85590" w:rsidR="00E85590">
        <w:rPr>
          <w:bCs w:val="0"/>
        </w:rPr>
        <w:t xml:space="preserve"> návrh</w:t>
      </w:r>
      <w:r w:rsidR="00E85590">
        <w:rPr>
          <w:bCs w:val="0"/>
        </w:rPr>
        <w:t>u</w:t>
      </w:r>
      <w:r w:rsidRPr="00E85590" w:rsidR="00E85590">
        <w:rPr>
          <w:bCs w:val="0"/>
        </w:rPr>
        <w:t xml:space="preserve"> zákona, ktorým sa mení a dopĺňa zákon č. 566/2001 Z. z. o cenných papieroch a investičných službách a o zmene a doplnení niektorých zákonov (zákon o cenných papieroch) v znení neskorších predpisov a ktorým sa menia a dopĺňajú niektoré zákony (tlač 497)</w:t>
      </w:r>
    </w:p>
    <w:p w:rsidR="00272FA8" w:rsidRPr="00272FA8" w:rsidP="00272FA8"/>
    <w:p w:rsidR="000D14F9" w:rsidP="000D14F9">
      <w:pPr>
        <w:rPr>
          <w:b/>
          <w:bCs w:val="0"/>
        </w:rPr>
      </w:pPr>
      <w:r>
        <w:rPr>
          <w:b/>
          <w:bCs w:val="0"/>
        </w:rPr>
        <w:t xml:space="preserve">––––––––––––––––––––––––––––––––––––––––––––––––––––––––––––––––––––––––––––––  </w:t>
      </w:r>
    </w:p>
    <w:p w:rsidR="000741D0" w:rsidP="008B2507">
      <w:pPr>
        <w:rPr>
          <w:b/>
          <w:bCs w:val="0"/>
        </w:rPr>
      </w:pPr>
    </w:p>
    <w:p w:rsidR="009A046C" w:rsidP="009A046C">
      <w:pPr>
        <w:numPr>
          <w:ilvl w:val="0"/>
          <w:numId w:val="34"/>
        </w:numPr>
        <w:ind w:left="142"/>
        <w:rPr>
          <w:rFonts w:eastAsia="Calibri"/>
          <w:b/>
          <w:lang w:eastAsia="en-US"/>
        </w:rPr>
      </w:pPr>
      <w:r>
        <w:rPr>
          <w:rFonts w:eastAsia="Calibri"/>
          <w:b/>
          <w:lang w:eastAsia="en-US"/>
        </w:rPr>
        <w:t>K čl. I  - nový bod</w:t>
      </w:r>
    </w:p>
    <w:p w:rsidR="00201108" w:rsidRPr="00201108" w:rsidP="009A046C">
      <w:pPr>
        <w:rPr>
          <w:rFonts w:eastAsia="Calibri"/>
          <w:bCs w:val="0"/>
          <w:lang w:eastAsia="en-US"/>
        </w:rPr>
      </w:pPr>
      <w:r w:rsidR="009A046C">
        <w:rPr>
          <w:rFonts w:eastAsia="Calibri"/>
          <w:b/>
          <w:lang w:eastAsia="en-US"/>
        </w:rPr>
        <w:t xml:space="preserve"> </w:t>
      </w:r>
      <w:r w:rsidRPr="009A046C" w:rsidR="009A046C">
        <w:rPr>
          <w:rFonts w:eastAsia="Calibri"/>
          <w:lang w:eastAsia="en-US"/>
        </w:rPr>
        <w:t>Z</w:t>
      </w:r>
      <w:r w:rsidRPr="00201108">
        <w:rPr>
          <w:rFonts w:eastAsia="Calibri"/>
          <w:bCs w:val="0"/>
          <w:lang w:eastAsia="en-US"/>
        </w:rPr>
        <w:t xml:space="preserve">a doterajší bod 12 sa vkladá nový bod </w:t>
      </w:r>
      <w:r w:rsidRPr="00201108">
        <w:rPr>
          <w:rFonts w:eastAsia="Calibri"/>
          <w:bCs w:val="0"/>
          <w:lang w:eastAsia="en-US"/>
        </w:rPr>
        <w:t>13, ktorý znie:</w:t>
      </w:r>
    </w:p>
    <w:p w:rsidR="00201108" w:rsidRPr="00201108" w:rsidP="0016446B">
      <w:pPr>
        <w:jc w:val="both"/>
        <w:rPr>
          <w:rFonts w:eastAsia="Calibri"/>
          <w:bCs w:val="0"/>
          <w:lang w:eastAsia="en-US"/>
        </w:rPr>
      </w:pPr>
      <w:r w:rsidRPr="00201108">
        <w:rPr>
          <w:rFonts w:eastAsia="Calibri"/>
          <w:bCs w:val="0"/>
          <w:lang w:eastAsia="en-US"/>
        </w:rPr>
        <w:t xml:space="preserve">„13.  V § 105 ods. 7 piata veta znie: </w:t>
      </w:r>
    </w:p>
    <w:p w:rsidR="00201108" w:rsidRPr="00201108" w:rsidP="009A046C">
      <w:pPr>
        <w:jc w:val="both"/>
        <w:rPr>
          <w:rFonts w:eastAsia="Calibri"/>
          <w:bCs w:val="0"/>
          <w:lang w:eastAsia="en-US"/>
        </w:rPr>
      </w:pPr>
      <w:r w:rsidRPr="00201108">
        <w:rPr>
          <w:rFonts w:eastAsia="Calibri"/>
          <w:bCs w:val="0"/>
          <w:lang w:eastAsia="en-US"/>
        </w:rPr>
        <w:t xml:space="preserve">„Centrálny depozitár je oprávnený poveriť člena alebo inú právnickú osobu, ktorej predmetom činnosti je poskytovanie služieb zabezpečujúcich tlač, obálkovanie, triedenie a distribúciu dokumentov alebo poskytovanie obdobných služieb, vyhotovením, spracovaním alebo odovzdaním výpisu z účtu majiteľa alebo iných dokumentov, ktoré je centrálny depozitár povinný pri zabezpečovaní svojej činnosti vyhotoviť, spracovať alebo odovzdať majiteľovi účtu.“.“. </w:t>
      </w:r>
    </w:p>
    <w:p w:rsidR="009A046C" w:rsidP="0016446B">
      <w:pPr>
        <w:ind w:left="283"/>
        <w:jc w:val="both"/>
        <w:rPr>
          <w:rFonts w:eastAsia="Calibri"/>
          <w:bCs w:val="0"/>
          <w:lang w:eastAsia="en-US"/>
        </w:rPr>
      </w:pPr>
    </w:p>
    <w:p w:rsidR="00201108" w:rsidRPr="00201108" w:rsidP="0016446B">
      <w:pPr>
        <w:ind w:left="283"/>
        <w:jc w:val="both"/>
        <w:rPr>
          <w:rFonts w:eastAsia="Calibri"/>
          <w:bCs w:val="0"/>
          <w:lang w:eastAsia="en-US"/>
        </w:rPr>
      </w:pPr>
      <w:r w:rsidRPr="00201108">
        <w:rPr>
          <w:rFonts w:eastAsia="Calibri"/>
          <w:bCs w:val="0"/>
          <w:lang w:eastAsia="en-US"/>
        </w:rPr>
        <w:t>Doterajšie body sa prečíslujú.</w:t>
      </w:r>
    </w:p>
    <w:p w:rsidR="009A046C" w:rsidP="0016446B">
      <w:pPr>
        <w:autoSpaceDE w:val="0"/>
        <w:autoSpaceDN w:val="0"/>
        <w:adjustRightInd w:val="0"/>
        <w:ind w:left="1800"/>
        <w:jc w:val="both"/>
        <w:rPr>
          <w:rFonts w:eastAsia="Calibri"/>
          <w:bCs w:val="0"/>
          <w:iCs/>
          <w:lang w:eastAsia="en-US"/>
        </w:rPr>
      </w:pPr>
    </w:p>
    <w:p w:rsidR="00201108" w:rsidRPr="00201108" w:rsidP="0016446B">
      <w:pPr>
        <w:autoSpaceDE w:val="0"/>
        <w:autoSpaceDN w:val="0"/>
        <w:adjustRightInd w:val="0"/>
        <w:ind w:left="1800"/>
        <w:jc w:val="both"/>
        <w:rPr>
          <w:rFonts w:eastAsia="Calibri"/>
          <w:bCs w:val="0"/>
          <w:iCs/>
          <w:lang w:eastAsia="en-US"/>
        </w:rPr>
      </w:pPr>
      <w:r w:rsidRPr="00201108">
        <w:rPr>
          <w:rFonts w:eastAsia="Calibri"/>
          <w:bCs w:val="0"/>
          <w:iCs/>
          <w:lang w:eastAsia="en-US"/>
        </w:rPr>
        <w:t xml:space="preserve">Uvedenú zmenu zákona navrhujeme z dôvodu zákonnej povinnosti centrálneho depozitára poslať raz ročne majiteľom účtu, ktorí majú spoplatnené vedenie účtu majiteľa, výpis z účtu majiteľa. Centrálny depozitár nemá, vzhľadom na vysoký počet spoplatnených účtov, prevádzkové, technické ani personálne možnosti na zabezpečenie tlače a distribúcie faktúr, výpisov z účtov a iných dokumentov. Platná úprava znenia zákona umožňuje centrálnemu depozitáru  poveriť vyhotovením, spracovaním alebo odovzdaním len výpisov z účtu majiteľa, a to výlučne člena centrálneho depozitára. Máloktorý člen má však priamo v predmete svojej činnosti zabezpečovanie tlače, obálkovania, triedenia a distribúcie dokumentov. Taktiež je potrebné súčasne uviesť, že súčasnú právnu úpravu možno považovať za diskriminačnú voči spoločnostiam, ktoré majú kvalifikovaný personál a zabezpečenú technológiu na hromadnú tlač a distribúciu listových zásielok, nakoľko, vzhľadom na znenie zákona, nemôže centrálny depozitár tieto spoločnosti osloviť, pretože nie sú jeho členmi. Navrhovanou zmenou zákona sa táto nerovnomernosť trhových podmienok odstráni a umožní sa centrálnemu depozitáru do budúcnosti zabezpečiť prípadnú hromadnú tlač faktúr, výpisov z účtov majiteľov a iných dokumentov u spoločnosti, ktorá ponúkne najlepšie cenové a kvalitatívne podmienky. </w:t>
      </w:r>
    </w:p>
    <w:p w:rsidR="00201108" w:rsidP="0016446B">
      <w:pPr>
        <w:rPr>
          <w:rFonts w:eastAsia="Calibri"/>
          <w:b/>
          <w:lang w:eastAsia="en-US"/>
        </w:rPr>
      </w:pPr>
    </w:p>
    <w:p w:rsidR="009A046C" w:rsidP="0016446B">
      <w:pPr>
        <w:rPr>
          <w:rFonts w:eastAsia="Calibri"/>
          <w:b/>
          <w:lang w:eastAsia="en-US"/>
        </w:rPr>
      </w:pPr>
    </w:p>
    <w:p w:rsidR="009A046C" w:rsidP="0016446B">
      <w:pPr>
        <w:rPr>
          <w:rFonts w:eastAsia="Calibri"/>
          <w:b/>
          <w:lang w:eastAsia="en-US"/>
        </w:rPr>
      </w:pPr>
    </w:p>
    <w:p w:rsidR="009A046C" w:rsidP="0016446B">
      <w:pPr>
        <w:rPr>
          <w:rFonts w:eastAsia="Calibri"/>
          <w:b/>
          <w:lang w:eastAsia="en-US"/>
        </w:rPr>
      </w:pPr>
    </w:p>
    <w:p w:rsidR="009A046C" w:rsidP="0016446B">
      <w:pPr>
        <w:rPr>
          <w:rFonts w:eastAsia="Calibri"/>
          <w:b/>
          <w:lang w:eastAsia="en-US"/>
        </w:rPr>
      </w:pPr>
    </w:p>
    <w:p w:rsidR="009A046C" w:rsidP="0016446B">
      <w:pPr>
        <w:rPr>
          <w:rFonts w:eastAsia="Calibri"/>
          <w:b/>
          <w:lang w:eastAsia="en-US"/>
        </w:rPr>
      </w:pPr>
    </w:p>
    <w:p w:rsidR="009A046C" w:rsidP="0016446B">
      <w:pPr>
        <w:rPr>
          <w:rFonts w:eastAsia="Calibri"/>
          <w:b/>
          <w:lang w:eastAsia="en-US"/>
        </w:rPr>
      </w:pPr>
    </w:p>
    <w:p w:rsidR="009A046C" w:rsidP="0016446B">
      <w:pPr>
        <w:rPr>
          <w:rFonts w:eastAsia="Calibri"/>
          <w:b/>
          <w:lang w:eastAsia="en-US"/>
        </w:rPr>
      </w:pPr>
    </w:p>
    <w:p w:rsidR="009A046C" w:rsidRPr="00201108" w:rsidP="0016446B">
      <w:pPr>
        <w:rPr>
          <w:rFonts w:eastAsia="Calibri"/>
          <w:b/>
          <w:lang w:eastAsia="en-US"/>
        </w:rPr>
      </w:pPr>
    </w:p>
    <w:p w:rsidR="009A046C" w:rsidP="009A046C">
      <w:pPr>
        <w:numPr>
          <w:ilvl w:val="0"/>
          <w:numId w:val="34"/>
        </w:numPr>
        <w:ind w:left="0"/>
        <w:rPr>
          <w:rFonts w:eastAsia="Calibri"/>
          <w:b/>
          <w:bCs w:val="0"/>
          <w:lang w:eastAsia="en-US"/>
        </w:rPr>
      </w:pPr>
      <w:r>
        <w:rPr>
          <w:rFonts w:eastAsia="Calibri"/>
          <w:b/>
          <w:bCs w:val="0"/>
          <w:lang w:eastAsia="en-US"/>
        </w:rPr>
        <w:t xml:space="preserve">K čl. I – nový bod </w:t>
      </w:r>
    </w:p>
    <w:p w:rsidR="00201108" w:rsidRPr="00201108" w:rsidP="009A046C">
      <w:pPr>
        <w:rPr>
          <w:rFonts w:eastAsia="Calibri"/>
          <w:bCs w:val="0"/>
          <w:lang w:eastAsia="en-US"/>
        </w:rPr>
      </w:pPr>
      <w:r w:rsidRPr="009A046C" w:rsidR="009A046C">
        <w:rPr>
          <w:rFonts w:eastAsia="Calibri"/>
          <w:bCs w:val="0"/>
          <w:lang w:eastAsia="en-US"/>
        </w:rPr>
        <w:t>Z</w:t>
      </w:r>
      <w:r w:rsidRPr="00201108">
        <w:rPr>
          <w:rFonts w:eastAsia="Calibri"/>
          <w:bCs w:val="0"/>
          <w:lang w:eastAsia="en-US"/>
        </w:rPr>
        <w:t>a doterajší bod 16 sa vkladá nový bod 17,  ktorý znie:</w:t>
      </w:r>
    </w:p>
    <w:p w:rsidR="00201108" w:rsidRPr="00201108" w:rsidP="0016446B">
      <w:pPr>
        <w:jc w:val="both"/>
        <w:rPr>
          <w:rFonts w:eastAsia="Calibri"/>
          <w:bCs w:val="0"/>
          <w:lang w:eastAsia="en-US"/>
        </w:rPr>
      </w:pPr>
      <w:r w:rsidRPr="00201108">
        <w:rPr>
          <w:rFonts w:eastAsia="Calibri"/>
          <w:bCs w:val="0"/>
          <w:lang w:eastAsia="en-US"/>
        </w:rPr>
        <w:t xml:space="preserve">„17.  V § 110 ods. 6 znie: </w:t>
      </w:r>
    </w:p>
    <w:p w:rsidR="00201108" w:rsidRPr="00201108" w:rsidP="0016446B">
      <w:pPr>
        <w:jc w:val="both"/>
        <w:rPr>
          <w:rFonts w:eastAsia="Calibri"/>
          <w:bCs w:val="0"/>
          <w:lang w:eastAsia="en-US"/>
        </w:rPr>
      </w:pPr>
      <w:r w:rsidRPr="00201108">
        <w:rPr>
          <w:rFonts w:eastAsia="Calibri"/>
          <w:bCs w:val="0"/>
          <w:lang w:eastAsia="en-US"/>
        </w:rPr>
        <w:t xml:space="preserve">„(6) Porušením povinnosti podľa § 109 ods. 1 nie je poskytnutie údajov z evidencie centrálneho depozitára členovi alebo inej právnickej osobe, ktorej predmetom činnosti je poskytovanie služieb zabezpečujúcich tlač, obálkovanie, triedenie a distribúciu dokumentov alebo poskytovanie obdobných služieb, ktorú centrálny depozitár poveril vyhotovením, spracovaním alebo odovzdaním výpisov z účtu majiteľa alebo iných dokumentov, ktoré je centrálny depozitár povinný pri zabezpečovaní svojej činnosti vyhotoviť, spracovať alebo odovzdať majiteľovi účtu. Člen alebo poverená právnická osoba, ktorej predmetom činnosti je poskytovanie služieb zabezpečujúcich tlač, obálkovanie, triedenie a distribúciu dokumentov alebo poskytovanie obdobných služieb, môže poskytnuté údaje použiť len na účely vykonávania činnosti, na ktorú ju poveril centrálny depozitár a je povinná ochraňovať poskytnuté údaje v rovnakom rozsahu ako centrálny depozitár.“.“. </w:t>
      </w:r>
    </w:p>
    <w:p w:rsidR="009A046C" w:rsidP="009A046C">
      <w:pPr>
        <w:jc w:val="both"/>
        <w:rPr>
          <w:rFonts w:eastAsia="Calibri"/>
          <w:bCs w:val="0"/>
          <w:lang w:eastAsia="en-US"/>
        </w:rPr>
      </w:pPr>
    </w:p>
    <w:p w:rsidR="00201108" w:rsidRPr="00201108" w:rsidP="009A046C">
      <w:pPr>
        <w:jc w:val="both"/>
        <w:rPr>
          <w:rFonts w:eastAsia="Calibri"/>
          <w:bCs w:val="0"/>
          <w:lang w:eastAsia="en-US"/>
        </w:rPr>
      </w:pPr>
      <w:r w:rsidRPr="00201108">
        <w:rPr>
          <w:rFonts w:eastAsia="Calibri"/>
          <w:bCs w:val="0"/>
          <w:lang w:eastAsia="en-US"/>
        </w:rPr>
        <w:t>Doterajšie body sa prečíslujú.</w:t>
      </w:r>
    </w:p>
    <w:p w:rsidR="009A046C" w:rsidP="0016446B">
      <w:pPr>
        <w:autoSpaceDE w:val="0"/>
        <w:autoSpaceDN w:val="0"/>
        <w:adjustRightInd w:val="0"/>
        <w:ind w:left="1800" w:firstLine="324"/>
        <w:jc w:val="both"/>
        <w:rPr>
          <w:rFonts w:eastAsia="Calibri"/>
          <w:bCs w:val="0"/>
          <w:iCs/>
          <w:u w:val="single"/>
          <w:lang w:eastAsia="en-US"/>
        </w:rPr>
      </w:pPr>
    </w:p>
    <w:p w:rsidR="00201108" w:rsidRPr="00201108" w:rsidP="0016446B">
      <w:pPr>
        <w:autoSpaceDE w:val="0"/>
        <w:autoSpaceDN w:val="0"/>
        <w:adjustRightInd w:val="0"/>
        <w:ind w:left="2124"/>
        <w:jc w:val="both"/>
        <w:rPr>
          <w:rFonts w:eastAsia="Calibri"/>
          <w:bCs w:val="0"/>
          <w:iCs/>
          <w:lang w:eastAsia="en-US"/>
        </w:rPr>
      </w:pPr>
      <w:r w:rsidRPr="00201108">
        <w:rPr>
          <w:rFonts w:eastAsia="Calibri"/>
          <w:bCs w:val="0"/>
          <w:iCs/>
          <w:lang w:eastAsia="en-US"/>
        </w:rPr>
        <w:t xml:space="preserve">Uvedená zmena súvisí so zmenou navrhovanou v bode 1 tohto pozmeňujúceho návrhu. </w:t>
      </w:r>
    </w:p>
    <w:p w:rsidR="00201108" w:rsidRPr="00201108" w:rsidP="0016446B">
      <w:pPr>
        <w:autoSpaceDE w:val="0"/>
        <w:autoSpaceDN w:val="0"/>
        <w:adjustRightInd w:val="0"/>
        <w:ind w:left="2124"/>
        <w:jc w:val="both"/>
        <w:rPr>
          <w:rFonts w:eastAsia="Calibri"/>
          <w:bCs w:val="0"/>
          <w:iCs/>
          <w:lang w:eastAsia="en-US"/>
        </w:rPr>
      </w:pPr>
    </w:p>
    <w:p w:rsidR="009A046C" w:rsidP="0016446B">
      <w:pPr>
        <w:rPr>
          <w:rFonts w:eastAsia="Calibri"/>
          <w:bCs w:val="0"/>
          <w:iCs/>
          <w:lang w:eastAsia="en-US"/>
        </w:rPr>
      </w:pPr>
    </w:p>
    <w:p w:rsidR="00201108" w:rsidRPr="009A046C" w:rsidP="009A046C">
      <w:pPr>
        <w:numPr>
          <w:ilvl w:val="0"/>
          <w:numId w:val="34"/>
        </w:numPr>
        <w:ind w:left="0"/>
        <w:rPr>
          <w:b/>
        </w:rPr>
      </w:pPr>
      <w:r w:rsidRPr="009A046C">
        <w:rPr>
          <w:b/>
        </w:rPr>
        <w:t>K čl. I 46. bodu</w:t>
      </w:r>
    </w:p>
    <w:p w:rsidR="00201108" w:rsidRPr="0016446B" w:rsidP="0016446B">
      <w:r w:rsidRPr="0016446B">
        <w:t>V § 125c ods. 5  za slová „ak sa nová“  vložiť slovo „významná“.</w:t>
      </w:r>
    </w:p>
    <w:p w:rsidR="009A046C" w:rsidP="009A046C">
      <w:pPr>
        <w:jc w:val="both"/>
      </w:pPr>
    </w:p>
    <w:p w:rsidR="00201108" w:rsidRPr="0016446B" w:rsidP="009A046C">
      <w:pPr>
        <w:ind w:left="2124"/>
        <w:jc w:val="both"/>
      </w:pPr>
      <w:r w:rsidRPr="0016446B">
        <w:t>Ide o precizovanie navrhovaného znenia § 125c ods. 5  vo väzbe na navrhované znenie § 125c ods. 1 upravujúce  skutočnosti, ktoré majú vplyv na hodnotenie cenných papierov.</w:t>
      </w:r>
    </w:p>
    <w:p w:rsidR="00201108" w:rsidP="0016446B">
      <w:pPr>
        <w:jc w:val="both"/>
      </w:pPr>
    </w:p>
    <w:p w:rsidR="009A046C" w:rsidP="0016446B">
      <w:pPr>
        <w:jc w:val="both"/>
      </w:pPr>
    </w:p>
    <w:p w:rsidR="00201108" w:rsidRPr="009A046C" w:rsidP="009A046C">
      <w:pPr>
        <w:pStyle w:val="ListParagraph"/>
        <w:numPr>
          <w:ilvl w:val="0"/>
          <w:numId w:val="34"/>
        </w:numPr>
        <w:spacing w:after="0" w:line="240" w:lineRule="auto"/>
        <w:ind w:left="0"/>
        <w:rPr>
          <w:rFonts w:ascii="Times New Roman" w:hAnsi="Times New Roman"/>
          <w:b/>
          <w:sz w:val="24"/>
          <w:szCs w:val="24"/>
        </w:rPr>
      </w:pPr>
      <w:r w:rsidRPr="009A046C">
        <w:rPr>
          <w:rFonts w:ascii="Times New Roman" w:hAnsi="Times New Roman"/>
          <w:b/>
          <w:sz w:val="24"/>
          <w:szCs w:val="24"/>
        </w:rPr>
        <w:t xml:space="preserve">K čl. I 65. bodu </w:t>
      </w:r>
    </w:p>
    <w:p w:rsidR="00201108" w:rsidRPr="0016446B" w:rsidP="009A046C">
      <w:pPr>
        <w:pStyle w:val="BodyTextIndent"/>
        <w:ind w:left="0"/>
        <w:jc w:val="both"/>
      </w:pPr>
      <w:r w:rsidRPr="0016446B">
        <w:t>V poznámke pod čiarou k odkazu 108b vložiť za slová „(Ú. v. ES L 331, 15.12.2010)“ slová „v platnom znení“.</w:t>
      </w:r>
    </w:p>
    <w:p w:rsidR="009A046C" w:rsidP="009A046C">
      <w:pPr>
        <w:jc w:val="both"/>
        <w:rPr>
          <w:rStyle w:val="Emphasis"/>
          <w:i w:val="0"/>
        </w:rPr>
      </w:pPr>
    </w:p>
    <w:p w:rsidR="00201108" w:rsidRPr="009A046C" w:rsidP="009A046C">
      <w:pPr>
        <w:ind w:left="2124"/>
        <w:jc w:val="both"/>
        <w:rPr>
          <w:rStyle w:val="Emphasis"/>
          <w:i w:val="0"/>
        </w:rPr>
      </w:pPr>
      <w:r w:rsidRPr="009A046C">
        <w:rPr>
          <w:rStyle w:val="Emphasis"/>
          <w:i w:val="0"/>
        </w:rPr>
        <w:t xml:space="preserve">Ide o legislatívno-technickú úpravu súvisiacu so zaužívaným spôsobom uvádzania právne záväzných aktov Európskej únie v poznámkach pod čiarou. </w:t>
      </w:r>
    </w:p>
    <w:p w:rsidR="00201108" w:rsidP="0016446B">
      <w:pPr>
        <w:jc w:val="both"/>
      </w:pPr>
    </w:p>
    <w:p w:rsidR="009A046C" w:rsidP="0016446B">
      <w:pPr>
        <w:jc w:val="both"/>
      </w:pPr>
    </w:p>
    <w:p w:rsidR="00201108" w:rsidRPr="009A046C" w:rsidP="009A046C">
      <w:pPr>
        <w:numPr>
          <w:ilvl w:val="0"/>
          <w:numId w:val="34"/>
        </w:numPr>
        <w:ind w:left="0"/>
        <w:rPr>
          <w:b/>
        </w:rPr>
      </w:pPr>
      <w:r w:rsidRPr="009A046C">
        <w:rPr>
          <w:b/>
        </w:rPr>
        <w:t>K čl. I 73. bodu</w:t>
      </w:r>
    </w:p>
    <w:p w:rsidR="00201108" w:rsidRPr="0016446B" w:rsidP="0016446B">
      <w:r w:rsidRPr="0016446B">
        <w:t>Znenie úvodnej vety upraviť takto: „Za § 173o sa vkladá § 173p, ktorý vrátane nadpisu znie“:  a   súčasne § 173o označiť ako § 173p.</w:t>
      </w:r>
    </w:p>
    <w:p w:rsidR="009A046C" w:rsidP="009A046C">
      <w:pPr>
        <w:jc w:val="both"/>
      </w:pPr>
    </w:p>
    <w:p w:rsidR="00201108" w:rsidRPr="0016446B" w:rsidP="009A046C">
      <w:pPr>
        <w:ind w:left="2124"/>
        <w:jc w:val="both"/>
      </w:pPr>
      <w:r w:rsidRPr="0016446B">
        <w:t>Návrh reaguje na ostatnú novelizáciu zákona č. 566/2001 Z. z. o cenných papieroch a investičných službách a o zmene a doplnení niektorých zákonov (zákon o cenných papieroch) zákonom  (čl. III)  z 19. októbra 2011, ktorým sa mení a dopĺňa zákon č. 492/ 2009 Z. z. o platobných službách a o zmene a doplnení  niektorých zákonov v znení zákona č. 130/2011 Z. z. a ktorým sa menia a dopĺňa</w:t>
      </w:r>
      <w:r w:rsidRPr="0016446B">
        <w:t>jú niektoré zákony.</w:t>
      </w:r>
    </w:p>
    <w:p w:rsidR="00201108" w:rsidRPr="0016446B" w:rsidP="0016446B">
      <w:pPr>
        <w:ind w:left="3420"/>
        <w:jc w:val="both"/>
      </w:pPr>
    </w:p>
    <w:p w:rsidR="00201108" w:rsidRPr="0016446B" w:rsidP="0016446B">
      <w:pPr>
        <w:ind w:left="3420"/>
        <w:jc w:val="both"/>
      </w:pPr>
    </w:p>
    <w:p w:rsidR="00201108" w:rsidRPr="0016446B" w:rsidP="0016446B">
      <w:pPr>
        <w:ind w:left="3420"/>
        <w:jc w:val="both"/>
      </w:pPr>
    </w:p>
    <w:p w:rsidR="00201108" w:rsidRPr="0016446B" w:rsidP="0016446B">
      <w:pPr>
        <w:ind w:left="3420"/>
        <w:jc w:val="both"/>
      </w:pPr>
    </w:p>
    <w:p w:rsidR="00201108" w:rsidRPr="0016446B" w:rsidP="0016446B">
      <w:pPr>
        <w:ind w:left="3420"/>
        <w:jc w:val="both"/>
      </w:pPr>
    </w:p>
    <w:p w:rsidR="00201108" w:rsidRPr="0016446B" w:rsidP="0016446B">
      <w:pPr>
        <w:ind w:left="3420"/>
        <w:jc w:val="both"/>
      </w:pPr>
    </w:p>
    <w:p w:rsidR="00201108" w:rsidRPr="0016446B" w:rsidP="0016446B">
      <w:pPr>
        <w:ind w:left="3420"/>
        <w:jc w:val="both"/>
      </w:pPr>
    </w:p>
    <w:p w:rsidR="00201108" w:rsidRPr="00201108" w:rsidP="009A046C">
      <w:pPr>
        <w:numPr>
          <w:ilvl w:val="0"/>
          <w:numId w:val="34"/>
        </w:numPr>
        <w:ind w:left="0" w:hanging="284"/>
        <w:jc w:val="both"/>
        <w:rPr>
          <w:rFonts w:eastAsia="Calibri"/>
          <w:b/>
          <w:bCs w:val="0"/>
          <w:lang w:eastAsia="en-US"/>
        </w:rPr>
      </w:pPr>
      <w:r w:rsidRPr="00201108">
        <w:rPr>
          <w:rFonts w:eastAsia="Calibri"/>
          <w:b/>
          <w:bCs w:val="0"/>
          <w:lang w:eastAsia="en-US"/>
        </w:rPr>
        <w:t xml:space="preserve"> Za článok II sa vkladá nový článok III, ktorý znie:</w:t>
      </w:r>
    </w:p>
    <w:p w:rsidR="00201108" w:rsidRPr="00201108" w:rsidP="0016446B">
      <w:pPr>
        <w:jc w:val="both"/>
        <w:rPr>
          <w:rFonts w:eastAsia="Calibri"/>
          <w:bCs w:val="0"/>
          <w:lang w:eastAsia="en-US"/>
        </w:rPr>
      </w:pPr>
    </w:p>
    <w:p w:rsidR="00201108" w:rsidRPr="00201108" w:rsidP="0016446B">
      <w:pPr>
        <w:jc w:val="center"/>
        <w:rPr>
          <w:rFonts w:eastAsia="Calibri"/>
          <w:bCs w:val="0"/>
          <w:lang w:eastAsia="en-US"/>
        </w:rPr>
      </w:pPr>
      <w:r w:rsidRPr="00201108">
        <w:rPr>
          <w:rFonts w:eastAsia="Calibri"/>
          <w:bCs w:val="0"/>
          <w:lang w:eastAsia="en-US"/>
        </w:rPr>
        <w:t>„Čl. III</w:t>
      </w:r>
    </w:p>
    <w:p w:rsidR="00201108" w:rsidRPr="00201108" w:rsidP="0016446B">
      <w:pPr>
        <w:jc w:val="both"/>
        <w:rPr>
          <w:rFonts w:eastAsia="Calibri"/>
          <w:bCs w:val="0"/>
          <w:lang w:eastAsia="en-US"/>
        </w:rPr>
      </w:pPr>
    </w:p>
    <w:p w:rsidR="00201108" w:rsidRPr="00201108" w:rsidP="0016446B">
      <w:pPr>
        <w:jc w:val="both"/>
        <w:rPr>
          <w:rFonts w:eastAsia="Calibri"/>
          <w:bCs w:val="0"/>
          <w:lang w:eastAsia="en-US"/>
        </w:rPr>
      </w:pPr>
      <w:r w:rsidRPr="00201108">
        <w:rPr>
          <w:rFonts w:eastAsia="Calibri"/>
          <w:bCs w:val="0"/>
          <w:lang w:eastAsia="en-US"/>
        </w:rPr>
        <w:t>Zákon č. 381/2001 Z. z. o povinnom zmluvnom poistení zodpovednosti za škodu spôsobenú prevádzkou motorového vozidla a o zmene a doplnení niektorých zákonov</w:t>
      </w:r>
      <w:r w:rsidRPr="00201108">
        <w:rPr>
          <w:rFonts w:eastAsia="Calibri"/>
          <w:bCs w:val="0"/>
          <w:lang w:eastAsia="en-US"/>
        </w:rPr>
        <w:t xml:space="preserve"> v znení zákona č. 95/2002 Z. z., zákona č. 99/2003 Z. z., zákona č. 430/2003 Z. z., zákona č. 595/2003 Z. z., zákona č. 186/2004 Z. z., zákona č. 645/2004 Z. z., zákona č. 747/2004 Z. z., zákona č. 91/2005 Z. z., zákona č. 188/2006 Z. z., zákona č. 110/2007 Z. z., zákona č. 8/2009 Z. z.  a zákona č. 144/2010 Z. z. sa mení a dopĺňa takto:</w:t>
      </w:r>
    </w:p>
    <w:p w:rsidR="00201108" w:rsidRPr="00201108" w:rsidP="0016446B">
      <w:pPr>
        <w:rPr>
          <w:rFonts w:eastAsia="Calibri"/>
          <w:bCs w:val="0"/>
          <w:lang w:eastAsia="en-US"/>
        </w:rPr>
      </w:pPr>
    </w:p>
    <w:p w:rsidR="00201108" w:rsidRPr="00201108" w:rsidP="0016446B">
      <w:pPr>
        <w:numPr>
          <w:ilvl w:val="0"/>
          <w:numId w:val="31"/>
        </w:numPr>
        <w:jc w:val="both"/>
        <w:rPr>
          <w:rFonts w:eastAsia="Calibri"/>
          <w:bCs w:val="0"/>
          <w:lang w:eastAsia="en-US"/>
        </w:rPr>
      </w:pPr>
      <w:r w:rsidRPr="00201108">
        <w:rPr>
          <w:rFonts w:eastAsia="Calibri"/>
          <w:bCs w:val="0"/>
          <w:lang w:eastAsia="en-US"/>
        </w:rPr>
        <w:t>V § 2 písm. b) sa na konci pripájajú tieto slová: „alebo motorové vozidlo, ktoré bolo odoslané do Slovenskej republiky z iného členského štátu, ak je Slovenská republika miestom určenia, a to po dobu 30 dní odo dňa, kedy kupujúci prevzal motorové vozidlo aj keď motorové vozidlo nebolo registrované v Slovenskej republike“.</w:t>
      </w:r>
    </w:p>
    <w:p w:rsidR="00201108" w:rsidRPr="00201108" w:rsidP="0016446B">
      <w:pPr>
        <w:jc w:val="both"/>
        <w:rPr>
          <w:rFonts w:eastAsia="Calibri"/>
          <w:bCs w:val="0"/>
          <w:lang w:eastAsia="en-US"/>
        </w:rPr>
      </w:pPr>
    </w:p>
    <w:p w:rsidR="00201108" w:rsidRPr="00201108" w:rsidP="009A046C">
      <w:pPr>
        <w:tabs>
          <w:tab w:val="left" w:pos="2127"/>
        </w:tabs>
        <w:ind w:left="2124"/>
        <w:jc w:val="both"/>
        <w:rPr>
          <w:rFonts w:eastAsia="Calibri"/>
          <w:bCs w:val="0"/>
          <w:lang w:eastAsia="en-US"/>
        </w:rPr>
      </w:pPr>
      <w:r w:rsidR="009A046C">
        <w:rPr>
          <w:rFonts w:eastAsia="Calibri"/>
          <w:bCs w:val="0"/>
          <w:lang w:eastAsia="en-US"/>
        </w:rPr>
        <w:tab/>
      </w:r>
      <w:r w:rsidRPr="00201108">
        <w:rPr>
          <w:rFonts w:eastAsia="Calibri"/>
          <w:bCs w:val="0"/>
          <w:lang w:eastAsia="en-US"/>
        </w:rPr>
        <w:t>Doplnením ustanovenia § 2 písm. b) sa upravuje režim motorových vozidiel, ktoré sú nakupované v iných členských štátoch a ktoré sú určené na vývoz do Slovenskej republiky. Táto zmena, ktorá je v súlade s čl. 4a smernice Európskeho parlamentu a Rady 2005/14/ES je potrebná z dôvodu, že tieto motorové vozidlá by mal poisťovať poisťovateľ v  tom členskom štáte, do ktorého sa vozidlo importuje. Tieto motorové vozidlá sa budú považovať za tuzemské a budú sa môcť poistiť u poisťovateľa na území Slovenskej republiky.</w:t>
      </w:r>
    </w:p>
    <w:p w:rsidR="00201108" w:rsidRPr="00201108" w:rsidP="0016446B">
      <w:pPr>
        <w:ind w:left="2832"/>
        <w:jc w:val="both"/>
        <w:rPr>
          <w:rFonts w:eastAsia="Calibri"/>
          <w:bCs w:val="0"/>
          <w:lang w:eastAsia="en-US"/>
        </w:rPr>
      </w:pPr>
    </w:p>
    <w:p w:rsidR="00201108" w:rsidRPr="00201108" w:rsidP="0016446B">
      <w:pPr>
        <w:ind w:left="2832"/>
        <w:jc w:val="both"/>
        <w:rPr>
          <w:rFonts w:eastAsia="Calibri"/>
          <w:bCs w:val="0"/>
          <w:lang w:eastAsia="en-US"/>
        </w:rPr>
      </w:pPr>
    </w:p>
    <w:p w:rsidR="00201108" w:rsidRPr="00201108" w:rsidP="0016446B">
      <w:pPr>
        <w:numPr>
          <w:ilvl w:val="0"/>
          <w:numId w:val="31"/>
        </w:numPr>
        <w:rPr>
          <w:rFonts w:eastAsia="Calibri"/>
          <w:bCs w:val="0"/>
          <w:lang w:eastAsia="en-US"/>
        </w:rPr>
      </w:pPr>
      <w:r w:rsidRPr="00201108">
        <w:rPr>
          <w:rFonts w:eastAsia="Calibri"/>
          <w:bCs w:val="0"/>
          <w:lang w:eastAsia="en-US"/>
        </w:rPr>
        <w:t>V § 11 odsek 14 znie:</w:t>
      </w:r>
    </w:p>
    <w:p w:rsidR="00201108" w:rsidRPr="00201108" w:rsidP="0016446B">
      <w:pPr>
        <w:jc w:val="both"/>
        <w:rPr>
          <w:rFonts w:eastAsia="Calibri"/>
          <w:bCs w:val="0"/>
          <w:lang w:eastAsia="en-US"/>
        </w:rPr>
      </w:pPr>
      <w:r w:rsidRPr="00201108">
        <w:rPr>
          <w:rFonts w:eastAsia="Calibri"/>
          <w:bCs w:val="0"/>
          <w:lang w:eastAsia="en-US"/>
        </w:rPr>
        <w:t xml:space="preserve">„(14) Poisťovateľ je povinný poistníkovi písomne oznámiť najneskôr desať týždňov pred uplynutím poistného obdobia </w:t>
      </w:r>
    </w:p>
    <w:p w:rsidR="00201108" w:rsidRPr="00201108" w:rsidP="0016446B">
      <w:pPr>
        <w:numPr>
          <w:ilvl w:val="0"/>
          <w:numId w:val="32"/>
        </w:numPr>
        <w:jc w:val="both"/>
        <w:rPr>
          <w:rFonts w:eastAsia="Calibri"/>
          <w:bCs w:val="0"/>
          <w:lang w:eastAsia="en-US"/>
        </w:rPr>
      </w:pPr>
      <w:r w:rsidRPr="00201108">
        <w:rPr>
          <w:rFonts w:eastAsia="Calibri"/>
          <w:bCs w:val="0"/>
          <w:lang w:eastAsia="en-US"/>
        </w:rPr>
        <w:t>výšku poistného podľa § 8 na nasledujúce poistné obdobie,</w:t>
      </w:r>
    </w:p>
    <w:p w:rsidR="00201108" w:rsidRPr="00201108" w:rsidP="0016446B">
      <w:pPr>
        <w:numPr>
          <w:ilvl w:val="0"/>
          <w:numId w:val="32"/>
        </w:numPr>
        <w:jc w:val="both"/>
        <w:rPr>
          <w:rFonts w:eastAsia="Calibri"/>
          <w:bCs w:val="0"/>
          <w:lang w:eastAsia="en-US"/>
        </w:rPr>
      </w:pPr>
      <w:r w:rsidRPr="00201108">
        <w:rPr>
          <w:rFonts w:eastAsia="Calibri"/>
          <w:bCs w:val="0"/>
          <w:lang w:eastAsia="en-US"/>
        </w:rPr>
        <w:t>dátum skončenia poistného obdobia,</w:t>
      </w:r>
    </w:p>
    <w:p w:rsidR="00201108" w:rsidRPr="00201108" w:rsidP="0016446B">
      <w:pPr>
        <w:numPr>
          <w:ilvl w:val="0"/>
          <w:numId w:val="32"/>
        </w:numPr>
        <w:jc w:val="both"/>
        <w:rPr>
          <w:rFonts w:eastAsia="Calibri"/>
          <w:bCs w:val="0"/>
          <w:lang w:eastAsia="en-US"/>
        </w:rPr>
      </w:pPr>
      <w:r w:rsidRPr="00201108">
        <w:rPr>
          <w:rFonts w:eastAsia="Calibri"/>
          <w:bCs w:val="0"/>
          <w:lang w:eastAsia="en-US"/>
        </w:rPr>
        <w:t>termín do ktorého je možné podať výpoveď príslušnej poistnej zmluvy podľa osobitného predpisu.</w:t>
      </w:r>
      <w:r w:rsidRPr="00201108">
        <w:rPr>
          <w:rFonts w:eastAsia="Calibri"/>
          <w:bCs w:val="0"/>
          <w:vertAlign w:val="superscript"/>
          <w:lang w:eastAsia="en-US"/>
        </w:rPr>
        <w:t>15ca)</w:t>
      </w:r>
      <w:r w:rsidRPr="00201108">
        <w:rPr>
          <w:rFonts w:eastAsia="Calibri"/>
          <w:bCs w:val="0"/>
          <w:lang w:eastAsia="en-US"/>
        </w:rPr>
        <w:t>“.</w:t>
      </w:r>
    </w:p>
    <w:p w:rsidR="00201108" w:rsidRPr="00201108" w:rsidP="0016446B">
      <w:pPr>
        <w:jc w:val="both"/>
        <w:rPr>
          <w:rFonts w:eastAsia="Calibri"/>
          <w:bCs w:val="0"/>
          <w:lang w:eastAsia="en-US"/>
        </w:rPr>
      </w:pPr>
      <w:r w:rsidRPr="00201108">
        <w:rPr>
          <w:rFonts w:eastAsia="Calibri"/>
          <w:bCs w:val="0"/>
          <w:lang w:eastAsia="en-US"/>
        </w:rPr>
        <w:t>Poznámka pod čiarou k odkazu 15ca znie:</w:t>
      </w:r>
    </w:p>
    <w:p w:rsidR="00201108" w:rsidRPr="00201108" w:rsidP="0016446B">
      <w:pPr>
        <w:jc w:val="both"/>
        <w:rPr>
          <w:rFonts w:eastAsia="Calibri"/>
          <w:bCs w:val="0"/>
          <w:lang w:eastAsia="en-US"/>
        </w:rPr>
      </w:pPr>
      <w:r w:rsidRPr="00201108">
        <w:rPr>
          <w:rFonts w:eastAsia="Calibri"/>
          <w:bCs w:val="0"/>
          <w:lang w:eastAsia="en-US"/>
        </w:rPr>
        <w:t>„15ca) § 800 ods. 1 Občianskeho zákonníka.“.“.</w:t>
      </w:r>
    </w:p>
    <w:p w:rsidR="00201108" w:rsidRPr="00201108" w:rsidP="0016446B">
      <w:pPr>
        <w:jc w:val="both"/>
        <w:rPr>
          <w:rFonts w:eastAsia="Calibri"/>
          <w:bCs w:val="0"/>
          <w:lang w:eastAsia="en-US"/>
        </w:rPr>
      </w:pPr>
    </w:p>
    <w:p w:rsidR="00201108" w:rsidRPr="00201108" w:rsidP="0016446B">
      <w:pPr>
        <w:jc w:val="both"/>
        <w:rPr>
          <w:rFonts w:eastAsia="Calibri"/>
          <w:bCs w:val="0"/>
          <w:lang w:eastAsia="en-US"/>
        </w:rPr>
      </w:pPr>
      <w:r w:rsidRPr="00201108">
        <w:rPr>
          <w:rFonts w:eastAsia="Calibri"/>
          <w:bCs w:val="0"/>
          <w:lang w:eastAsia="en-US"/>
        </w:rPr>
        <w:t>Doterajšie čl. III až VIII sa označujú ako čl. IV až IX.</w:t>
      </w:r>
    </w:p>
    <w:p w:rsidR="00201108" w:rsidRPr="00201108" w:rsidP="0016446B">
      <w:pPr>
        <w:ind w:left="2124" w:firstLine="708"/>
        <w:jc w:val="both"/>
        <w:rPr>
          <w:rFonts w:eastAsia="Calibri"/>
          <w:bCs w:val="0"/>
          <w:u w:val="single"/>
          <w:lang w:eastAsia="en-US"/>
        </w:rPr>
      </w:pPr>
    </w:p>
    <w:p w:rsidR="00201108" w:rsidRPr="00201108" w:rsidP="009A046C">
      <w:pPr>
        <w:ind w:left="2124"/>
        <w:jc w:val="both"/>
        <w:rPr>
          <w:rFonts w:eastAsia="Calibri"/>
          <w:bCs w:val="0"/>
          <w:lang w:eastAsia="en-US"/>
        </w:rPr>
      </w:pPr>
      <w:r w:rsidRPr="00201108">
        <w:rPr>
          <w:rFonts w:eastAsia="Calibri"/>
          <w:bCs w:val="0"/>
          <w:lang w:eastAsia="en-US"/>
        </w:rPr>
        <w:t>Navrhovanou zmenou sa zavádza informačná povinnosť poisťovateľa voči poistníkovi. Tým sa reaguje na skutočnosť, že väčšina poistníkov už má uzavretú poistnú zmluvu na technický rok. Klient bude informovaný, kedy mu končí poistné obdobie a zároveň bude informovaný o termíne, do ktorého môže podať výpoveď poistnej zmluvy. Klient bude taktiež informovaný o výške poistného a bude mať dostatočný časový priestor na porovnanie ponúk konkurenčných subjektov a bude mať možnosť vybrať si najvýhodnejšiu ponuku, pričom obdobná úprava je aj pri hypotekárnych úveroch a iných úveroch ručených nehnuteľnosťou (pri refixácii sa musí sadzba oznámiť 2 mesiace vopred). Zmena smeruje aj k posilneniu konkurencie pri produktoch povinného zmluvného poistenia.</w:t>
      </w:r>
    </w:p>
    <w:p w:rsidR="00201108" w:rsidRPr="0016446B" w:rsidP="0016446B">
      <w:pPr>
        <w:rPr>
          <w:b/>
          <w:bCs w:val="0"/>
        </w:rPr>
      </w:pPr>
    </w:p>
    <w:p w:rsidR="00201108" w:rsidP="0016446B">
      <w:pPr>
        <w:rPr>
          <w:b/>
          <w:bCs w:val="0"/>
        </w:rPr>
      </w:pPr>
    </w:p>
    <w:p w:rsidR="009A046C" w:rsidP="0016446B">
      <w:pPr>
        <w:rPr>
          <w:b/>
          <w:bCs w:val="0"/>
        </w:rPr>
      </w:pPr>
    </w:p>
    <w:p w:rsidR="009A046C" w:rsidP="0016446B">
      <w:pPr>
        <w:rPr>
          <w:b/>
          <w:bCs w:val="0"/>
        </w:rPr>
      </w:pPr>
    </w:p>
    <w:p w:rsidR="009A046C" w:rsidP="0016446B">
      <w:pPr>
        <w:rPr>
          <w:b/>
          <w:bCs w:val="0"/>
        </w:rPr>
      </w:pPr>
    </w:p>
    <w:p w:rsidR="009A046C" w:rsidRPr="0016446B" w:rsidP="0016446B">
      <w:pPr>
        <w:rPr>
          <w:b/>
          <w:bCs w:val="0"/>
        </w:rPr>
      </w:pPr>
    </w:p>
    <w:p w:rsidR="00201108" w:rsidRPr="009A046C" w:rsidP="009A046C">
      <w:pPr>
        <w:numPr>
          <w:ilvl w:val="0"/>
          <w:numId w:val="34"/>
        </w:numPr>
        <w:tabs>
          <w:tab w:val="left" w:pos="284"/>
        </w:tabs>
        <w:ind w:left="0" w:firstLine="0"/>
        <w:rPr>
          <w:b/>
        </w:rPr>
      </w:pPr>
      <w:r w:rsidR="009A046C">
        <w:rPr>
          <w:b/>
        </w:rPr>
        <w:t>K čl. III - úvodná</w:t>
      </w:r>
      <w:r w:rsidRPr="009A046C">
        <w:rPr>
          <w:b/>
        </w:rPr>
        <w:t xml:space="preserve"> vet</w:t>
      </w:r>
      <w:r w:rsidR="009A046C">
        <w:rPr>
          <w:b/>
        </w:rPr>
        <w:t>a</w:t>
      </w:r>
    </w:p>
    <w:p w:rsidR="00201108" w:rsidRPr="0016446B" w:rsidP="009A046C">
      <w:pPr>
        <w:ind w:left="240"/>
      </w:pPr>
      <w:r w:rsidRPr="0016446B">
        <w:t>V čl. III v úvodnej vete spojku a za slovami „zákona č. 46/2011 Z. z. nahradiť čiarkou a za slová „zákona  č. 130/2011 Z. z.“  vložiť slová „a zákona č. 314/2011 Z. z.“.</w:t>
      </w:r>
    </w:p>
    <w:p w:rsidR="009A046C" w:rsidP="009A046C">
      <w:pPr>
        <w:jc w:val="both"/>
      </w:pPr>
    </w:p>
    <w:p w:rsidR="00201108" w:rsidRPr="0016446B" w:rsidP="009A046C">
      <w:pPr>
        <w:ind w:left="2124"/>
        <w:jc w:val="both"/>
      </w:pPr>
      <w:r w:rsidRPr="0016446B">
        <w:t>Ide o legislatívno-technickú úpravu - doplnenie ďalšej novelizácie zákona č. 483/2001 Z. z. o bankách a o zmene a doplnení niektorých zákonov.</w:t>
      </w:r>
    </w:p>
    <w:p w:rsidR="00201108" w:rsidP="0016446B"/>
    <w:p w:rsidR="009A046C" w:rsidP="0016446B"/>
    <w:p w:rsidR="009A046C" w:rsidRPr="0016446B" w:rsidP="0016446B"/>
    <w:p w:rsidR="00201108" w:rsidRPr="009A046C" w:rsidP="009A046C">
      <w:pPr>
        <w:numPr>
          <w:ilvl w:val="0"/>
          <w:numId w:val="34"/>
        </w:numPr>
        <w:ind w:left="284"/>
        <w:rPr>
          <w:b/>
        </w:rPr>
      </w:pPr>
      <w:r w:rsidRPr="009A046C">
        <w:rPr>
          <w:b/>
        </w:rPr>
        <w:t>K čl. III 27. bodu</w:t>
      </w:r>
    </w:p>
    <w:p w:rsidR="00201108" w:rsidRPr="0016446B" w:rsidP="009A046C">
      <w:pPr>
        <w:pStyle w:val="BodyTextIndent"/>
        <w:ind w:left="284"/>
        <w:jc w:val="both"/>
      </w:pPr>
      <w:r w:rsidRPr="0016446B">
        <w:t>V poznámke pod čiarou k odkazu  45ad  nahradiť slová „Čl. 54 nariadenia (EÚ) č. 1094/2010.“ slovami  „Čl. 54 nariadenia Európskeho parlamentu a Rady (EÚ) č. 1094/2010 z 24. novembra 2010, ktorým sa zriaďuje Európsky orgán dohľadu (Európsky orgán pre poisťovníctvo a dôchodkové poistenie zamestnancov) a ktorým sa mení a dopĺňa rozhodnutie č. 716/2009/ES  a zrušuje sa rozhodnutie Komisie 2009/79/ES (Ú. v. EÚ L 331, 15. 12. 2010).“  a slová „Čl. 54 nariadenia (EÚ) č. 1095/2010.“ nahradiť slovami „Čl. 54 nariadenia Európskeho parlamentu a Rady (EÚ) č. 1095/2010 z 24. novembra 2010, ktorým sa zriaďuje Európsky orgán dohľadu (Európsky orgán pre cenné papiere a trhy) a ktorým sa mení a dopĺňa  rozhodnutie č. 716/2009/ES a zrušuje rozhodnutie Komisie 2009/77/ES (Ú. v. EÚ L 331, 15. 12. 2010).“.</w:t>
      </w:r>
    </w:p>
    <w:p w:rsidR="009A046C" w:rsidP="009A046C">
      <w:pPr>
        <w:jc w:val="both"/>
        <w:rPr>
          <w:rStyle w:val="Emphasis"/>
          <w:i w:val="0"/>
        </w:rPr>
      </w:pPr>
    </w:p>
    <w:p w:rsidR="00201108" w:rsidRPr="009A046C" w:rsidP="009A046C">
      <w:pPr>
        <w:ind w:left="2124"/>
        <w:jc w:val="both"/>
        <w:rPr>
          <w:rStyle w:val="Emphasis"/>
          <w:i w:val="0"/>
          <w:iCs w:val="0"/>
        </w:rPr>
      </w:pPr>
      <w:r w:rsidRPr="009A046C">
        <w:rPr>
          <w:rStyle w:val="Emphasis"/>
          <w:i w:val="0"/>
        </w:rPr>
        <w:t>Ide o legislatívno-technické úpravy súvisiace so zaužívaným spôsobom uvádzania právne záväzných aktov Európskej únie v poznámkach pod čiarou.</w:t>
      </w:r>
    </w:p>
    <w:p w:rsidR="00201108" w:rsidP="0016446B"/>
    <w:p w:rsidR="009A046C" w:rsidP="0016446B"/>
    <w:p w:rsidR="009A046C" w:rsidRPr="009A046C" w:rsidP="0016446B"/>
    <w:p w:rsidR="00201108" w:rsidRPr="009A046C" w:rsidP="009A046C">
      <w:pPr>
        <w:numPr>
          <w:ilvl w:val="0"/>
          <w:numId w:val="34"/>
        </w:numPr>
        <w:ind w:left="284"/>
        <w:rPr>
          <w:b/>
        </w:rPr>
      </w:pPr>
      <w:r w:rsidRPr="009A046C">
        <w:rPr>
          <w:b/>
        </w:rPr>
        <w:t>K čl. III 30. bodu</w:t>
      </w:r>
    </w:p>
    <w:p w:rsidR="00201108" w:rsidRPr="0016446B" w:rsidP="009A046C">
      <w:pPr>
        <w:pStyle w:val="BodyTextIndent"/>
        <w:ind w:left="284"/>
        <w:jc w:val="both"/>
      </w:pPr>
      <w:r w:rsidRPr="0016446B">
        <w:t xml:space="preserve">V poznámke pod čiarou k odkazu  45d  nahradiť slová „Čl. </w:t>
      </w:r>
      <w:r w:rsidRPr="0087118F" w:rsidR="00AE1F88">
        <w:t>15</w:t>
      </w:r>
      <w:r w:rsidR="00AE1F88">
        <w:rPr>
          <w:color w:val="FF0000"/>
        </w:rPr>
        <w:t xml:space="preserve"> </w:t>
      </w:r>
      <w:r w:rsidRPr="0016446B">
        <w:t xml:space="preserve">nariadenia (EÚ) č. 1092/2010.“ slovami  „Čl. </w:t>
      </w:r>
      <w:r w:rsidRPr="0087118F" w:rsidR="00AE1F88">
        <w:t>15</w:t>
      </w:r>
      <w:r w:rsidR="0087118F">
        <w:rPr>
          <w:color w:val="FF0000"/>
        </w:rPr>
        <w:t xml:space="preserve"> </w:t>
      </w:r>
      <w:r w:rsidRPr="0016446B">
        <w:t>nariadenia Európskeho parlamentu a Rady (EÚ) č. 1092/2010 z 24. novembra 2010 o makroprudenciálnom dohľade Európskej únie nad finančným systémom a o zriadení Európskeho výboru pre systémové riziká (Ú. v. EÚ L 331, 15. 12. 2010).“.</w:t>
      </w:r>
    </w:p>
    <w:p w:rsidR="009A046C" w:rsidP="009A046C">
      <w:pPr>
        <w:jc w:val="both"/>
        <w:rPr>
          <w:rStyle w:val="Emphasis"/>
        </w:rPr>
      </w:pPr>
    </w:p>
    <w:p w:rsidR="00201108" w:rsidRPr="009A046C" w:rsidP="009A046C">
      <w:pPr>
        <w:ind w:left="2124"/>
        <w:jc w:val="both"/>
        <w:rPr>
          <w:rStyle w:val="Emphasis"/>
          <w:i w:val="0"/>
          <w:iCs w:val="0"/>
        </w:rPr>
      </w:pPr>
      <w:r w:rsidRPr="009A046C">
        <w:rPr>
          <w:rStyle w:val="Emphasis"/>
          <w:i w:val="0"/>
        </w:rPr>
        <w:t>Ide o legislatívno-technickú úpravu súvisiacu so zaužívaným spôsobom uvádzania právne záväzných aktov Európskej únie v poznámkach pod čiarou.</w:t>
      </w:r>
    </w:p>
    <w:p w:rsidR="00201108" w:rsidP="0016446B"/>
    <w:p w:rsidR="009A046C" w:rsidP="0016446B"/>
    <w:p w:rsidR="00201108" w:rsidRPr="009A046C" w:rsidP="009A046C">
      <w:pPr>
        <w:numPr>
          <w:ilvl w:val="0"/>
          <w:numId w:val="34"/>
        </w:numPr>
        <w:ind w:left="284"/>
        <w:rPr>
          <w:b/>
        </w:rPr>
      </w:pPr>
      <w:r w:rsidRPr="009A046C">
        <w:rPr>
          <w:b/>
        </w:rPr>
        <w:t xml:space="preserve">K čl. VI </w:t>
      </w:r>
      <w:r w:rsidR="00697397">
        <w:rPr>
          <w:b/>
        </w:rPr>
        <w:t>-</w:t>
      </w:r>
      <w:r w:rsidRPr="009A046C">
        <w:rPr>
          <w:b/>
        </w:rPr>
        <w:t xml:space="preserve"> úvodn</w:t>
      </w:r>
      <w:r w:rsidR="00697397">
        <w:rPr>
          <w:b/>
        </w:rPr>
        <w:t>á</w:t>
      </w:r>
      <w:r w:rsidRPr="009A046C">
        <w:rPr>
          <w:b/>
        </w:rPr>
        <w:t xml:space="preserve"> vet</w:t>
      </w:r>
      <w:r w:rsidR="00697397">
        <w:rPr>
          <w:b/>
        </w:rPr>
        <w:t>a</w:t>
      </w:r>
    </w:p>
    <w:p w:rsidR="00201108" w:rsidRPr="0016446B" w:rsidP="009A046C">
      <w:pPr>
        <w:ind w:left="240"/>
      </w:pPr>
      <w:r w:rsidRPr="0016446B">
        <w:t>V čl. VI v úvodnej vete spojku a za slovami „zákona č. 129/2010 Z. z.“ nahradiť čiarkou a za slová „zákona č.1 30/2011 Z. z.“ vložiť slová „a zákona č. 332/2011 Z. z.“.</w:t>
      </w:r>
    </w:p>
    <w:p w:rsidR="009A046C" w:rsidP="009A046C">
      <w:pPr>
        <w:jc w:val="both"/>
      </w:pPr>
    </w:p>
    <w:p w:rsidR="00201108" w:rsidRPr="0016446B" w:rsidP="009A046C">
      <w:pPr>
        <w:ind w:left="2124"/>
        <w:jc w:val="both"/>
      </w:pPr>
      <w:r w:rsidRPr="0016446B">
        <w:t>Ide o legislatívno-technickú úpravu- doplnenie ďalšej novelizácie zákona  č. 8/2008 Z. z. o poisťovníctve a o zmene a doplnení niektorých zákonov.</w:t>
      </w:r>
    </w:p>
    <w:p w:rsidR="00201108" w:rsidRPr="0016446B" w:rsidP="0016446B">
      <w:pPr>
        <w:rPr>
          <w:b/>
          <w:bCs w:val="0"/>
        </w:rPr>
      </w:pPr>
    </w:p>
    <w:p w:rsidR="00201108" w:rsidP="0016446B">
      <w:pPr>
        <w:rPr>
          <w:b/>
          <w:bCs w:val="0"/>
        </w:rPr>
      </w:pPr>
    </w:p>
    <w:p w:rsidR="009A046C" w:rsidP="0016446B">
      <w:pPr>
        <w:rPr>
          <w:b/>
          <w:bCs w:val="0"/>
        </w:rPr>
      </w:pPr>
    </w:p>
    <w:p w:rsidR="009A046C" w:rsidP="0016446B">
      <w:pPr>
        <w:rPr>
          <w:b/>
          <w:bCs w:val="0"/>
        </w:rPr>
      </w:pPr>
    </w:p>
    <w:p w:rsidR="009A046C" w:rsidP="0016446B">
      <w:pPr>
        <w:rPr>
          <w:b/>
          <w:bCs w:val="0"/>
        </w:rPr>
      </w:pPr>
    </w:p>
    <w:p w:rsidR="009A046C" w:rsidP="0016446B">
      <w:pPr>
        <w:rPr>
          <w:b/>
          <w:bCs w:val="0"/>
        </w:rPr>
      </w:pPr>
    </w:p>
    <w:p w:rsidR="009A046C" w:rsidP="0016446B">
      <w:pPr>
        <w:rPr>
          <w:b/>
          <w:bCs w:val="0"/>
        </w:rPr>
      </w:pPr>
    </w:p>
    <w:p w:rsidR="009A046C" w:rsidP="0016446B">
      <w:pPr>
        <w:rPr>
          <w:b/>
          <w:bCs w:val="0"/>
        </w:rPr>
      </w:pPr>
    </w:p>
    <w:p w:rsidR="009A046C" w:rsidP="0016446B">
      <w:pPr>
        <w:rPr>
          <w:b/>
          <w:bCs w:val="0"/>
        </w:rPr>
      </w:pPr>
    </w:p>
    <w:p w:rsidR="009A046C" w:rsidP="0016446B">
      <w:pPr>
        <w:rPr>
          <w:b/>
          <w:bCs w:val="0"/>
        </w:rPr>
      </w:pPr>
    </w:p>
    <w:p w:rsidR="009A046C" w:rsidRPr="0016446B" w:rsidP="0016446B">
      <w:pPr>
        <w:rPr>
          <w:b/>
          <w:bCs w:val="0"/>
        </w:rPr>
      </w:pPr>
    </w:p>
    <w:p w:rsidR="00201108" w:rsidRPr="00201108" w:rsidP="009F434A">
      <w:pPr>
        <w:numPr>
          <w:ilvl w:val="0"/>
          <w:numId w:val="34"/>
        </w:numPr>
        <w:ind w:left="142"/>
        <w:jc w:val="both"/>
        <w:rPr>
          <w:rFonts w:eastAsia="Calibri"/>
          <w:b/>
          <w:bCs w:val="0"/>
          <w:lang w:eastAsia="en-US"/>
        </w:rPr>
      </w:pPr>
      <w:r w:rsidRPr="00201108">
        <w:rPr>
          <w:rFonts w:eastAsia="Calibri"/>
          <w:b/>
          <w:bCs w:val="0"/>
          <w:lang w:eastAsia="en-US"/>
        </w:rPr>
        <w:t>K doterajšiemu čl. VII (novooznačený čl. VIII)</w:t>
      </w:r>
    </w:p>
    <w:p w:rsidR="00201108" w:rsidRPr="00201108" w:rsidP="009A046C">
      <w:pPr>
        <w:ind w:firstLine="284"/>
        <w:contextualSpacing/>
        <w:jc w:val="both"/>
        <w:rPr>
          <w:bCs w:val="0"/>
          <w:lang w:eastAsia="en-US"/>
        </w:rPr>
      </w:pPr>
      <w:r w:rsidRPr="00201108">
        <w:rPr>
          <w:bCs w:val="0"/>
          <w:lang w:eastAsia="en-US"/>
        </w:rPr>
        <w:t xml:space="preserve">V doterajšom článku VII sa za doterajší druhý bod vkladá nový tretí bod, ktorý znie: </w:t>
      </w:r>
    </w:p>
    <w:p w:rsidR="00201108" w:rsidRPr="00201108" w:rsidP="009A046C">
      <w:pPr>
        <w:ind w:left="284"/>
        <w:contextualSpacing/>
        <w:jc w:val="both"/>
        <w:rPr>
          <w:bCs w:val="0"/>
          <w:lang w:eastAsia="en-US"/>
        </w:rPr>
      </w:pPr>
      <w:r w:rsidRPr="00201108">
        <w:rPr>
          <w:bCs w:val="0"/>
          <w:lang w:eastAsia="en-US"/>
        </w:rPr>
        <w:t>„3. V § 101b ods. 4 sa slová „dňa 1. decembra 2011“ nahrádzajú slovami „dňa 1. decembra 2012“.“.</w:t>
      </w:r>
    </w:p>
    <w:p w:rsidR="009A046C" w:rsidP="0016446B">
      <w:pPr>
        <w:jc w:val="both"/>
        <w:rPr>
          <w:rFonts w:eastAsia="Calibri"/>
          <w:bCs w:val="0"/>
          <w:lang w:eastAsia="en-US"/>
        </w:rPr>
      </w:pPr>
      <w:r w:rsidRPr="00201108" w:rsidR="00201108">
        <w:rPr>
          <w:rFonts w:eastAsia="Calibri"/>
          <w:bCs w:val="0"/>
          <w:lang w:eastAsia="en-US"/>
        </w:rPr>
        <w:t> </w:t>
      </w:r>
      <w:r>
        <w:rPr>
          <w:rFonts w:eastAsia="Calibri"/>
          <w:bCs w:val="0"/>
          <w:lang w:eastAsia="en-US"/>
        </w:rPr>
        <w:tab/>
      </w:r>
    </w:p>
    <w:p w:rsidR="00201108" w:rsidRPr="00201108" w:rsidP="009A046C">
      <w:pPr>
        <w:ind w:firstLine="284"/>
        <w:jc w:val="both"/>
        <w:rPr>
          <w:rFonts w:eastAsia="Calibri"/>
          <w:bCs w:val="0"/>
          <w:lang w:eastAsia="en-US"/>
        </w:rPr>
      </w:pPr>
      <w:r w:rsidRPr="00201108">
        <w:rPr>
          <w:rFonts w:eastAsia="Calibri"/>
          <w:bCs w:val="0"/>
          <w:lang w:eastAsia="en-US"/>
        </w:rPr>
        <w:t xml:space="preserve"> Doterajší tretí bod sa označuje ako štvrtý bod.</w:t>
      </w:r>
    </w:p>
    <w:p w:rsidR="00201108" w:rsidRPr="00201108" w:rsidP="0016446B">
      <w:pPr>
        <w:jc w:val="both"/>
        <w:rPr>
          <w:rFonts w:eastAsia="Calibri"/>
          <w:bCs w:val="0"/>
          <w:lang w:eastAsia="en-US"/>
        </w:rPr>
      </w:pPr>
    </w:p>
    <w:p w:rsidR="00201108" w:rsidRPr="00201108" w:rsidP="0016446B">
      <w:pPr>
        <w:tabs>
          <w:tab w:val="left" w:pos="2977"/>
        </w:tabs>
        <w:rPr>
          <w:rFonts w:eastAsia="Calibri"/>
          <w:bCs w:val="0"/>
          <w:u w:val="single"/>
          <w:lang w:eastAsia="en-US"/>
        </w:rPr>
      </w:pPr>
      <w:r w:rsidRPr="00201108">
        <w:rPr>
          <w:rFonts w:eastAsia="Calibri"/>
          <w:b/>
          <w:bCs w:val="0"/>
          <w:lang w:eastAsia="en-US"/>
        </w:rPr>
        <w:tab/>
      </w:r>
    </w:p>
    <w:p w:rsidR="00201108" w:rsidRPr="00201108" w:rsidP="0016446B">
      <w:pPr>
        <w:tabs>
          <w:tab w:val="left" w:pos="2977"/>
        </w:tabs>
        <w:rPr>
          <w:rFonts w:eastAsia="Calibri"/>
          <w:bCs w:val="0"/>
          <w:u w:val="single"/>
          <w:lang w:eastAsia="en-US"/>
        </w:rPr>
      </w:pPr>
      <w:r w:rsidRPr="00201108">
        <w:rPr>
          <w:rFonts w:eastAsia="Calibri"/>
          <w:bCs w:val="0"/>
          <w:lang w:eastAsia="en-US"/>
        </w:rPr>
        <w:tab/>
        <w:t xml:space="preserve">Ide o legislatívno technickú opravu prechodného ustanovenia. </w:t>
      </w:r>
    </w:p>
    <w:p w:rsidR="00201108" w:rsidRPr="00201108" w:rsidP="0016446B">
      <w:pPr>
        <w:tabs>
          <w:tab w:val="left" w:pos="9000"/>
        </w:tabs>
        <w:ind w:right="72"/>
        <w:jc w:val="both"/>
        <w:rPr>
          <w:b/>
          <w:lang w:eastAsia="cs-CZ"/>
        </w:rPr>
      </w:pPr>
    </w:p>
    <w:p w:rsidR="000C5845" w:rsidP="0016446B">
      <w:pPr>
        <w:rPr>
          <w:b/>
          <w:bCs w:val="0"/>
        </w:rPr>
      </w:pPr>
    </w:p>
    <w:p w:rsidR="0016446B" w:rsidRPr="000C5845" w:rsidP="000C5845">
      <w:pPr>
        <w:numPr>
          <w:ilvl w:val="0"/>
          <w:numId w:val="34"/>
        </w:numPr>
        <w:ind w:left="142"/>
        <w:rPr>
          <w:b/>
        </w:rPr>
      </w:pPr>
      <w:r w:rsidRPr="000C5845">
        <w:rPr>
          <w:b/>
        </w:rPr>
        <w:t>K čl. VIII</w:t>
      </w:r>
    </w:p>
    <w:p w:rsidR="0016446B" w:rsidRPr="0016446B" w:rsidP="0016446B">
      <w:r w:rsidRPr="0016446B">
        <w:t xml:space="preserve">  V čl. VIII  číslovku „54“  nahradiť číslovkou „55“.</w:t>
      </w:r>
    </w:p>
    <w:p w:rsidR="000C5845" w:rsidP="000C5845">
      <w:pPr>
        <w:jc w:val="both"/>
      </w:pPr>
    </w:p>
    <w:p w:rsidR="0016446B" w:rsidRPr="0016446B" w:rsidP="000C5845">
      <w:pPr>
        <w:ind w:left="2832"/>
        <w:jc w:val="both"/>
      </w:pPr>
      <w:r w:rsidRPr="0016446B">
        <w:t>Ide o významové precizovanie navrhovaného znenia čl. VIII upravujúceho účinnosť predkladaného návrhu zákona. Z kontextu navrhovaného znenia je zrejmé, že neskoršia účinnosť, t. j. 1. júl 2012 sa má vzťahovať na čl. IV  55. bod,  t.j. na doplnený bod 10 prílohy k zákonu č. 429/2002 Z. z. o burze cenných papierov.</w:t>
      </w:r>
    </w:p>
    <w:p w:rsidR="0016446B" w:rsidRPr="0016446B" w:rsidP="0016446B">
      <w:pPr>
        <w:ind w:left="3420"/>
        <w:jc w:val="both"/>
      </w:pPr>
    </w:p>
    <w:p w:rsidR="0016446B" w:rsidRPr="0016446B" w:rsidP="0016446B">
      <w:pPr>
        <w:ind w:left="3420"/>
        <w:jc w:val="both"/>
      </w:pPr>
    </w:p>
    <w:p w:rsidR="0016446B" w:rsidRPr="0016446B" w:rsidP="000C5845">
      <w:pPr>
        <w:numPr>
          <w:ilvl w:val="0"/>
          <w:numId w:val="34"/>
        </w:numPr>
        <w:ind w:left="142" w:right="72"/>
        <w:jc w:val="both"/>
        <w:rPr>
          <w:b/>
          <w:lang w:eastAsia="cs-CZ"/>
        </w:rPr>
      </w:pPr>
      <w:r w:rsidRPr="0016446B">
        <w:rPr>
          <w:b/>
          <w:lang w:eastAsia="cs-CZ"/>
        </w:rPr>
        <w:t xml:space="preserve">K Čl. VIII </w:t>
      </w:r>
    </w:p>
    <w:p w:rsidR="0016446B" w:rsidRPr="0016446B" w:rsidP="0016446B">
      <w:pPr>
        <w:tabs>
          <w:tab w:val="left" w:pos="9000"/>
        </w:tabs>
        <w:ind w:right="72"/>
        <w:jc w:val="both"/>
        <w:rPr>
          <w:lang w:eastAsia="cs-CZ"/>
        </w:rPr>
      </w:pPr>
      <w:r w:rsidR="000C5845">
        <w:rPr>
          <w:b/>
          <w:lang w:eastAsia="cs-CZ"/>
        </w:rPr>
        <w:t xml:space="preserve"> </w:t>
      </w:r>
      <w:r w:rsidR="00517E1B">
        <w:rPr>
          <w:b/>
          <w:lang w:eastAsia="cs-CZ"/>
        </w:rPr>
        <w:t xml:space="preserve"> </w:t>
      </w:r>
      <w:r w:rsidRPr="0016446B">
        <w:rPr>
          <w:lang w:eastAsia="cs-CZ"/>
        </w:rPr>
        <w:t>Článok VIII znie:</w:t>
      </w:r>
    </w:p>
    <w:p w:rsidR="0016446B" w:rsidRPr="0016446B" w:rsidP="0016446B">
      <w:pPr>
        <w:tabs>
          <w:tab w:val="left" w:pos="9000"/>
        </w:tabs>
        <w:ind w:right="72"/>
        <w:jc w:val="both"/>
        <w:rPr>
          <w:lang w:eastAsia="cs-CZ"/>
        </w:rPr>
      </w:pPr>
    </w:p>
    <w:p w:rsidR="0016446B" w:rsidRPr="0016446B" w:rsidP="0016446B">
      <w:pPr>
        <w:tabs>
          <w:tab w:val="left" w:pos="9000"/>
        </w:tabs>
        <w:ind w:right="72"/>
        <w:jc w:val="center"/>
        <w:rPr>
          <w:lang w:eastAsia="cs-CZ"/>
        </w:rPr>
      </w:pPr>
      <w:r w:rsidRPr="0016446B">
        <w:rPr>
          <w:lang w:eastAsia="cs-CZ"/>
        </w:rPr>
        <w:t>„Čl. VIII</w:t>
      </w:r>
    </w:p>
    <w:p w:rsidR="0016446B" w:rsidRPr="0016446B" w:rsidP="0016446B">
      <w:pPr>
        <w:tabs>
          <w:tab w:val="left" w:pos="9000"/>
        </w:tabs>
        <w:ind w:right="72"/>
        <w:jc w:val="both"/>
        <w:rPr>
          <w:lang w:eastAsia="cs-CZ"/>
        </w:rPr>
      </w:pPr>
    </w:p>
    <w:p w:rsidR="0016446B" w:rsidRPr="0016446B" w:rsidP="009F434A">
      <w:pPr>
        <w:ind w:left="426"/>
        <w:jc w:val="both"/>
        <w:rPr>
          <w:rFonts w:eastAsia="Calibri"/>
          <w:bCs w:val="0"/>
          <w:lang w:eastAsia="en-US"/>
        </w:rPr>
      </w:pPr>
      <w:r w:rsidRPr="0016446B">
        <w:rPr>
          <w:rFonts w:eastAsia="Calibri"/>
          <w:bCs w:val="0"/>
          <w:lang w:eastAsia="en-US"/>
        </w:rPr>
        <w:t>Tento zákon nadobúda účinnosť 31. decembra 2011  okrem čl. I bodov 8, 9, 15 až 17, 19 až 40, 44 až 48, 51, 53, 55 až 58, 66  a 76 (príloha bod 23) a čl. IV bodov 1 až 4, 6 až 38, 49 a 54 (príloha bod 10), ktoré nadobúdajú účinnosť 1. júla 2012.“.“.</w:t>
      </w:r>
    </w:p>
    <w:p w:rsidR="0016446B" w:rsidRPr="0016446B" w:rsidP="0016446B">
      <w:pPr>
        <w:ind w:firstLine="426"/>
        <w:jc w:val="both"/>
        <w:rPr>
          <w:rFonts w:eastAsia="Calibri"/>
          <w:bCs w:val="0"/>
          <w:lang w:eastAsia="en-US"/>
        </w:rPr>
      </w:pPr>
      <w:r w:rsidRPr="0016446B">
        <w:rPr>
          <w:rFonts w:eastAsia="Calibri"/>
          <w:bCs w:val="0"/>
          <w:lang w:eastAsia="en-US"/>
        </w:rPr>
        <w:tab/>
      </w:r>
    </w:p>
    <w:p w:rsidR="0016446B" w:rsidRPr="0016446B" w:rsidP="000C5845">
      <w:pPr>
        <w:ind w:left="2832" w:firstLine="9"/>
        <w:jc w:val="both"/>
        <w:rPr>
          <w:rFonts w:eastAsia="Calibri"/>
          <w:bCs w:val="0"/>
          <w:lang w:eastAsia="en-US"/>
        </w:rPr>
      </w:pPr>
      <w:r w:rsidRPr="0016446B">
        <w:rPr>
          <w:rFonts w:eastAsia="Calibri"/>
          <w:bCs w:val="0"/>
          <w:lang w:eastAsia="en-US"/>
        </w:rPr>
        <w:t>Navrhuje sa legislatívno technická úprava z dôvodu vloženia nových bodov do čl. I.</w:t>
        <w:tab/>
        <w:tab/>
        <w:tab/>
        <w:tab/>
      </w:r>
    </w:p>
    <w:p w:rsidR="0016446B" w:rsidRPr="0016446B" w:rsidP="0016446B">
      <w:pPr>
        <w:ind w:firstLine="426"/>
        <w:jc w:val="both"/>
        <w:rPr>
          <w:rFonts w:eastAsia="Calibri"/>
          <w:bCs w:val="0"/>
          <w:lang w:eastAsia="en-US"/>
        </w:rPr>
      </w:pPr>
    </w:p>
    <w:p w:rsidR="0016446B" w:rsidP="0016446B">
      <w:pPr>
        <w:tabs>
          <w:tab w:val="left" w:pos="9000"/>
        </w:tabs>
        <w:ind w:right="72"/>
        <w:jc w:val="both"/>
        <w:rPr>
          <w:lang w:eastAsia="cs-CZ"/>
        </w:rPr>
      </w:pPr>
    </w:p>
    <w:p w:rsidR="009F434A" w:rsidRPr="0016446B" w:rsidP="0016446B">
      <w:pPr>
        <w:tabs>
          <w:tab w:val="left" w:pos="9000"/>
        </w:tabs>
        <w:ind w:right="72"/>
        <w:jc w:val="both"/>
        <w:rPr>
          <w:lang w:eastAsia="cs-CZ"/>
        </w:rPr>
      </w:pPr>
    </w:p>
    <w:p w:rsidR="009F434A" w:rsidRPr="00201108" w:rsidP="009F434A">
      <w:pPr>
        <w:numPr>
          <w:ilvl w:val="0"/>
          <w:numId w:val="34"/>
        </w:numPr>
        <w:tabs>
          <w:tab w:val="left" w:pos="284"/>
        </w:tabs>
        <w:ind w:left="142" w:right="72"/>
        <w:jc w:val="both"/>
        <w:rPr>
          <w:b/>
          <w:lang w:eastAsia="cs-CZ"/>
        </w:rPr>
      </w:pPr>
      <w:r w:rsidRPr="00201108">
        <w:rPr>
          <w:b/>
          <w:lang w:eastAsia="cs-CZ"/>
        </w:rPr>
        <w:t xml:space="preserve">K doterajšiemu čl. VIII (novooznačený čl. IX) </w:t>
      </w:r>
    </w:p>
    <w:p w:rsidR="009F434A" w:rsidRPr="00201108" w:rsidP="009F434A">
      <w:pPr>
        <w:tabs>
          <w:tab w:val="left" w:pos="284"/>
        </w:tabs>
        <w:ind w:right="72"/>
        <w:jc w:val="both"/>
        <w:rPr>
          <w:lang w:eastAsia="cs-CZ"/>
        </w:rPr>
      </w:pPr>
      <w:r>
        <w:rPr>
          <w:lang w:eastAsia="cs-CZ"/>
        </w:rPr>
        <w:tab/>
      </w:r>
      <w:r w:rsidRPr="00201108">
        <w:rPr>
          <w:lang w:eastAsia="cs-CZ"/>
        </w:rPr>
        <w:t>Doterajší článok VIII sa označuje ako článok IX a znie:</w:t>
      </w:r>
    </w:p>
    <w:p w:rsidR="009F434A" w:rsidRPr="00201108" w:rsidP="009F434A">
      <w:pPr>
        <w:tabs>
          <w:tab w:val="left" w:pos="9000"/>
        </w:tabs>
        <w:ind w:right="72"/>
        <w:jc w:val="both"/>
        <w:rPr>
          <w:lang w:eastAsia="cs-CZ"/>
        </w:rPr>
      </w:pPr>
    </w:p>
    <w:p w:rsidR="009F434A" w:rsidRPr="00201108" w:rsidP="009F434A">
      <w:pPr>
        <w:tabs>
          <w:tab w:val="left" w:pos="9000"/>
        </w:tabs>
        <w:ind w:right="72"/>
        <w:jc w:val="center"/>
        <w:rPr>
          <w:lang w:eastAsia="cs-CZ"/>
        </w:rPr>
      </w:pPr>
      <w:r w:rsidRPr="00201108">
        <w:rPr>
          <w:lang w:eastAsia="cs-CZ"/>
        </w:rPr>
        <w:t>„Čl. IX</w:t>
      </w:r>
    </w:p>
    <w:p w:rsidR="009F434A" w:rsidRPr="00201108" w:rsidP="009F434A">
      <w:pPr>
        <w:tabs>
          <w:tab w:val="left" w:pos="9000"/>
        </w:tabs>
        <w:ind w:right="72"/>
        <w:jc w:val="both"/>
        <w:rPr>
          <w:lang w:eastAsia="cs-CZ"/>
        </w:rPr>
      </w:pPr>
    </w:p>
    <w:p w:rsidR="009F434A" w:rsidRPr="00201108" w:rsidP="009F434A">
      <w:pPr>
        <w:ind w:left="426"/>
        <w:jc w:val="both"/>
        <w:rPr>
          <w:rFonts w:eastAsia="Calibri"/>
          <w:bCs w:val="0"/>
          <w:lang w:eastAsia="en-US"/>
        </w:rPr>
      </w:pPr>
      <w:r w:rsidRPr="00201108">
        <w:rPr>
          <w:rFonts w:eastAsia="Calibri"/>
          <w:bCs w:val="0"/>
          <w:lang w:eastAsia="en-US"/>
        </w:rPr>
        <w:t>Tento zákon nadobúda účinnosť 31. decembra 2011  okrem čl. I bodov 8, 9, 14 až 38, 42 až 46, 49, 51, 53 až 56, 64 a 74 (príloha bod 23),  čl. III a čl. V bodov 1 až 4, 6 až 38, 49 a 54 (príloha bod 10), ktoré nadobúdajú účinnosť 1. júla 2012.“.“.</w:t>
      </w:r>
    </w:p>
    <w:p w:rsidR="009F434A" w:rsidRPr="00201108" w:rsidP="009F434A">
      <w:pPr>
        <w:ind w:firstLine="426"/>
        <w:jc w:val="both"/>
        <w:rPr>
          <w:rFonts w:eastAsia="Calibri"/>
          <w:bCs w:val="0"/>
          <w:lang w:eastAsia="en-US"/>
        </w:rPr>
      </w:pPr>
      <w:r w:rsidRPr="00201108">
        <w:rPr>
          <w:rFonts w:eastAsia="Calibri"/>
          <w:bCs w:val="0"/>
          <w:lang w:eastAsia="en-US"/>
        </w:rPr>
        <w:tab/>
      </w:r>
    </w:p>
    <w:p w:rsidR="009F434A" w:rsidRPr="00201108" w:rsidP="009F434A">
      <w:pPr>
        <w:ind w:firstLine="426"/>
        <w:jc w:val="both"/>
        <w:rPr>
          <w:rFonts w:eastAsia="Calibri"/>
          <w:bCs w:val="0"/>
          <w:u w:val="single"/>
          <w:lang w:eastAsia="en-US"/>
        </w:rPr>
      </w:pPr>
      <w:r w:rsidRPr="00201108">
        <w:rPr>
          <w:rFonts w:eastAsia="Calibri"/>
          <w:bCs w:val="0"/>
          <w:lang w:eastAsia="en-US"/>
        </w:rPr>
        <w:tab/>
        <w:tab/>
        <w:tab/>
        <w:tab/>
      </w:r>
    </w:p>
    <w:p w:rsidR="009F434A" w:rsidRPr="00201108" w:rsidP="009F434A">
      <w:pPr>
        <w:ind w:left="2832"/>
        <w:jc w:val="both"/>
        <w:rPr>
          <w:rFonts w:eastAsia="Calibri"/>
          <w:lang w:eastAsia="en-US"/>
        </w:rPr>
      </w:pPr>
      <w:r w:rsidRPr="00201108">
        <w:rPr>
          <w:rFonts w:eastAsia="Calibri"/>
          <w:bCs w:val="0"/>
          <w:lang w:eastAsia="en-US"/>
        </w:rPr>
        <w:t>Navrhuje sa legislatívno technická úprava z dôvodu vloženia nového článku III. Účinnosť článku III sa navrhuje až od 1. júla 2012 za účelom poskytnutia primeranej lehoty  poisťovniam na jeho zavedenie do aplikačnej praxe.</w:t>
      </w:r>
    </w:p>
    <w:p w:rsidR="0016446B" w:rsidRPr="0016446B" w:rsidP="0016446B">
      <w:pPr>
        <w:rPr>
          <w:b/>
          <w:bCs w:val="0"/>
        </w:rPr>
      </w:pP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18F">
      <w:rPr>
        <w:rStyle w:val="PageNumber"/>
        <w:noProof/>
      </w:rPr>
      <w:t>5</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1">
    <w:nsid w:val="26DC122F"/>
    <w:multiLevelType w:val="hybridMultilevel"/>
    <w:tmpl w:val="017657D8"/>
    <w:lvl w:ilvl="0">
      <w:start w:val="2"/>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9410655"/>
    <w:multiLevelType w:val="hybridMultilevel"/>
    <w:tmpl w:val="6688E8F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3824076"/>
    <w:multiLevelType w:val="hybridMultilevel"/>
    <w:tmpl w:val="99EC8A28"/>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66CC6419"/>
    <w:multiLevelType w:val="hybridMultilevel"/>
    <w:tmpl w:val="636A34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24"/>
  </w:num>
  <w:num w:numId="6">
    <w:abstractNumId w:val="5"/>
  </w:num>
  <w:num w:numId="7">
    <w:abstractNumId w:val="13"/>
  </w:num>
  <w:num w:numId="8">
    <w:abstractNumId w:val="27"/>
  </w:num>
  <w:num w:numId="9">
    <w:abstractNumId w:val="28"/>
  </w:num>
  <w:num w:numId="10">
    <w:abstractNumId w:val="1"/>
  </w:num>
  <w:num w:numId="11">
    <w:abstractNumId w:val="16"/>
  </w:num>
  <w:num w:numId="12">
    <w:abstractNumId w:val="7"/>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9"/>
  </w:num>
  <w:num w:numId="20">
    <w:abstractNumId w:val="22"/>
  </w:num>
  <w:num w:numId="21">
    <w:abstractNumId w:val="6"/>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8"/>
  </w:num>
  <w:num w:numId="25">
    <w:abstractNumId w:val="31"/>
  </w:num>
  <w:num w:numId="26">
    <w:abstractNumId w:val="17"/>
  </w:num>
  <w:num w:numId="27">
    <w:abstractNumId w:val="15"/>
  </w:num>
  <w:num w:numId="28">
    <w:abstractNumId w:val="8"/>
  </w:num>
  <w:num w:numId="29">
    <w:abstractNumId w:val="2"/>
  </w:num>
  <w:num w:numId="30">
    <w:abstractNumId w:val="26"/>
  </w:num>
  <w:num w:numId="31">
    <w:abstractNumId w:val="21"/>
  </w:num>
  <w:num w:numId="32">
    <w:abstractNumId w:val="23"/>
  </w:num>
  <w:num w:numId="33">
    <w:abstractNumId w:val="11"/>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5A9B"/>
    <w:rsid w:val="00092341"/>
    <w:rsid w:val="00092B30"/>
    <w:rsid w:val="000A44A0"/>
    <w:rsid w:val="000A7E84"/>
    <w:rsid w:val="000B19F4"/>
    <w:rsid w:val="000B4AAD"/>
    <w:rsid w:val="000C5845"/>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446B"/>
    <w:rsid w:val="0016756E"/>
    <w:rsid w:val="001734EE"/>
    <w:rsid w:val="00183676"/>
    <w:rsid w:val="00184104"/>
    <w:rsid w:val="001852E1"/>
    <w:rsid w:val="00192864"/>
    <w:rsid w:val="001957AD"/>
    <w:rsid w:val="001A602E"/>
    <w:rsid w:val="001B1E93"/>
    <w:rsid w:val="001B41F7"/>
    <w:rsid w:val="001C51E2"/>
    <w:rsid w:val="001C5BF3"/>
    <w:rsid w:val="001C6390"/>
    <w:rsid w:val="001D1076"/>
    <w:rsid w:val="001D5926"/>
    <w:rsid w:val="001D6BE4"/>
    <w:rsid w:val="001E6E4A"/>
    <w:rsid w:val="001E6F56"/>
    <w:rsid w:val="001F1FB7"/>
    <w:rsid w:val="00201108"/>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21A20"/>
    <w:rsid w:val="00323852"/>
    <w:rsid w:val="00325E49"/>
    <w:rsid w:val="0032711D"/>
    <w:rsid w:val="00334FEC"/>
    <w:rsid w:val="003371B9"/>
    <w:rsid w:val="00342FD3"/>
    <w:rsid w:val="00347242"/>
    <w:rsid w:val="00352292"/>
    <w:rsid w:val="00356336"/>
    <w:rsid w:val="003676F8"/>
    <w:rsid w:val="00370DA7"/>
    <w:rsid w:val="00371F1B"/>
    <w:rsid w:val="00373CBB"/>
    <w:rsid w:val="0038060C"/>
    <w:rsid w:val="00397CB2"/>
    <w:rsid w:val="003A4FC0"/>
    <w:rsid w:val="003B1B33"/>
    <w:rsid w:val="003C2355"/>
    <w:rsid w:val="003E4817"/>
    <w:rsid w:val="003E5C21"/>
    <w:rsid w:val="003E60B4"/>
    <w:rsid w:val="00401691"/>
    <w:rsid w:val="00415698"/>
    <w:rsid w:val="004231C1"/>
    <w:rsid w:val="004265B4"/>
    <w:rsid w:val="0043269C"/>
    <w:rsid w:val="00450C55"/>
    <w:rsid w:val="0046108E"/>
    <w:rsid w:val="0047332F"/>
    <w:rsid w:val="004770E8"/>
    <w:rsid w:val="004925DB"/>
    <w:rsid w:val="00493DCA"/>
    <w:rsid w:val="004A12F3"/>
    <w:rsid w:val="004A3E40"/>
    <w:rsid w:val="004B7312"/>
    <w:rsid w:val="004D03C0"/>
    <w:rsid w:val="004D71D6"/>
    <w:rsid w:val="004E263D"/>
    <w:rsid w:val="004E2763"/>
    <w:rsid w:val="004E6C03"/>
    <w:rsid w:val="004F0838"/>
    <w:rsid w:val="004F2B3E"/>
    <w:rsid w:val="004F45C8"/>
    <w:rsid w:val="00500C97"/>
    <w:rsid w:val="0050102D"/>
    <w:rsid w:val="00504177"/>
    <w:rsid w:val="00517E1B"/>
    <w:rsid w:val="00522678"/>
    <w:rsid w:val="005375F3"/>
    <w:rsid w:val="00552BE1"/>
    <w:rsid w:val="0057223B"/>
    <w:rsid w:val="005757C8"/>
    <w:rsid w:val="0058523A"/>
    <w:rsid w:val="005860D4"/>
    <w:rsid w:val="00587F18"/>
    <w:rsid w:val="00590FB8"/>
    <w:rsid w:val="00594981"/>
    <w:rsid w:val="00595842"/>
    <w:rsid w:val="00595B3A"/>
    <w:rsid w:val="005A7352"/>
    <w:rsid w:val="005B36AB"/>
    <w:rsid w:val="005D03BE"/>
    <w:rsid w:val="005D04B9"/>
    <w:rsid w:val="005D1F0B"/>
    <w:rsid w:val="005D2E69"/>
    <w:rsid w:val="005D368F"/>
    <w:rsid w:val="005D62EB"/>
    <w:rsid w:val="005E0E12"/>
    <w:rsid w:val="005E26FF"/>
    <w:rsid w:val="005E27AA"/>
    <w:rsid w:val="005E3D70"/>
    <w:rsid w:val="005F2A14"/>
    <w:rsid w:val="00602FF8"/>
    <w:rsid w:val="006107BB"/>
    <w:rsid w:val="00611469"/>
    <w:rsid w:val="00622525"/>
    <w:rsid w:val="00624DDC"/>
    <w:rsid w:val="0063617C"/>
    <w:rsid w:val="0063749C"/>
    <w:rsid w:val="00642D4E"/>
    <w:rsid w:val="00642DEE"/>
    <w:rsid w:val="006437A1"/>
    <w:rsid w:val="006443CB"/>
    <w:rsid w:val="0065582E"/>
    <w:rsid w:val="00665A38"/>
    <w:rsid w:val="0066682E"/>
    <w:rsid w:val="00670BE9"/>
    <w:rsid w:val="006732DF"/>
    <w:rsid w:val="00697397"/>
    <w:rsid w:val="006A3C85"/>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865EF"/>
    <w:rsid w:val="00787F13"/>
    <w:rsid w:val="00791016"/>
    <w:rsid w:val="007965EB"/>
    <w:rsid w:val="007A7FC3"/>
    <w:rsid w:val="007B40ED"/>
    <w:rsid w:val="007C0E28"/>
    <w:rsid w:val="007C3A2E"/>
    <w:rsid w:val="007C6EC6"/>
    <w:rsid w:val="007E168E"/>
    <w:rsid w:val="0081158D"/>
    <w:rsid w:val="00830899"/>
    <w:rsid w:val="008458BA"/>
    <w:rsid w:val="0085189B"/>
    <w:rsid w:val="0087118F"/>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901501"/>
    <w:rsid w:val="00902EC3"/>
    <w:rsid w:val="00914F38"/>
    <w:rsid w:val="009171A7"/>
    <w:rsid w:val="009434CE"/>
    <w:rsid w:val="00945E30"/>
    <w:rsid w:val="009534E4"/>
    <w:rsid w:val="009673E9"/>
    <w:rsid w:val="00972CAE"/>
    <w:rsid w:val="00985280"/>
    <w:rsid w:val="00990B21"/>
    <w:rsid w:val="009940AF"/>
    <w:rsid w:val="00996EF0"/>
    <w:rsid w:val="009A046C"/>
    <w:rsid w:val="009A5069"/>
    <w:rsid w:val="009B1A9B"/>
    <w:rsid w:val="009B629D"/>
    <w:rsid w:val="009C5634"/>
    <w:rsid w:val="009D0655"/>
    <w:rsid w:val="009D25C5"/>
    <w:rsid w:val="009D3928"/>
    <w:rsid w:val="009E4434"/>
    <w:rsid w:val="009E58D6"/>
    <w:rsid w:val="009E6FD9"/>
    <w:rsid w:val="009F0117"/>
    <w:rsid w:val="009F434A"/>
    <w:rsid w:val="00A13BFD"/>
    <w:rsid w:val="00A20F25"/>
    <w:rsid w:val="00A22570"/>
    <w:rsid w:val="00A26DE4"/>
    <w:rsid w:val="00A35DBB"/>
    <w:rsid w:val="00A42717"/>
    <w:rsid w:val="00A44797"/>
    <w:rsid w:val="00A45E0F"/>
    <w:rsid w:val="00A46F21"/>
    <w:rsid w:val="00A64B15"/>
    <w:rsid w:val="00A73ECD"/>
    <w:rsid w:val="00A76F2A"/>
    <w:rsid w:val="00A80718"/>
    <w:rsid w:val="00A8165F"/>
    <w:rsid w:val="00A8705A"/>
    <w:rsid w:val="00AC22E2"/>
    <w:rsid w:val="00AC65F9"/>
    <w:rsid w:val="00AC7EC3"/>
    <w:rsid w:val="00AE1F88"/>
    <w:rsid w:val="00AE3087"/>
    <w:rsid w:val="00AE69DF"/>
    <w:rsid w:val="00AF0917"/>
    <w:rsid w:val="00AF7145"/>
    <w:rsid w:val="00B07F36"/>
    <w:rsid w:val="00B16CED"/>
    <w:rsid w:val="00B17563"/>
    <w:rsid w:val="00B55EBB"/>
    <w:rsid w:val="00B614DE"/>
    <w:rsid w:val="00B64787"/>
    <w:rsid w:val="00B71E6A"/>
    <w:rsid w:val="00B774DD"/>
    <w:rsid w:val="00B956AC"/>
    <w:rsid w:val="00B97CFB"/>
    <w:rsid w:val="00BA1E88"/>
    <w:rsid w:val="00BB1415"/>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409D"/>
    <w:rsid w:val="00C37D3C"/>
    <w:rsid w:val="00C40208"/>
    <w:rsid w:val="00C511AD"/>
    <w:rsid w:val="00C637C7"/>
    <w:rsid w:val="00C72FBD"/>
    <w:rsid w:val="00C74C86"/>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F0260"/>
    <w:rsid w:val="00CF7721"/>
    <w:rsid w:val="00D066CB"/>
    <w:rsid w:val="00D14BB3"/>
    <w:rsid w:val="00D24006"/>
    <w:rsid w:val="00D3491C"/>
    <w:rsid w:val="00D43E19"/>
    <w:rsid w:val="00D468CB"/>
    <w:rsid w:val="00D51BBC"/>
    <w:rsid w:val="00D5389F"/>
    <w:rsid w:val="00D56CFD"/>
    <w:rsid w:val="00D60D33"/>
    <w:rsid w:val="00D64717"/>
    <w:rsid w:val="00D77944"/>
    <w:rsid w:val="00D93A8F"/>
    <w:rsid w:val="00DB14FA"/>
    <w:rsid w:val="00DB15FF"/>
    <w:rsid w:val="00DC342A"/>
    <w:rsid w:val="00DD72DC"/>
    <w:rsid w:val="00DE311B"/>
    <w:rsid w:val="00DF00E6"/>
    <w:rsid w:val="00E077EC"/>
    <w:rsid w:val="00E13467"/>
    <w:rsid w:val="00E165F4"/>
    <w:rsid w:val="00E20A99"/>
    <w:rsid w:val="00E24E2F"/>
    <w:rsid w:val="00E27648"/>
    <w:rsid w:val="00E3668B"/>
    <w:rsid w:val="00E4207A"/>
    <w:rsid w:val="00E54D4F"/>
    <w:rsid w:val="00E564B4"/>
    <w:rsid w:val="00E56CEF"/>
    <w:rsid w:val="00E70960"/>
    <w:rsid w:val="00E85590"/>
    <w:rsid w:val="00E8666A"/>
    <w:rsid w:val="00E92427"/>
    <w:rsid w:val="00E95866"/>
    <w:rsid w:val="00E97E3F"/>
    <w:rsid w:val="00EA2888"/>
    <w:rsid w:val="00EA6751"/>
    <w:rsid w:val="00EA7E4D"/>
    <w:rsid w:val="00EC5F3F"/>
    <w:rsid w:val="00ED3C5E"/>
    <w:rsid w:val="00EE616F"/>
    <w:rsid w:val="00F00247"/>
    <w:rsid w:val="00F03B10"/>
    <w:rsid w:val="00F15963"/>
    <w:rsid w:val="00F328DE"/>
    <w:rsid w:val="00F33022"/>
    <w:rsid w:val="00F362CE"/>
    <w:rsid w:val="00F6286E"/>
    <w:rsid w:val="00F7316C"/>
    <w:rsid w:val="00F7461A"/>
    <w:rsid w:val="00F80E71"/>
    <w:rsid w:val="00F87FF3"/>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853</TotalTime>
  <Pages>6</Pages>
  <Words>1929</Words>
  <Characters>10996</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292</cp:revision>
  <cp:lastPrinted>2011-06-10T10:52:00Z</cp:lastPrinted>
  <dcterms:created xsi:type="dcterms:W3CDTF">2003-06-05T11:59:00Z</dcterms:created>
  <dcterms:modified xsi:type="dcterms:W3CDTF">2011-11-22T10:31:00Z</dcterms:modified>
</cp:coreProperties>
</file>