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4CC4" w:rsidRPr="00E26317" w:rsidP="00BA4CC4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BA4CC4" w:rsidRPr="00E26317" w:rsidP="00BA4CC4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BA4CC4" w:rsidP="00BA4CC4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BA4CC4" w:rsidRPr="001A12CE" w:rsidP="00BA4CC4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</w:t>
      </w:r>
    </w:p>
    <w:p w:rsidR="00BA4CC4" w:rsidRPr="00E26317" w:rsidP="00BA4CC4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BA4CC4" w:rsidRPr="00555E1A" w:rsidP="00BA4CC4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3154/2011</w:t>
      </w:r>
    </w:p>
    <w:p w:rsidR="00BA4CC4" w:rsidP="00BA4CC4">
      <w:pPr>
        <w:rPr>
          <w:b/>
          <w:sz w:val="22"/>
          <w:szCs w:val="22"/>
        </w:rPr>
      </w:pPr>
    </w:p>
    <w:p w:rsidR="00BA4CC4" w:rsidP="00BA4CC4">
      <w:pPr>
        <w:rPr>
          <w:b/>
          <w:sz w:val="22"/>
          <w:szCs w:val="22"/>
        </w:rPr>
      </w:pPr>
    </w:p>
    <w:p w:rsidR="00BA4CC4" w:rsidRPr="00E26317" w:rsidP="00BA4CC4">
      <w:pPr>
        <w:rPr>
          <w:b/>
          <w:sz w:val="22"/>
          <w:szCs w:val="22"/>
        </w:rPr>
      </w:pPr>
    </w:p>
    <w:p w:rsidR="00BA4CC4" w:rsidRPr="00E26317" w:rsidP="00BA4C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116</w:t>
      </w:r>
    </w:p>
    <w:p w:rsidR="00BA4CC4" w:rsidRPr="00E26317" w:rsidP="00BA4CC4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BA4CC4" w:rsidRPr="00E26317" w:rsidP="00BA4CC4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BA4CC4" w:rsidRPr="00E26317" w:rsidP="00BA4CC4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BA4CC4" w:rsidRPr="00E26317" w:rsidP="00BA4CC4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o 6. októbra 2011</w:t>
      </w:r>
    </w:p>
    <w:p w:rsidR="00BA4CC4" w:rsidP="00BA4CC4">
      <w:pPr>
        <w:jc w:val="both"/>
        <w:rPr>
          <w:sz w:val="22"/>
          <w:szCs w:val="22"/>
        </w:rPr>
      </w:pPr>
    </w:p>
    <w:p w:rsidR="00BA4CC4" w:rsidP="00BA4CC4">
      <w:pPr>
        <w:jc w:val="both"/>
      </w:pPr>
      <w:r>
        <w:t>k v</w:t>
      </w:r>
      <w:r w:rsidRPr="00FF77CD">
        <w:t>ládn</w:t>
      </w:r>
      <w:r>
        <w:t xml:space="preserve">emu </w:t>
      </w:r>
      <w:r w:rsidRPr="00FF77CD">
        <w:t>návrh</w:t>
      </w:r>
      <w:r>
        <w:t>u</w:t>
      </w:r>
      <w:r w:rsidRPr="00FF77CD">
        <w:t xml:space="preserve"> zákona</w:t>
      </w:r>
      <w:r>
        <w:t xml:space="preserve"> o kontrole hraníc a pobyte cudzincov a o zmene a doplnení niektorých zákonov (tlač 457)</w:t>
      </w:r>
    </w:p>
    <w:p w:rsidR="00BA4CC4" w:rsidP="00BA4CC4">
      <w:pPr>
        <w:jc w:val="both"/>
      </w:pPr>
    </w:p>
    <w:p w:rsidR="00BA4CC4" w:rsidRPr="00E26317" w:rsidP="00BA4CC4">
      <w:pPr>
        <w:jc w:val="both"/>
        <w:rPr>
          <w:sz w:val="22"/>
          <w:szCs w:val="22"/>
        </w:rPr>
      </w:pPr>
    </w:p>
    <w:p w:rsidR="00BA4CC4" w:rsidRPr="00E26317" w:rsidP="00BA4CC4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BA4CC4" w:rsidRPr="00E26317" w:rsidP="00BA4CC4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BA4CC4" w:rsidRPr="00E26317" w:rsidP="00BA4CC4">
      <w:pPr>
        <w:jc w:val="both"/>
        <w:rPr>
          <w:sz w:val="22"/>
          <w:szCs w:val="22"/>
        </w:rPr>
      </w:pPr>
    </w:p>
    <w:p w:rsidR="00BA4CC4" w:rsidRPr="00E26317" w:rsidP="00BA4CC4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l  </w:t>
      </w:r>
    </w:p>
    <w:p w:rsidR="00BA4CC4" w:rsidRPr="00E26317" w:rsidP="00BA4CC4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vládny návrh </w:t>
      </w:r>
      <w:r w:rsidRPr="00FF77CD">
        <w:t>zákona</w:t>
      </w:r>
      <w:r>
        <w:t xml:space="preserve"> o kontrole hraníc a pobyte cudzincov a o zmene a doplnení niektorých zákonov (tlač 457);</w:t>
      </w:r>
    </w:p>
    <w:p w:rsidR="00BA4CC4" w:rsidRPr="00E26317" w:rsidP="00BA4CC4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BA4CC4" w:rsidRPr="00E26317" w:rsidP="00BA4CC4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BA4CC4" w:rsidRPr="00E26317" w:rsidP="00BA4CC4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</w:t>
      </w:r>
      <w:r w:rsidRPr="00E26317">
        <w:rPr>
          <w:sz w:val="22"/>
          <w:szCs w:val="22"/>
        </w:rPr>
        <w:t xml:space="preserve">          s  vládnym návrhom </w:t>
      </w:r>
      <w:r w:rsidRPr="00FF77CD">
        <w:t>zákona</w:t>
      </w:r>
      <w:r>
        <w:t xml:space="preserve"> o kontrole hraníc a pobyte cudzincov a o zmene a doplnení niektorých zákonov (tlač 457);</w:t>
      </w:r>
    </w:p>
    <w:p w:rsidR="00BA4CC4" w:rsidRPr="00E26317" w:rsidP="00BA4CC4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BA4CC4" w:rsidRPr="00E26317" w:rsidP="00BA4CC4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BA4CC4" w:rsidRPr="00E26317" w:rsidP="00BA4CC4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Národnej rade Slovenskej republiky</w:t>
      </w:r>
    </w:p>
    <w:p w:rsidR="00BA4CC4" w:rsidP="00BA4C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 w:rsidRPr="00FF77CD">
        <w:t>zákona</w:t>
      </w:r>
      <w:r>
        <w:t xml:space="preserve"> o kontrole hraníc a pobyte cudzincov a o zmene a doplnení niektorých zákonov (tlač 457)</w:t>
      </w:r>
      <w:r w:rsidRPr="00E26317">
        <w:rPr>
          <w:sz w:val="22"/>
          <w:szCs w:val="22"/>
        </w:rPr>
        <w:t xml:space="preserve">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>
        <w:rPr>
          <w:sz w:val="22"/>
          <w:szCs w:val="22"/>
        </w:rPr>
        <w:t>ýmito</w:t>
      </w:r>
      <w:r w:rsidRPr="00E26317">
        <w:rPr>
          <w:sz w:val="22"/>
          <w:szCs w:val="22"/>
        </w:rPr>
        <w:t xml:space="preserve"> pripomienk</w:t>
      </w:r>
      <w:r>
        <w:rPr>
          <w:sz w:val="22"/>
          <w:szCs w:val="22"/>
        </w:rPr>
        <w:t xml:space="preserve">ami, ktoré sú uvedené v prílohe tohto uznesenia; </w:t>
      </w:r>
    </w:p>
    <w:p w:rsidR="00BA4CC4" w:rsidRPr="00E26317" w:rsidP="00BA4CC4">
      <w:pPr>
        <w:jc w:val="both"/>
        <w:rPr>
          <w:sz w:val="22"/>
          <w:szCs w:val="22"/>
        </w:rPr>
      </w:pPr>
    </w:p>
    <w:p w:rsidR="00BA4CC4" w:rsidRPr="00E26317" w:rsidP="00BA4CC4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BA4CC4" w:rsidRPr="00E26317" w:rsidP="00BA4CC4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predsedovi výboru</w:t>
      </w:r>
    </w:p>
    <w:p w:rsidR="00BA4CC4" w:rsidRPr="00E26317" w:rsidP="00BA4CC4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zákona predsedovi </w:t>
      </w:r>
      <w:r>
        <w:t xml:space="preserve">Výboru </w:t>
      </w:r>
      <w:r w:rsidRPr="00E26317">
        <w:t xml:space="preserve"> Národn</w:t>
      </w:r>
      <w:r w:rsidRPr="00E26317">
        <w:t>ej rady Slovenskej republiky</w:t>
      </w:r>
      <w:r>
        <w:t xml:space="preserve"> pre obranu a bezpečnosť.</w:t>
      </w:r>
    </w:p>
    <w:p w:rsidR="00BA4CC4" w:rsidP="00BA4CC4">
      <w:pPr>
        <w:rPr>
          <w:b/>
          <w:sz w:val="22"/>
          <w:szCs w:val="22"/>
        </w:rPr>
      </w:pPr>
    </w:p>
    <w:p w:rsidR="00BA4CC4" w:rsidP="00BA4CC4">
      <w:pPr>
        <w:rPr>
          <w:b/>
          <w:sz w:val="22"/>
          <w:szCs w:val="22"/>
        </w:rPr>
      </w:pPr>
    </w:p>
    <w:p w:rsidR="00BA4CC4" w:rsidP="00BA4CC4">
      <w:pPr>
        <w:rPr>
          <w:b/>
          <w:sz w:val="22"/>
          <w:szCs w:val="22"/>
        </w:rPr>
      </w:pPr>
    </w:p>
    <w:p w:rsidR="00BA4CC4" w:rsidP="00BA4CC4">
      <w:pPr>
        <w:rPr>
          <w:b/>
          <w:sz w:val="22"/>
          <w:szCs w:val="22"/>
        </w:rPr>
      </w:pPr>
    </w:p>
    <w:p w:rsidR="00BA4CC4" w:rsidRPr="00E26317" w:rsidP="00BA4CC4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  <w:r>
        <w:rPr>
          <w:b/>
          <w:sz w:val="22"/>
          <w:szCs w:val="22"/>
        </w:rPr>
        <w:t xml:space="preserve">, v.r. </w:t>
      </w:r>
    </w:p>
    <w:p w:rsidR="00BA4CC4" w:rsidRPr="00D16DFB" w:rsidP="00BA4CC4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</w:t>
      </w:r>
      <w:r w:rsidRPr="00E26317">
        <w:rPr>
          <w:sz w:val="22"/>
          <w:szCs w:val="22"/>
        </w:rPr>
        <w:t xml:space="preserve">                          predseda výboru</w:t>
      </w:r>
    </w:p>
    <w:p w:rsidR="00BA4CC4" w:rsidP="00BA4CC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BA4CC4" w:rsidP="00BA4CC4">
      <w:pPr>
        <w:rPr>
          <w:b/>
          <w:sz w:val="22"/>
          <w:szCs w:val="22"/>
        </w:rPr>
      </w:pPr>
    </w:p>
    <w:p w:rsidR="00BA4CC4" w:rsidRPr="00E26317" w:rsidP="00BA4CC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Vladimír  F A I Č, v.r. </w:t>
      </w:r>
    </w:p>
    <w:p w:rsidR="00BA4CC4" w:rsidRPr="00D16DFB" w:rsidP="00BA4CC4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</w:p>
    <w:p w:rsidR="00BA4CC4" w:rsidP="00BA4CC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:rsidR="00BA4CC4" w:rsidP="00BA4CC4">
      <w:pPr>
        <w:rPr>
          <w:sz w:val="22"/>
          <w:szCs w:val="22"/>
        </w:rPr>
      </w:pPr>
    </w:p>
    <w:p w:rsidR="00BA4CC4" w:rsidP="00BA4CC4">
      <w:pPr>
        <w:rPr>
          <w:sz w:val="22"/>
          <w:szCs w:val="22"/>
        </w:rPr>
      </w:pPr>
    </w:p>
    <w:p w:rsidR="00BA4CC4" w:rsidP="00BA4CC4">
      <w:pPr>
        <w:rPr>
          <w:sz w:val="22"/>
          <w:szCs w:val="22"/>
        </w:rPr>
      </w:pPr>
      <w:r w:rsidR="004F1AFD">
        <w:rPr>
          <w:sz w:val="22"/>
          <w:szCs w:val="22"/>
        </w:rPr>
        <w:t xml:space="preserve">                                                                                                                                 Príloha </w:t>
      </w:r>
      <w:r w:rsidR="004F1AFD">
        <w:rPr>
          <w:sz w:val="22"/>
          <w:szCs w:val="22"/>
        </w:rPr>
        <w:t xml:space="preserve">k uzn. </w:t>
      </w:r>
      <w:r w:rsidRPr="004F1AFD" w:rsidR="004F1AFD">
        <w:rPr>
          <w:b/>
          <w:sz w:val="22"/>
          <w:szCs w:val="22"/>
        </w:rPr>
        <w:t>č. 116</w:t>
      </w:r>
    </w:p>
    <w:p w:rsidR="00BA4CC4" w:rsidP="00BA4CC4">
      <w:pPr>
        <w:rPr>
          <w:sz w:val="22"/>
          <w:szCs w:val="22"/>
        </w:rPr>
      </w:pPr>
      <w:r w:rsidR="004F1AFD">
        <w:rPr>
          <w:sz w:val="22"/>
          <w:szCs w:val="22"/>
        </w:rPr>
        <w:t xml:space="preserve">                                                                                                                                               25. schôdza </w:t>
      </w:r>
    </w:p>
    <w:p w:rsidR="00BA4CC4" w:rsidP="00BA4CC4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:rsidR="004F1AFD" w:rsidP="004F1AFD">
      <w:pPr>
        <w:jc w:val="center"/>
        <w:rPr>
          <w:b/>
        </w:rPr>
      </w:pPr>
    </w:p>
    <w:p w:rsidR="004F1AFD" w:rsidP="004F1AFD">
      <w:pPr>
        <w:jc w:val="center"/>
        <w:rPr>
          <w:b/>
        </w:rPr>
      </w:pPr>
    </w:p>
    <w:p w:rsidR="004F1AFD" w:rsidP="004F1AFD">
      <w:pPr>
        <w:jc w:val="center"/>
        <w:rPr>
          <w:b/>
          <w:bCs/>
        </w:rPr>
      </w:pPr>
      <w:r>
        <w:rPr>
          <w:b/>
          <w:bCs/>
        </w:rPr>
        <w:t>Pozmeňujúce  a doplňujúce návrhy</w:t>
      </w:r>
    </w:p>
    <w:p w:rsidR="004F1AFD" w:rsidRPr="004F1AFD" w:rsidP="004F1AFD">
      <w:pPr>
        <w:jc w:val="both"/>
        <w:rPr>
          <w:b/>
        </w:rPr>
      </w:pPr>
      <w:r w:rsidRPr="004F1AFD">
        <w:rPr>
          <w:b/>
        </w:rPr>
        <w:t>k vládnemu návrhu zákona o kontrole hraníc a pobyte cudzincov a o zmene a doplnení niektorých zákonov (tlač 457)</w:t>
      </w:r>
    </w:p>
    <w:p w:rsidR="004F1AFD" w:rsidP="004F1AF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F1AFD" w:rsidP="00BA4CC4">
      <w:pPr>
        <w:ind w:left="708" w:firstLine="708"/>
        <w:rPr>
          <w:sz w:val="22"/>
          <w:szCs w:val="22"/>
        </w:rPr>
      </w:pPr>
    </w:p>
    <w:p w:rsidR="004F1AFD" w:rsidP="00BA4CC4">
      <w:pPr>
        <w:ind w:left="708" w:firstLine="708"/>
        <w:rPr>
          <w:sz w:val="22"/>
          <w:szCs w:val="22"/>
        </w:rPr>
      </w:pPr>
    </w:p>
    <w:p w:rsidR="004F1AFD" w:rsidP="004F1AFD">
      <w:pPr>
        <w:pStyle w:val="HTMLPreformatted"/>
        <w:widowControl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 I. článku poznámka pod čiarou k odkazu 59 znie:</w:t>
      </w:r>
    </w:p>
    <w:p w:rsidR="004F1AFD" w:rsidP="004F1AFD">
      <w:pPr>
        <w:pStyle w:val="FootnoteText"/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„</w:t>
      </w:r>
      <w:r>
        <w:rPr>
          <w:rStyle w:val="FootnoteReference"/>
          <w:sz w:val="24"/>
          <w:szCs w:val="24"/>
        </w:rPr>
        <w:t>59</w:t>
      </w:r>
      <w:r>
        <w:rPr>
          <w:sz w:val="24"/>
          <w:szCs w:val="24"/>
        </w:rPr>
        <w:t>) Nariadenie Rady (ES) č. 1030/2002 z 13. júna 2002, ktorým sa stanovuje jednotný formát povolení na pobyt pre štátnych príslušníkov tretích štátov (Mimoriadne vydanie Ú. v. EÚ, kap.19/zv.04; Ú. v. ES L 157, 15.6.2002) v </w:t>
      </w:r>
      <w:r>
        <w:rPr>
          <w:sz w:val="24"/>
          <w:szCs w:val="24"/>
        </w:rPr>
        <w:t>platnom znení.“</w:t>
      </w:r>
    </w:p>
    <w:p w:rsidR="004F1AFD" w:rsidP="004F1AFD">
      <w:pPr>
        <w:pStyle w:val="HTMLPreformatted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AFD" w:rsidRPr="004F1AFD" w:rsidP="004F1AFD">
      <w:pPr>
        <w:pStyle w:val="HTMLPreformatted"/>
        <w:widowControl/>
        <w:ind w:left="2748"/>
        <w:jc w:val="both"/>
        <w:rPr>
          <w:rStyle w:val="Emphasis"/>
          <w:i w:val="0"/>
        </w:rPr>
      </w:pPr>
      <w:r w:rsidRPr="004F1AFD">
        <w:rPr>
          <w:rStyle w:val="Emphasis"/>
          <w:i w:val="0"/>
          <w:sz w:val="24"/>
          <w:szCs w:val="24"/>
        </w:rPr>
        <w:t>Ide o legislatívno-technickú úpravu súvisiacu so zaužívaným spôsobom uvádzania informácie o publikácii právne záväzných aktov Európskej únie v úradnom vestníku.</w:t>
      </w:r>
    </w:p>
    <w:p w:rsidR="004F1AFD" w:rsidP="004F1AFD">
      <w:pPr>
        <w:pStyle w:val="HTMLPreformatted"/>
        <w:widowControl/>
        <w:spacing w:line="360" w:lineRule="auto"/>
        <w:jc w:val="both"/>
        <w:rPr>
          <w:rStyle w:val="Emphasis"/>
          <w:i w:val="0"/>
          <w:sz w:val="24"/>
          <w:szCs w:val="24"/>
        </w:rPr>
      </w:pPr>
    </w:p>
    <w:p w:rsidR="004F1AFD" w:rsidRPr="004F1AFD" w:rsidP="004F1AFD">
      <w:pPr>
        <w:pStyle w:val="HTMLPreformatted"/>
        <w:widowControl/>
        <w:spacing w:line="360" w:lineRule="auto"/>
        <w:ind w:firstLine="360"/>
        <w:jc w:val="both"/>
        <w:rPr>
          <w:rStyle w:val="Emphasis"/>
          <w:i w:val="0"/>
          <w:sz w:val="24"/>
          <w:szCs w:val="24"/>
        </w:rPr>
      </w:pPr>
      <w:r w:rsidRPr="004F1AFD">
        <w:rPr>
          <w:rStyle w:val="Emphasis"/>
          <w:i w:val="0"/>
          <w:sz w:val="24"/>
          <w:szCs w:val="24"/>
        </w:rPr>
        <w:t>2. V čl. I poznámka pod čiarou k odkazu 82 znie:</w:t>
      </w:r>
    </w:p>
    <w:p w:rsidR="004F1AFD" w:rsidP="004F1AFD">
      <w:pPr>
        <w:spacing w:line="360" w:lineRule="auto"/>
        <w:ind w:left="142" w:hanging="142"/>
      </w:pPr>
      <w:r>
        <w:rPr>
          <w:rStyle w:val="Emphasis"/>
        </w:rPr>
        <w:t>„</w:t>
      </w:r>
      <w:r>
        <w:rPr>
          <w:rStyle w:val="Znakyprepoznmkupodiarou"/>
          <w:rFonts w:eastAsia="Calibri"/>
        </w:rPr>
        <w:t>82</w:t>
      </w:r>
      <w:r>
        <w:t>) Rozhodnutie Rady 2004/573/ES z 29. apríla 2004 o organizácii spoločných letov na odsuny štátnych príslušníkov tretích krajín, na ktorých sa vzťahujú príkazy na individuálny odsun, z územia dvoch alebo viacerých členských štátov (Mimoriadne vydanie Ú. v. EÚ, kap. 19/zv. 07; Ú. v.</w:t>
      </w:r>
      <w:r>
        <w:t xml:space="preserve"> EÚ L 261, 6. 8. 2004 ).“</w:t>
      </w:r>
    </w:p>
    <w:p w:rsidR="004F1AFD" w:rsidP="004F1AFD">
      <w:pPr>
        <w:ind w:left="142" w:hanging="142"/>
      </w:pPr>
    </w:p>
    <w:p w:rsidR="004F1AFD" w:rsidRPr="004F1AFD" w:rsidP="004F1AFD">
      <w:pPr>
        <w:pStyle w:val="HTMLPreformatted"/>
        <w:widowControl/>
        <w:ind w:left="2748"/>
        <w:jc w:val="both"/>
        <w:rPr>
          <w:rStyle w:val="Emphasis"/>
          <w:i w:val="0"/>
        </w:rPr>
      </w:pPr>
      <w:r w:rsidRPr="004F1AFD">
        <w:rPr>
          <w:rStyle w:val="Emphasis"/>
          <w:i w:val="0"/>
          <w:sz w:val="24"/>
          <w:szCs w:val="24"/>
        </w:rPr>
        <w:t>Ide o legislatívno-technickú úpravu súvisiacu so zaužívaným spôsobom uvádzania informácie o publikácii právne záväzných aktov Európskej únie v úradnom vestníku.</w:t>
      </w:r>
    </w:p>
    <w:p w:rsidR="004F1AFD" w:rsidP="004F1AFD">
      <w:pPr>
        <w:ind w:left="142" w:hanging="142"/>
      </w:pPr>
    </w:p>
    <w:p w:rsidR="004F1AFD" w:rsidP="004F1AFD">
      <w:pPr>
        <w:ind w:left="142" w:hanging="142"/>
      </w:pPr>
    </w:p>
    <w:p w:rsidR="004F1AFD" w:rsidP="00DE68D2">
      <w:pPr>
        <w:numPr>
          <w:ilvl w:val="0"/>
          <w:numId w:val="10"/>
        </w:numPr>
        <w:spacing w:line="360" w:lineRule="auto"/>
      </w:pPr>
      <w:r>
        <w:t>V čl. I, príloha č. 2 znie:</w:t>
      </w:r>
    </w:p>
    <w:p w:rsidR="004F1AFD" w:rsidP="004F1AFD">
      <w:pPr>
        <w:spacing w:line="360" w:lineRule="auto"/>
        <w:ind w:left="142" w:hanging="142"/>
      </w:pPr>
    </w:p>
    <w:p w:rsidR="004F1AFD" w:rsidP="004F1AFD">
      <w:pPr>
        <w:spacing w:line="360" w:lineRule="auto"/>
        <w:ind w:left="462" w:hanging="231"/>
        <w:jc w:val="center"/>
        <w:rPr>
          <w:b/>
          <w:color w:val="000000"/>
        </w:rPr>
      </w:pPr>
      <w:r>
        <w:rPr>
          <w:b/>
          <w:color w:val="000000"/>
        </w:rPr>
        <w:t>ZOZNAM PREBERANÝCH PRÁVNE ZÁV</w:t>
      </w:r>
      <w:r>
        <w:rPr>
          <w:b/>
          <w:caps/>
          <w:color w:val="000000"/>
        </w:rPr>
        <w:t>ä</w:t>
      </w:r>
      <w:r>
        <w:rPr>
          <w:b/>
          <w:color w:val="000000"/>
        </w:rPr>
        <w:t>ZNÝCH A</w:t>
      </w:r>
      <w:r>
        <w:rPr>
          <w:b/>
          <w:color w:val="000000"/>
        </w:rPr>
        <w:t>KTOV EURÓPSKEJ ÚNIE</w:t>
      </w:r>
    </w:p>
    <w:p w:rsidR="004F1AFD" w:rsidP="004F1AFD">
      <w:pPr>
        <w:spacing w:line="360" w:lineRule="auto"/>
        <w:ind w:left="462" w:hanging="231"/>
        <w:jc w:val="center"/>
        <w:rPr>
          <w:b/>
          <w:color w:val="000000"/>
        </w:rPr>
      </w:pP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Rady 2001/40/ES z 28. mája 2001 o vzájomnom uznávaní rozhodnutí o vyhostení štátnych príslušníkov tretích krajín (Mimoriadne vydanie Ú. v. EÚ, kap.19/zv.04; Ú. v. ES L 149, 2.6.2011).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Rady 2001/51/ES z 28. júna 2001, ktorou sa dopĺňajú ustanovenia článku 26 Dohovoru, ktorým sa vykonáva Schengenská dohoda zo 14. júna 1985 (Mimoriadne vydanie Ú. v. EÚ, kap.19/zv.04; Ú. v. ES L 187, 10.7.2001).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Rady 2003/86/ES z 22. septembra 2003 o práve na zlúčenie rodiny (Mimoriadne vydanie Ú. v. EÚ, kap.19/zv.06; Ú. v. EÚ L 251, 3.10.2003).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Rady 2003/109/ES z 25. novembra 2003 o právnom postavení štátnych príslušníkov tretích krajín, ktoré sú osobami s dlhodobým pobytom (Mimoriadne vydanie Ú. v. EÚ, kap.19/zv.06; Ú. v. EÚ L 16, 23.1.2004).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Rady 2003/110/ES z 25. novembra 2003 o pomoci v prípadoch tranzitu na účely leteckého odsunu (Mimoriadne vydanie Ú. v. EÚ, kap.19/zv.06; Ú. v. EÚ L 321, 6.12.2003) v znení nariadenia Európskeho parlamentu a Rady (EÚ) č. 492/2011 z 5. apríla 2011 (Ú. v. EÚ L 141, 27.5.2011).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Európskeho parlamentu a Rady 2004/38/ES z 29. apríla 2004 o práve občanov Únie a ich rodinných príslušníkov voľne sa pohybovať a zdržiavať sa v rámci územia členských štátov, ktorá mení a dopĺňa nariadenie (EHS) 1612/68 a ruší smernice 64/221/EHS, 68/360/EHS, 72/194/EHS, 73/148/EHS, 75/34/EHS, 75/35/EHS, 90/364/EHS, 90/365/EHS a 93/96/EHS (Mimoriadne vydanie Ú. v. EÚ, kap.5/zv.05;  Ú. v. EÚ L  158, 30.4.2004) v znení nariadenia Európskeho parlamentu a Rady (EÚ) č. 492/2011 z 5. apríla 2011 (Ú. v. EÚ L, 27.5.2011)..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Rady 2004/81/ES z 29. apríla 2004 o povoleniach na trvalý pobyt, vydávaných štátnym príslušníkom tretích krajín, ktorí sú obeťami nezákonného obchodovania s ľuďmi alebo ktorí boli predmetom konania umožňujúceho nelegálne prisťahovalectvo a ktorí spolupracovali s príslušnými orgánmi (Mimoriadne vydanie Ú. v. EÚ, kap.19/zv.07; Ú. v. EÚ L  261, 6.8.2004).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Rady 2004/82/ES z 29. apríla 2004 o povinnosti dopravcov oznamovať údaje o cestujúcich (Mimoriadne vydanie Ú. v. EÚ, kap.19/zv.07; Ú. v. EÚ L 261, 6.8.2004).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Rady 2004/114/ES zo 13. decembra 2004 o podmienkach prijatia štátnych príslušníkov tretích krajín na účely štúdia, výmen žiakov, neplateného odborného vzdelávania alebo dobrovoľnej služby (Ú. v. EÚ L 375, 23.12.2004).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Rady 2005/71/ES z 12. októbra 2005 o osobitnom postupe prijímania štátnych príslušníkov tretích krajín na účely vedeckého výskumu (Ú. v. EÚ L 289, 3.11.2005).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Európskeho parlamentu a Rady 2008/115/ES zo 16. decembra 2008 o spoločných normách a postupoch členských štátov na účely návratu štátnych príslušníkov tretích krajín, ktorí sa neoprávnene zdržiavajú na ich území (Ú. v. EÚ L 348, 24.12.2008).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Rady 2009/50/ES z  25. mája 2009 o podmienkach vstupu a pobytu štátnych príslušníkov tretích krajín na účely vysokokvalifikovaného zamestnania (Ú. v. EÚ L 155, 18.6.2009).</w:t>
      </w:r>
    </w:p>
    <w:p w:rsidR="004F1AFD" w:rsidP="004F1AFD">
      <w:pPr>
        <w:numPr>
          <w:ilvl w:val="0"/>
          <w:numId w:val="4"/>
        </w:numPr>
        <w:spacing w:line="360" w:lineRule="auto"/>
        <w:jc w:val="both"/>
      </w:pPr>
      <w:r>
        <w:t>Smernica Európskeho parlamentu a Rady 2009/52/ES z 18. júna 2009, ktorou sa stanovujú minimálne normy pre sankcie a opatrenia voči zamestnávateľom štátnych príslušníkov tretích krajín, ktorí sa neoprávnene zdržiavajú na území členských štátov (Ú. v. EÚ L 168, 30.6.2009).</w:t>
      </w:r>
    </w:p>
    <w:p w:rsidR="004F1AFD" w:rsidP="004F1AFD">
      <w:pPr>
        <w:rPr>
          <w:color w:val="000000"/>
        </w:rPr>
      </w:pPr>
    </w:p>
    <w:p w:rsidR="004F1AFD" w:rsidRPr="004F1AFD" w:rsidP="004F1AFD">
      <w:pPr>
        <w:pStyle w:val="HTMLPreformatted"/>
        <w:widowControl/>
        <w:ind w:left="27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AFD">
        <w:rPr>
          <w:rStyle w:val="Emphasis"/>
          <w:i w:val="0"/>
          <w:sz w:val="24"/>
          <w:szCs w:val="24"/>
        </w:rPr>
        <w:t>Ide o legislatívno-technickú úpravu súvisiacu so zaužívaným spôsobom uvádzania informácie o publikácii právne záväzných aktov Európskej únie v úradnom vestníku.</w:t>
      </w:r>
    </w:p>
    <w:p w:rsidR="00BA4CC4" w:rsidP="00BA4CC4"/>
    <w:p w:rsidR="00BA4CC4" w:rsidRPr="00DE68D2" w:rsidP="00DE68D2">
      <w:pPr>
        <w:numPr>
          <w:ilvl w:val="0"/>
          <w:numId w:val="10"/>
        </w:numPr>
        <w:rPr>
          <w:u w:val="single"/>
        </w:rPr>
      </w:pPr>
      <w:r w:rsidRPr="00DE68D2" w:rsidR="00DE68D2">
        <w:rPr>
          <w:u w:val="single"/>
        </w:rPr>
        <w:t>K názvu zákona</w:t>
      </w:r>
    </w:p>
    <w:p w:rsidR="00DE68D2" w:rsidP="00BA4CC4">
      <w:r>
        <w:t xml:space="preserve">         V názve zákona sa vypúšťajú slová „kontrole hraníc a“. </w:t>
      </w:r>
    </w:p>
    <w:p w:rsidR="00DE68D2" w:rsidP="00BA4CC4"/>
    <w:p w:rsidR="00DE68D2" w:rsidP="00DE68D2">
      <w:pPr>
        <w:ind w:left="2832"/>
        <w:jc w:val="both"/>
      </w:pPr>
      <w:r>
        <w:t xml:space="preserve">Názov zákona má v zmysle legislatívnych pravidiel stručne vymedziť jeho hlavný obsah a tým je predovšetkým úprava pobytu cudzincov a nie kontrola hraníc. </w:t>
      </w:r>
    </w:p>
    <w:p w:rsidR="00BA4CC4" w:rsidP="00BA4CC4"/>
    <w:p w:rsidR="005667E8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34D"/>
    <w:multiLevelType w:val="hybridMultilevel"/>
    <w:tmpl w:val="3D22A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574A8"/>
    <w:multiLevelType w:val="hybridMultilevel"/>
    <w:tmpl w:val="11D6A1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3044"/>
    <w:multiLevelType w:val="hybridMultilevel"/>
    <w:tmpl w:val="B2EA2BEE"/>
    <w:lvl w:ilvl="0">
      <w:start w:val="1"/>
      <w:numFmt w:val="decimal"/>
      <w:lvlText w:val="%1."/>
      <w:lvlJc w:val="left"/>
      <w:pPr>
        <w:ind w:left="1179" w:hanging="360"/>
      </w:pPr>
    </w:lvl>
    <w:lvl w:ilvl="1" w:tentative="1">
      <w:start w:val="1"/>
      <w:numFmt w:val="lowerLetter"/>
      <w:lvlText w:val="%2."/>
      <w:lvlJc w:val="left"/>
      <w:pPr>
        <w:ind w:left="1899" w:hanging="360"/>
      </w:pPr>
    </w:lvl>
    <w:lvl w:ilvl="2" w:tentative="1">
      <w:start w:val="1"/>
      <w:numFmt w:val="lowerRoman"/>
      <w:lvlText w:val="%3."/>
      <w:lvlJc w:val="right"/>
      <w:pPr>
        <w:ind w:left="2619" w:hanging="180"/>
      </w:pPr>
    </w:lvl>
    <w:lvl w:ilvl="3" w:tentative="1">
      <w:start w:val="1"/>
      <w:numFmt w:val="decimal"/>
      <w:lvlText w:val="%4."/>
      <w:lvlJc w:val="left"/>
      <w:pPr>
        <w:ind w:left="3339" w:hanging="360"/>
      </w:pPr>
    </w:lvl>
    <w:lvl w:ilvl="4" w:tentative="1">
      <w:start w:val="1"/>
      <w:numFmt w:val="lowerLetter"/>
      <w:lvlText w:val="%5."/>
      <w:lvlJc w:val="left"/>
      <w:pPr>
        <w:ind w:left="4059" w:hanging="360"/>
      </w:pPr>
    </w:lvl>
    <w:lvl w:ilvl="5" w:tentative="1">
      <w:start w:val="1"/>
      <w:numFmt w:val="lowerRoman"/>
      <w:lvlText w:val="%6."/>
      <w:lvlJc w:val="right"/>
      <w:pPr>
        <w:ind w:left="4779" w:hanging="180"/>
      </w:pPr>
    </w:lvl>
    <w:lvl w:ilvl="6" w:tentative="1">
      <w:start w:val="1"/>
      <w:numFmt w:val="decimal"/>
      <w:lvlText w:val="%7."/>
      <w:lvlJc w:val="left"/>
      <w:pPr>
        <w:ind w:left="5499" w:hanging="360"/>
      </w:pPr>
    </w:lvl>
    <w:lvl w:ilvl="7" w:tentative="1">
      <w:start w:val="1"/>
      <w:numFmt w:val="lowerLetter"/>
      <w:lvlText w:val="%8."/>
      <w:lvlJc w:val="left"/>
      <w:pPr>
        <w:ind w:left="6219" w:hanging="360"/>
      </w:pPr>
    </w:lvl>
    <w:lvl w:ilvl="8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224274D3"/>
    <w:multiLevelType w:val="hybridMultilevel"/>
    <w:tmpl w:val="1966B5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8726C"/>
    <w:multiLevelType w:val="hybridMultilevel"/>
    <w:tmpl w:val="4B92759E"/>
    <w:lvl w:ilvl="0">
      <w:start w:val="3"/>
      <w:numFmt w:val="decimal"/>
      <w:lvlText w:val="%1."/>
      <w:lvlJc w:val="left"/>
      <w:pPr>
        <w:ind w:left="59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11" w:hanging="360"/>
      </w:pPr>
    </w:lvl>
    <w:lvl w:ilvl="2" w:tentative="1">
      <w:start w:val="1"/>
      <w:numFmt w:val="lowerRoman"/>
      <w:lvlText w:val="%3."/>
      <w:lvlJc w:val="right"/>
      <w:pPr>
        <w:ind w:left="2031" w:hanging="180"/>
      </w:pPr>
    </w:lvl>
    <w:lvl w:ilvl="3" w:tentative="1">
      <w:start w:val="1"/>
      <w:numFmt w:val="decimal"/>
      <w:lvlText w:val="%4."/>
      <w:lvlJc w:val="left"/>
      <w:pPr>
        <w:ind w:left="2751" w:hanging="360"/>
      </w:pPr>
    </w:lvl>
    <w:lvl w:ilvl="4" w:tentative="1">
      <w:start w:val="1"/>
      <w:numFmt w:val="lowerLetter"/>
      <w:lvlText w:val="%5."/>
      <w:lvlJc w:val="left"/>
      <w:pPr>
        <w:ind w:left="3471" w:hanging="360"/>
      </w:pPr>
    </w:lvl>
    <w:lvl w:ilvl="5" w:tentative="1">
      <w:start w:val="1"/>
      <w:numFmt w:val="lowerRoman"/>
      <w:lvlText w:val="%6."/>
      <w:lvlJc w:val="right"/>
      <w:pPr>
        <w:ind w:left="4191" w:hanging="180"/>
      </w:pPr>
    </w:lvl>
    <w:lvl w:ilvl="6" w:tentative="1">
      <w:start w:val="1"/>
      <w:numFmt w:val="decimal"/>
      <w:lvlText w:val="%7."/>
      <w:lvlJc w:val="left"/>
      <w:pPr>
        <w:ind w:left="4911" w:hanging="360"/>
      </w:pPr>
    </w:lvl>
    <w:lvl w:ilvl="7" w:tentative="1">
      <w:start w:val="1"/>
      <w:numFmt w:val="lowerLetter"/>
      <w:lvlText w:val="%8."/>
      <w:lvlJc w:val="left"/>
      <w:pPr>
        <w:ind w:left="5631" w:hanging="360"/>
      </w:pPr>
    </w:lvl>
    <w:lvl w:ilvl="8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5">
    <w:nsid w:val="3D4367CB"/>
    <w:multiLevelType w:val="hybridMultilevel"/>
    <w:tmpl w:val="0966E8A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B35917"/>
    <w:multiLevelType w:val="hybridMultilevel"/>
    <w:tmpl w:val="3A540B5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5604A"/>
    <w:multiLevelType w:val="hybridMultilevel"/>
    <w:tmpl w:val="A446BFF8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  <w:rPr>
        <w:rFonts w:cs="Times New Roman"/>
      </w:rPr>
    </w:lvl>
  </w:abstractNum>
  <w:abstractNum w:abstractNumId="8">
    <w:nsid w:val="787D3605"/>
    <w:multiLevelType w:val="hybridMultilevel"/>
    <w:tmpl w:val="5DCC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CC4"/>
    <w:rsid w:val="001A12CE"/>
    <w:rsid w:val="004F1AFD"/>
    <w:rsid w:val="00555E1A"/>
    <w:rsid w:val="005667E8"/>
    <w:rsid w:val="00BA4CC4"/>
    <w:rsid w:val="00D16DFB"/>
    <w:rsid w:val="00DD51B3"/>
    <w:rsid w:val="00DE68D2"/>
    <w:rsid w:val="00E26317"/>
    <w:rsid w:val="00FF77C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CC4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A4CC4"/>
    <w:pPr>
      <w:spacing w:after="120"/>
    </w:pPr>
  </w:style>
  <w:style w:type="paragraph" w:styleId="FootnoteText">
    <w:name w:val="footnote text"/>
    <w:basedOn w:val="Normal"/>
    <w:link w:val="TextpoznmkypodiarouChar"/>
    <w:uiPriority w:val="99"/>
    <w:semiHidden/>
    <w:rsid w:val="00BA4CC4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BA4CC4"/>
    <w:rPr>
      <w:rFonts w:eastAsia="Calibri"/>
      <w:color w:val="000000"/>
      <w:lang w:val="sk-SK" w:eastAsia="cs-CZ" w:bidi="ar-SA"/>
    </w:rPr>
  </w:style>
  <w:style w:type="paragraph" w:styleId="BalloonText">
    <w:name w:val="Balloon Text"/>
    <w:basedOn w:val="Normal"/>
    <w:semiHidden/>
    <w:rsid w:val="00BA4CC4"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sid w:val="004F1AFD"/>
    <w:rPr>
      <w:rFonts w:ascii="Times New Roman" w:hAnsi="Times New Roman" w:cs="Times New Roman" w:hint="default"/>
      <w:i/>
      <w:iCs/>
    </w:rPr>
  </w:style>
  <w:style w:type="paragraph" w:styleId="HTMLPreformatted">
    <w:name w:val="HTML Preformatted"/>
    <w:basedOn w:val="Normal"/>
    <w:link w:val="PredformtovanHTMLChar"/>
    <w:uiPriority w:val="99"/>
    <w:unhideWhenUsed/>
    <w:rsid w:val="004F1AF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PredformtovanHTMLChar">
    <w:name w:val="Predformátované HTML Char"/>
    <w:link w:val="HTMLPreformatted"/>
    <w:uiPriority w:val="99"/>
    <w:rsid w:val="004F1AFD"/>
    <w:rPr>
      <w:rFonts w:ascii="Courier New" w:eastAsia="Calibri" w:hAnsi="Courier New" w:cs="Courier New"/>
    </w:rPr>
  </w:style>
  <w:style w:type="character" w:styleId="FootnoteReference">
    <w:name w:val="footnote reference"/>
    <w:uiPriority w:val="99"/>
    <w:unhideWhenUsed/>
    <w:rsid w:val="004F1AFD"/>
    <w:rPr>
      <w:rFonts w:ascii="Times New Roman" w:hAnsi="Times New Roman" w:cs="Times New Roman" w:hint="default"/>
      <w:vertAlign w:val="superscript"/>
    </w:rPr>
  </w:style>
  <w:style w:type="character" w:customStyle="1" w:styleId="Znakyprepoznmkupodiarou">
    <w:name w:val="Znaky pre poznámku pod čiarou"/>
    <w:uiPriority w:val="99"/>
    <w:rsid w:val="004F1A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2011-10-06T13:40:00Z</cp:lastPrinted>
  <dcterms:created xsi:type="dcterms:W3CDTF">2011-09-21T07:48:00Z</dcterms:created>
  <dcterms:modified xsi:type="dcterms:W3CDTF">2011-10-06T13:41:00Z</dcterms:modified>
</cp:coreProperties>
</file>