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957923">
        <w:rPr>
          <w:sz w:val="22"/>
          <w:szCs w:val="22"/>
        </w:rPr>
        <w:t>2748/2011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E63BB2">
        <w:rPr>
          <w:sz w:val="32"/>
          <w:szCs w:val="32"/>
          <w:lang w:eastAsia="en-US"/>
        </w:rPr>
        <w:t>307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D46ED2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C52096" w:rsidRPr="00C52096" w:rsidP="00C52096">
      <w:pPr>
        <w:tabs>
          <w:tab w:val="num" w:pos="540"/>
        </w:tabs>
        <w:jc w:val="both"/>
      </w:pPr>
      <w:r w:rsidRPr="00D76501" w:rsidR="00CE3B73">
        <w:t>k</w:t>
      </w:r>
      <w:r w:rsidRPr="00D76501" w:rsidR="007311DC">
        <w:t xml:space="preserve"> </w:t>
      </w:r>
      <w:r w:rsidRPr="00D76501" w:rsidR="004A6A82">
        <w:t xml:space="preserve">vládnemu </w:t>
      </w:r>
      <w:r w:rsidRPr="00D76501" w:rsidR="00210B81">
        <w:t>návrh</w:t>
      </w:r>
      <w:r w:rsidRPr="00D76501" w:rsidR="00166315">
        <w:t>u</w:t>
      </w:r>
      <w:r w:rsidRPr="00D76501" w:rsidR="00210B81">
        <w:t xml:space="preserve"> </w:t>
      </w:r>
      <w:r w:rsidRPr="00D76501" w:rsidR="00D76501">
        <w:t xml:space="preserve">zákona </w:t>
      </w:r>
      <w:r w:rsidRPr="00C52096">
        <w:t xml:space="preserve">o dobrovoľníctve a o zmene a doplnení niektorých zákonov (tlač 436) </w:t>
      </w:r>
    </w:p>
    <w:p w:rsidR="006047B3" w:rsidP="003E11CE">
      <w:pPr>
        <w:jc w:val="both"/>
      </w:pPr>
    </w:p>
    <w:p w:rsidR="001544DC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C52096" w:rsidRPr="00C52096" w:rsidP="00C52096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 xml:space="preserve">zákona </w:t>
      </w:r>
      <w:r w:rsidRPr="00C52096">
        <w:t>o dobrovoľníctve a o zmene a doplnení niektorých zákonov (tlač 436)</w:t>
      </w:r>
      <w:r>
        <w:t>;</w:t>
      </w:r>
      <w:r w:rsidRPr="00C52096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</w:t>
      </w:r>
      <w:r w:rsidRPr="006D330D">
        <w:rPr>
          <w:szCs w:val="24"/>
          <w:lang w:eastAsia="sk-SK"/>
        </w:rPr>
        <w:t xml:space="preserve">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Pr="00C52096" w:rsidR="00C52096">
        <w:t xml:space="preserve"> o dobrovoľníctve a o zmene a doplnení</w:t>
      </w:r>
      <w:r w:rsidR="00C52096">
        <w:t xml:space="preserve"> niektorých zákonov (tlač 436)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</w:t>
      </w:r>
      <w:r w:rsidRPr="00F23F88" w:rsidR="00822B6D">
        <w:t xml:space="preserve">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023AC9">
        <w:t xml:space="preserve">pre verejnú správu a regionálny rozvoj. </w:t>
      </w:r>
    </w:p>
    <w:p w:rsidR="00C52096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</w:pPr>
    </w:p>
    <w:p w:rsidR="00A338DA" w:rsidRPr="00A338DA" w:rsidP="00A338DA">
      <w:pPr>
        <w:rPr>
          <w:lang w:eastAsia="en-US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574D7F">
        <w:rPr>
          <w:b/>
        </w:rPr>
        <w:t>307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D46ED2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0C1882" w:rsidRPr="000C1882" w:rsidP="000C1882">
      <w:pPr>
        <w:tabs>
          <w:tab w:val="num" w:pos="540"/>
        </w:tabs>
        <w:jc w:val="both"/>
        <w:rPr>
          <w:b/>
        </w:rPr>
      </w:pPr>
      <w:r w:rsidRPr="000C1882">
        <w:rPr>
          <w:b/>
        </w:rPr>
        <w:t xml:space="preserve">k vládnemu návrhu zákona o dobrovoľníctve a o zmene a doplnení niektorých zákonov (tlač 436) 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</w:t>
      </w:r>
      <w:r w:rsidRPr="008F2577">
        <w:rPr>
          <w:b/>
        </w:rPr>
        <w:t>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615E73" w:rsidRPr="00456C2F" w:rsidP="00615E73">
      <w:pPr>
        <w:rPr>
          <w:b/>
        </w:rPr>
      </w:pPr>
    </w:p>
    <w:p w:rsidR="00615E73" w:rsidRPr="00456C2F" w:rsidP="00615E73">
      <w:pPr>
        <w:numPr>
          <w:ilvl w:val="0"/>
          <w:numId w:val="13"/>
        </w:numPr>
        <w:tabs>
          <w:tab w:val="num" w:pos="360"/>
          <w:tab w:val="num" w:pos="426"/>
          <w:tab w:val="clear" w:pos="720"/>
        </w:tabs>
        <w:spacing w:line="360" w:lineRule="auto"/>
        <w:ind w:left="426" w:hanging="426"/>
        <w:jc w:val="both"/>
      </w:pPr>
      <w:r w:rsidRPr="00456C2F">
        <w:t xml:space="preserve">V čl. I § 2 </w:t>
      </w:r>
      <w:r>
        <w:t xml:space="preserve">ods. 1 </w:t>
      </w:r>
      <w:r w:rsidRPr="00456C2F">
        <w:t>písm. a) sa slová „pracovných, služobných a študijných povinností vyplývajúcich mu“ nahrádzajú slovami „pracovných povinností, služobných povinností a študijných povinností vyplývajúcich jej“.</w:t>
      </w:r>
    </w:p>
    <w:p w:rsidR="00615E73" w:rsidP="00615E73">
      <w:pPr>
        <w:ind w:left="2880"/>
        <w:jc w:val="both"/>
      </w:pPr>
    </w:p>
    <w:p w:rsidR="00615E73" w:rsidRPr="00456C2F" w:rsidP="00615E73">
      <w:pPr>
        <w:ind w:left="2880"/>
        <w:jc w:val="both"/>
      </w:pPr>
      <w:r w:rsidRPr="00456C2F">
        <w:t>Ide o legislatívno-technickú úpravu s ohľadom na jazykovú správnosť navrhovaného textu (čl. 4 ods. 3 Legislatívnych pravidiel tvorby zákonov č. 19/1997 Z. z.).</w:t>
      </w:r>
    </w:p>
    <w:p w:rsidR="00615E73" w:rsidRPr="00456C2F" w:rsidP="00615E73">
      <w:pPr>
        <w:ind w:left="3600"/>
        <w:jc w:val="both"/>
      </w:pPr>
    </w:p>
    <w:p w:rsidR="00615E73" w:rsidRPr="00456C2F" w:rsidP="00615E73">
      <w:pPr>
        <w:ind w:left="3600"/>
        <w:jc w:val="both"/>
      </w:pPr>
    </w:p>
    <w:p w:rsidR="00615E73" w:rsidRPr="00456C2F" w:rsidP="00615E73">
      <w:pPr>
        <w:numPr>
          <w:ilvl w:val="0"/>
          <w:numId w:val="13"/>
        </w:numPr>
        <w:tabs>
          <w:tab w:val="num" w:pos="360"/>
        </w:tabs>
        <w:spacing w:line="360" w:lineRule="auto"/>
        <w:ind w:left="360"/>
        <w:jc w:val="both"/>
      </w:pPr>
      <w:r w:rsidRPr="00456C2F">
        <w:t>V čl. I § 3 ods. 1 písm. e) sa čiarka za slovom „foriem“ vypúšťa.</w:t>
      </w:r>
    </w:p>
    <w:p w:rsidR="00615E73" w:rsidP="00615E73">
      <w:pPr>
        <w:ind w:left="2880"/>
        <w:jc w:val="both"/>
      </w:pPr>
    </w:p>
    <w:p w:rsidR="00615E73" w:rsidRPr="00456C2F" w:rsidP="00615E73">
      <w:pPr>
        <w:ind w:left="2880"/>
        <w:jc w:val="both"/>
      </w:pPr>
      <w:r w:rsidRPr="00456C2F">
        <w:t xml:space="preserve">Ide o gramatickú úpravu textu. </w:t>
      </w:r>
    </w:p>
    <w:p w:rsidR="00615E73" w:rsidRPr="00456C2F" w:rsidP="00615E73">
      <w:pPr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</w:tabs>
        <w:spacing w:line="360" w:lineRule="auto"/>
        <w:ind w:left="426" w:hanging="426"/>
        <w:jc w:val="both"/>
      </w:pPr>
      <w:r w:rsidRPr="00456C2F">
        <w:t>V čl. I § 3 ods</w:t>
      </w:r>
      <w:r>
        <w:t>ek</w:t>
      </w:r>
      <w:r w:rsidRPr="00456C2F">
        <w:t xml:space="preserve"> 4 znie:</w:t>
      </w:r>
    </w:p>
    <w:p w:rsidR="00615E73" w:rsidRPr="00456C2F" w:rsidP="00615E73">
      <w:pPr>
        <w:spacing w:line="360" w:lineRule="auto"/>
        <w:ind w:left="426"/>
        <w:jc w:val="both"/>
      </w:pPr>
      <w:r w:rsidRPr="00456C2F">
        <w:t>„(4) Dobrovoľnícku činnosť na území Slovenskej republiky môže vykonávať aj dobrovoľník, ktorý nie je štátnym občanom Slovenskej republiky, ak spĺňa podmienky na pobyt v Slovenskej republike ustanovené osobitným predpisom.</w:t>
      </w:r>
      <w:r w:rsidRPr="00456C2F">
        <w:rPr>
          <w:vertAlign w:val="superscript"/>
        </w:rPr>
        <w:t>4)</w:t>
      </w:r>
      <w:r w:rsidRPr="00456C2F">
        <w:t>“.</w:t>
      </w:r>
    </w:p>
    <w:p w:rsidR="00615E73" w:rsidP="00615E73">
      <w:pPr>
        <w:ind w:left="2880"/>
        <w:jc w:val="both"/>
      </w:pPr>
    </w:p>
    <w:p w:rsidR="00615E73" w:rsidP="00615E73">
      <w:pPr>
        <w:ind w:left="2880"/>
        <w:jc w:val="both"/>
      </w:pPr>
      <w:r w:rsidRPr="00456C2F">
        <w:t>Ide o p</w:t>
      </w:r>
      <w:r w:rsidRPr="00456C2F">
        <w:t xml:space="preserve">recizovanie navrhnutého textu. </w:t>
      </w:r>
    </w:p>
    <w:p w:rsidR="00615E73" w:rsidP="00615E73">
      <w:pPr>
        <w:ind w:left="2880"/>
        <w:jc w:val="both"/>
      </w:pPr>
    </w:p>
    <w:p w:rsidR="00615E73" w:rsidRPr="00456C2F" w:rsidP="00615E73">
      <w:pPr>
        <w:pStyle w:val="BodyText"/>
        <w:numPr>
          <w:ilvl w:val="0"/>
          <w:numId w:val="13"/>
        </w:numPr>
        <w:tabs>
          <w:tab w:val="num" w:pos="426"/>
        </w:tabs>
        <w:spacing w:line="360" w:lineRule="auto"/>
        <w:ind w:left="426" w:hanging="426"/>
      </w:pPr>
      <w:r w:rsidRPr="00456C2F">
        <w:t>V čl. I § 4 ods. 1 písm. f) sa nad slovo „zákon“ umiestni odkaz 1.</w:t>
      </w:r>
    </w:p>
    <w:p w:rsidR="00615E73" w:rsidRPr="00456C2F" w:rsidP="00615E73">
      <w:pPr>
        <w:ind w:left="2880"/>
        <w:jc w:val="both"/>
      </w:pPr>
    </w:p>
    <w:p w:rsidR="00615E73" w:rsidP="00615E73">
      <w:pPr>
        <w:ind w:left="2880"/>
        <w:jc w:val="both"/>
      </w:pPr>
      <w:r w:rsidRPr="00456C2F">
        <w:t xml:space="preserve">Ide o precizovanie navrhnutého textu. </w:t>
      </w:r>
    </w:p>
    <w:p w:rsidR="00615E73" w:rsidRPr="00456C2F" w:rsidP="00615E73">
      <w:pPr>
        <w:ind w:left="2880"/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</w:tabs>
        <w:spacing w:line="360" w:lineRule="auto"/>
        <w:ind w:left="426" w:hanging="426"/>
        <w:jc w:val="both"/>
      </w:pPr>
      <w:r w:rsidRPr="00456C2F">
        <w:t>V čl. § 4 ods. 3 písm. d) a v § 6 ods. 2 písm. a) sa slová „trvalého pobytu“ nahrádzajú slovami „trvalého pobytu</w:t>
      </w:r>
      <w:r w:rsidRPr="00456C2F">
        <w:rPr>
          <w:vertAlign w:val="superscript"/>
        </w:rPr>
        <w:t xml:space="preserve">x) </w:t>
      </w:r>
      <w:r w:rsidRPr="00456C2F">
        <w:t>alebo pobytu</w:t>
      </w:r>
      <w:r w:rsidRPr="00456C2F">
        <w:rPr>
          <w:vertAlign w:val="superscript"/>
        </w:rPr>
        <w:t>4)</w:t>
      </w:r>
      <w:r w:rsidRPr="00456C2F">
        <w:t>“.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  <w:r w:rsidRPr="00456C2F">
        <w:t>Poznámka pod čiarou k odkazu x znie: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  <w:r w:rsidRPr="00456C2F">
        <w:t>„</w:t>
      </w:r>
      <w:r w:rsidRPr="00456C2F">
        <w:rPr>
          <w:vertAlign w:val="superscript"/>
        </w:rPr>
        <w:t>x</w:t>
      </w:r>
      <w:r w:rsidRPr="00456C2F">
        <w:t>) Zákon č. 253/1998 Z. z. o hlásení pobytu občanov Slovenskej republiky a registri obyvateľov Slovenskej republiky</w:t>
      </w:r>
      <w:r>
        <w:t xml:space="preserve"> v znení neskorších predpisov.“.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  <w:r w:rsidRPr="00456C2F">
        <w:t>Ďalšie poznámky a odkazy pod čiarou k nim sa následne prečíslujú.</w:t>
      </w:r>
    </w:p>
    <w:p w:rsidR="00615E73" w:rsidRPr="00456C2F" w:rsidP="00615E73">
      <w:pPr>
        <w:ind w:left="2880"/>
        <w:jc w:val="both"/>
      </w:pPr>
    </w:p>
    <w:p w:rsidR="00615E73" w:rsidRPr="00456C2F" w:rsidP="00615E73">
      <w:pPr>
        <w:ind w:left="2880"/>
        <w:jc w:val="both"/>
      </w:pPr>
      <w:r w:rsidRPr="00456C2F">
        <w:t xml:space="preserve">Ide o spresnenie ustanovenia s ohľadom na skutočnosť, že pobyt cudzincov je upravený </w:t>
      </w:r>
      <w:r>
        <w:t xml:space="preserve">osobitným zákonom ako pobyt </w:t>
      </w:r>
      <w:r w:rsidRPr="00456C2F">
        <w:t>občanov Slovenskej republiky</w:t>
      </w:r>
      <w:r>
        <w:t>.</w:t>
      </w:r>
      <w:r w:rsidRPr="00456C2F">
        <w:t xml:space="preserve"> </w:t>
      </w:r>
    </w:p>
    <w:p w:rsidR="00615E73" w:rsidRPr="00456C2F" w:rsidP="00615E73">
      <w:pPr>
        <w:jc w:val="both"/>
      </w:pPr>
    </w:p>
    <w:p w:rsidR="00615E73" w:rsidRPr="00456C2F" w:rsidP="00615E73">
      <w:pPr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</w:tabs>
        <w:ind w:left="426" w:hanging="426"/>
        <w:jc w:val="both"/>
      </w:pPr>
      <w:r w:rsidRPr="00456C2F">
        <w:t xml:space="preserve">V čl. I § 4 ods. 4 odkaz 8 nad slovom „škodu“ sa nahrádza odkazom xx. </w:t>
      </w:r>
    </w:p>
    <w:p w:rsidR="00615E73" w:rsidRPr="00456C2F" w:rsidP="00615E73">
      <w:pPr>
        <w:tabs>
          <w:tab w:val="num" w:pos="426"/>
        </w:tabs>
        <w:ind w:left="426"/>
        <w:jc w:val="both"/>
      </w:pPr>
    </w:p>
    <w:p w:rsidR="00615E73" w:rsidRPr="00456C2F" w:rsidP="00615E73">
      <w:pPr>
        <w:tabs>
          <w:tab w:val="num" w:pos="426"/>
        </w:tabs>
        <w:spacing w:line="360" w:lineRule="auto"/>
        <w:jc w:val="both"/>
      </w:pPr>
      <w:r w:rsidRPr="00456C2F">
        <w:t xml:space="preserve">       Poznámka pod čiarou k odkazu xx znie: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  <w:r w:rsidRPr="00456C2F">
        <w:t>„</w:t>
      </w:r>
      <w:r w:rsidRPr="00456C2F">
        <w:rPr>
          <w:vertAlign w:val="superscript"/>
        </w:rPr>
        <w:t>xx</w:t>
      </w:r>
      <w:r w:rsidRPr="00456C2F">
        <w:t>) Občiansky zákonník.</w:t>
      </w:r>
    </w:p>
    <w:p w:rsidR="00615E73" w:rsidP="00615E73">
      <w:pPr>
        <w:tabs>
          <w:tab w:val="num" w:pos="426"/>
        </w:tabs>
        <w:ind w:left="426"/>
        <w:jc w:val="both"/>
      </w:pPr>
    </w:p>
    <w:p w:rsidR="00615E73" w:rsidRPr="00456C2F" w:rsidP="00615E73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615E73" w:rsidRPr="00456C2F" w:rsidP="00615E73">
      <w:pPr>
        <w:ind w:left="2880"/>
        <w:jc w:val="both"/>
      </w:pPr>
    </w:p>
    <w:p w:rsidR="00615E73" w:rsidRPr="00456C2F" w:rsidP="00615E73">
      <w:pPr>
        <w:ind w:left="2880"/>
        <w:jc w:val="both"/>
      </w:pPr>
      <w:r w:rsidRPr="00456C2F">
        <w:t xml:space="preserve">Ide o legislatívno-technickú úpravu číslovania odkazu a doplnenia poznámky pod čiarou v súlade s obsahom ustanovenia. </w:t>
      </w:r>
    </w:p>
    <w:p w:rsidR="00615E73" w:rsidRPr="00456C2F" w:rsidP="00615E73">
      <w:pPr>
        <w:jc w:val="both"/>
      </w:pPr>
    </w:p>
    <w:p w:rsidR="00615E73" w:rsidRPr="00456C2F" w:rsidP="00615E73">
      <w:pPr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</w:tabs>
        <w:spacing w:line="360" w:lineRule="auto"/>
        <w:ind w:left="426" w:hanging="426"/>
        <w:jc w:val="both"/>
      </w:pPr>
      <w:r w:rsidRPr="00456C2F">
        <w:t xml:space="preserve">V čl. I § 4 ods. 6 </w:t>
      </w:r>
      <w:r>
        <w:t xml:space="preserve">prvej vete sa </w:t>
      </w:r>
      <w:r w:rsidRPr="00456C2F">
        <w:t>odkaz 9 nad slovom „predpisu“ nahrádza odkazom 8</w:t>
      </w:r>
      <w:r>
        <w:t xml:space="preserve"> a slová „dobrovoľník dobrovoľnícku činnosť vykonával“ sa nahrádzajú slovami „dobrovoľnícku činnosť dobrovoľník vykonával“.</w:t>
      </w:r>
      <w:r w:rsidRPr="00456C2F">
        <w:t xml:space="preserve"> </w:t>
      </w:r>
    </w:p>
    <w:p w:rsidR="00615E73" w:rsidRPr="00456C2F" w:rsidP="00615E73">
      <w:pPr>
        <w:ind w:left="2835"/>
        <w:jc w:val="both"/>
      </w:pPr>
      <w:r w:rsidRPr="00456C2F">
        <w:t>Ide o opravu odkazu v súlade s poznámkou pod čiarou, ktorá odkazuje na zákon č. 124/2006 Z. z. o bezpečnosti a ochrane zdravia pri práci a o zmene a doplnení niektorých zákonov v znení neskorších predpisov.</w:t>
      </w:r>
      <w:r>
        <w:t xml:space="preserve"> Súčasne sa navrhuje zjednotenie textu s identickou úpravou povinností prijímateľa dobrovoľníckej činnosti v § 5 ods. 3 prvej vete.</w:t>
      </w:r>
    </w:p>
    <w:p w:rsidR="00615E73" w:rsidRPr="00456C2F" w:rsidP="00615E73">
      <w:pPr>
        <w:ind w:left="2835"/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</w:tabs>
        <w:spacing w:line="360" w:lineRule="auto"/>
        <w:ind w:left="426" w:hanging="426"/>
        <w:jc w:val="both"/>
      </w:pPr>
      <w:r w:rsidRPr="00456C2F">
        <w:t>V čl. I § 4 ods. 6 druhej vete sa slová „osobitných predpisov</w:t>
      </w:r>
      <w:r w:rsidRPr="00456C2F">
        <w:rPr>
          <w:vertAlign w:val="superscript"/>
        </w:rPr>
        <w:t>8</w:t>
      </w:r>
      <w:r w:rsidRPr="00456C2F">
        <w:t>)“ nahrádzajú slovami „osobitných predpisov</w:t>
      </w:r>
      <w:r w:rsidRPr="00456C2F">
        <w:rPr>
          <w:vertAlign w:val="superscript"/>
        </w:rPr>
        <w:t>xxx</w:t>
      </w:r>
      <w:r w:rsidRPr="00456C2F">
        <w:t xml:space="preserve">)“ a slová „ochranný odev“ sa nahrádzajú slovami „pracovný odev“.       </w:t>
      </w:r>
    </w:p>
    <w:p w:rsidR="00615E73" w:rsidRPr="00456C2F" w:rsidP="00615E73">
      <w:pPr>
        <w:tabs>
          <w:tab w:val="num" w:pos="426"/>
        </w:tabs>
        <w:spacing w:line="360" w:lineRule="auto"/>
        <w:jc w:val="both"/>
      </w:pPr>
      <w:r w:rsidRPr="00456C2F">
        <w:t xml:space="preserve">       Poznámka pod čiarou k odkazu xxx znie: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  <w:r w:rsidRPr="00456C2F">
        <w:t>„</w:t>
      </w:r>
      <w:r w:rsidRPr="00456C2F">
        <w:rPr>
          <w:vertAlign w:val="superscript"/>
        </w:rPr>
        <w:t>xxx</w:t>
      </w:r>
      <w:r w:rsidRPr="00456C2F">
        <w:t>) Napríklad § 6 ods. 3 zákona č. 124/2006 Z. z.“.</w:t>
      </w:r>
    </w:p>
    <w:p w:rsidR="00615E73" w:rsidRPr="00456C2F" w:rsidP="00615E73">
      <w:pPr>
        <w:tabs>
          <w:tab w:val="num" w:pos="426"/>
        </w:tabs>
        <w:spacing w:line="360" w:lineRule="auto"/>
        <w:ind w:left="426"/>
        <w:jc w:val="both"/>
      </w:pPr>
    </w:p>
    <w:p w:rsidR="00615E73" w:rsidRPr="00456C2F" w:rsidP="00615E73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615E73" w:rsidRPr="00456C2F" w:rsidP="00615E73">
      <w:pPr>
        <w:tabs>
          <w:tab w:val="num" w:pos="426"/>
        </w:tabs>
        <w:ind w:left="426"/>
        <w:jc w:val="both"/>
      </w:pPr>
    </w:p>
    <w:p w:rsidR="00615E73" w:rsidRPr="00456C2F" w:rsidP="00615E73">
      <w:pPr>
        <w:ind w:left="2835"/>
        <w:jc w:val="both"/>
      </w:pPr>
      <w:r w:rsidRPr="00456C2F">
        <w:t>Ide o zosúladenie obsahu a terminológie v druhej vety v  súlade s ustanovením a terminológiou v zákone č. 124/2006 Z. z. o bezpečnosti a ochrane zdravia pri práci a o zmene a doplnení niektorých zákonov v znení neskorších predpisov.</w:t>
      </w:r>
    </w:p>
    <w:p w:rsidR="00615E73" w:rsidRPr="00456C2F" w:rsidP="00615E73">
      <w:pPr>
        <w:ind w:left="2835"/>
        <w:jc w:val="both"/>
      </w:pPr>
    </w:p>
    <w:p w:rsidR="00615E73" w:rsidRPr="00456C2F" w:rsidP="00615E73">
      <w:pPr>
        <w:ind w:left="2835"/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</w:tabs>
        <w:spacing w:line="360" w:lineRule="auto"/>
        <w:ind w:left="426" w:hanging="426"/>
        <w:jc w:val="both"/>
      </w:pPr>
      <w:r w:rsidRPr="00456C2F">
        <w:t xml:space="preserve">V čl. I § 4 ods. 8  a § 5 ods. 5 sa slová „dobrovoľníka a zákonného zástupcu dobrovoľníka mladšieho ako 18 rokov“ nahrádzajú slovami „dobrovoľníka, a ak ide o dobrovoľníka mladšieho ako 18 rokov aj </w:t>
      </w:r>
      <w:r>
        <w:t xml:space="preserve">jeho </w:t>
      </w:r>
      <w:r w:rsidRPr="00456C2F">
        <w:t>zákonného zástupcu,“.</w:t>
      </w:r>
    </w:p>
    <w:p w:rsidR="00615E73" w:rsidRPr="00456C2F" w:rsidP="00615E73">
      <w:pPr>
        <w:tabs>
          <w:tab w:val="num" w:pos="2835"/>
        </w:tabs>
        <w:ind w:left="2835"/>
        <w:jc w:val="both"/>
      </w:pPr>
    </w:p>
    <w:p w:rsidR="00615E73" w:rsidRPr="00456C2F" w:rsidP="00615E73">
      <w:pPr>
        <w:tabs>
          <w:tab w:val="num" w:pos="2835"/>
        </w:tabs>
        <w:ind w:left="2835"/>
        <w:jc w:val="both"/>
      </w:pPr>
      <w:r w:rsidRPr="00456C2F">
        <w:t>Ide o precizovanie textu.</w:t>
      </w:r>
    </w:p>
    <w:p w:rsidR="00615E73" w:rsidRPr="00456C2F" w:rsidP="00615E73">
      <w:pPr>
        <w:tabs>
          <w:tab w:val="num" w:pos="2835"/>
        </w:tabs>
        <w:ind w:left="2835"/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 xml:space="preserve">V čl. I  § 4 ods. 10  a § 5 ods. 7 sa nad slovo „zákona“ vkladá odkaz „xxxx“. 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tabs>
          <w:tab w:val="num" w:pos="426"/>
          <w:tab w:val="num" w:pos="2835"/>
        </w:tabs>
        <w:spacing w:line="360" w:lineRule="auto"/>
        <w:ind w:left="426"/>
        <w:jc w:val="both"/>
      </w:pPr>
      <w:r w:rsidRPr="00456C2F">
        <w:t xml:space="preserve">Poznámka pod čiarou k odkazu xxxx znie: </w:t>
      </w:r>
    </w:p>
    <w:p w:rsidR="00615E73" w:rsidRPr="00456C2F" w:rsidP="00615E73">
      <w:pPr>
        <w:tabs>
          <w:tab w:val="num" w:pos="426"/>
          <w:tab w:val="num" w:pos="2835"/>
        </w:tabs>
        <w:spacing w:line="360" w:lineRule="auto"/>
        <w:ind w:left="426"/>
        <w:jc w:val="both"/>
      </w:pPr>
      <w:r w:rsidRPr="00456C2F">
        <w:t>„Zákon č. 428/2002 Z. z. o ochrane osobných údajov v znení neskorších predpisov.“.</w:t>
      </w:r>
    </w:p>
    <w:p w:rsidR="00615E73" w:rsidRPr="00456C2F" w:rsidP="00615E73">
      <w:pPr>
        <w:tabs>
          <w:tab w:val="num" w:pos="426"/>
          <w:tab w:val="num" w:pos="2835"/>
        </w:tabs>
        <w:spacing w:line="360" w:lineRule="auto"/>
        <w:ind w:left="426"/>
        <w:jc w:val="both"/>
      </w:pPr>
    </w:p>
    <w:p w:rsidR="00615E73" w:rsidRPr="00456C2F" w:rsidP="00615E73">
      <w:pPr>
        <w:tabs>
          <w:tab w:val="num" w:pos="426"/>
        </w:tabs>
        <w:ind w:left="426"/>
        <w:jc w:val="both"/>
      </w:pPr>
      <w:r w:rsidRPr="00456C2F">
        <w:t>Ďalšie odkazy a poznámky pod čiarou k nim sa následne prečíslujú.</w:t>
      </w:r>
    </w:p>
    <w:p w:rsidR="00615E73" w:rsidRPr="00456C2F" w:rsidP="00615E73">
      <w:pPr>
        <w:tabs>
          <w:tab w:val="num" w:pos="426"/>
          <w:tab w:val="num" w:pos="2835"/>
        </w:tabs>
        <w:ind w:left="426"/>
        <w:jc w:val="both"/>
      </w:pPr>
    </w:p>
    <w:p w:rsidR="00615E73" w:rsidRPr="00456C2F" w:rsidP="00615E73">
      <w:pPr>
        <w:tabs>
          <w:tab w:val="num" w:pos="2835"/>
        </w:tabs>
        <w:ind w:left="2835"/>
        <w:jc w:val="both"/>
      </w:pPr>
      <w:r w:rsidRPr="00456C2F">
        <w:t>Legislatívno-technická úprava.</w:t>
      </w:r>
    </w:p>
    <w:p w:rsidR="00615E73" w:rsidRPr="00456C2F" w:rsidP="00615E73">
      <w:pPr>
        <w:tabs>
          <w:tab w:val="num" w:pos="2835"/>
        </w:tabs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 §  5 ods. 1 sa slovo „evidencia“ nahrádza slovom „evidenciu“.</w:t>
      </w:r>
    </w:p>
    <w:p w:rsidR="00615E73" w:rsidRPr="00456C2F" w:rsidP="00615E73">
      <w:pPr>
        <w:tabs>
          <w:tab w:val="num" w:pos="2835"/>
        </w:tabs>
        <w:ind w:left="2835"/>
        <w:jc w:val="both"/>
      </w:pPr>
    </w:p>
    <w:p w:rsidR="00615E73" w:rsidRPr="00456C2F" w:rsidP="00615E73">
      <w:pPr>
        <w:tabs>
          <w:tab w:val="num" w:pos="2835"/>
        </w:tabs>
        <w:ind w:left="2835"/>
        <w:jc w:val="both"/>
      </w:pPr>
      <w:r w:rsidRPr="00456C2F">
        <w:t>Ide o gramatickú úpravu textu.</w:t>
      </w:r>
    </w:p>
    <w:p w:rsidR="00615E73" w:rsidRPr="00456C2F" w:rsidP="00615E73">
      <w:pPr>
        <w:tabs>
          <w:tab w:val="num" w:pos="2835"/>
        </w:tabs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spacing w:line="360" w:lineRule="auto"/>
        <w:ind w:left="426" w:hanging="426"/>
        <w:jc w:val="both"/>
      </w:pPr>
      <w:r w:rsidRPr="00456C2F">
        <w:t>V čl. I § 5 ods. 2 sa slová „osobitného predpisu</w:t>
      </w:r>
      <w:r w:rsidRPr="00456C2F">
        <w:rPr>
          <w:vertAlign w:val="superscript"/>
        </w:rPr>
        <w:t>8)</w:t>
      </w:r>
      <w:r w:rsidRPr="00456C2F">
        <w:t>“ nahrádzajú slovami „osobitného predpisu</w:t>
      </w:r>
      <w:r w:rsidRPr="00456C2F">
        <w:rPr>
          <w:vertAlign w:val="superscript"/>
        </w:rPr>
        <w:t>xx)</w:t>
      </w:r>
      <w:r w:rsidRPr="00456C2F">
        <w:t>“.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ind w:left="2880"/>
        <w:jc w:val="both"/>
      </w:pPr>
      <w:r w:rsidRPr="00456C2F">
        <w:t>Ide o legislatívno-technickú úpravu číslovania odkazu a doplnenia poznámky pod čiarou v súlade s obsahom ustanovenia</w:t>
      </w:r>
      <w:r>
        <w:t>, rovnako ako v § 4 ods. 4</w:t>
      </w:r>
      <w:r w:rsidRPr="00456C2F">
        <w:t xml:space="preserve">. 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spacing w:line="360" w:lineRule="auto"/>
        <w:ind w:left="426" w:hanging="426"/>
        <w:jc w:val="both"/>
      </w:pPr>
      <w:r w:rsidRPr="00456C2F">
        <w:t>V čl. I § 5 ods. 3 prvej vete sa slová „osobitného predpisu</w:t>
      </w:r>
      <w:r w:rsidRPr="00456C2F">
        <w:rPr>
          <w:vertAlign w:val="superscript"/>
        </w:rPr>
        <w:t>9)</w:t>
      </w:r>
      <w:r w:rsidRPr="00456C2F">
        <w:t>“ nahrádzajú slovami „osobitného predpisu</w:t>
      </w:r>
      <w:r w:rsidRPr="00456C2F">
        <w:rPr>
          <w:vertAlign w:val="superscript"/>
        </w:rPr>
        <w:t>8)</w:t>
      </w:r>
      <w:r w:rsidRPr="00456C2F">
        <w:t>“ a v druhej vete sa slová „osobitných predpisov</w:t>
      </w:r>
      <w:r>
        <w:rPr>
          <w:vertAlign w:val="superscript"/>
        </w:rPr>
        <w:t>9</w:t>
      </w:r>
      <w:r w:rsidRPr="00456C2F">
        <w:t>)“ nahrádzajú slovami „osobitných predpisov</w:t>
      </w:r>
      <w:r w:rsidRPr="00456C2F">
        <w:rPr>
          <w:vertAlign w:val="superscript"/>
        </w:rPr>
        <w:t>xxx</w:t>
      </w:r>
      <w:r w:rsidRPr="00456C2F">
        <w:t>)“ a slová „ochranný odev“ sa nahrádzajú slovami „pracovný odev“.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ind w:left="2835"/>
        <w:jc w:val="both"/>
      </w:pPr>
      <w:r w:rsidRPr="00456C2F">
        <w:t>Ide o zosúladenie obsahu a terminológie v druhej vety v  súlade s ustanovením a terminológiou v zákone č. 124/2006 Z. z. o bezpečnosti a ochrane zdravia pri práci a o zmene a doplnení niektorých zákonov v znení neskorších predpisov</w:t>
      </w:r>
      <w:r>
        <w:t>, rovnako ako v § 4 ods. 6</w:t>
      </w:r>
      <w:r w:rsidRPr="00456C2F">
        <w:t>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spacing w:line="360" w:lineRule="auto"/>
        <w:ind w:left="426" w:hanging="426"/>
        <w:jc w:val="both"/>
      </w:pPr>
      <w:r w:rsidRPr="00456C2F">
        <w:t>V čl. I § 6 ods. 2 písm. d) sa slová „poskytnutie ochranného a iných osobných ochranných pracovných prostriedkov“ vypúšťajú.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ind w:left="2835"/>
        <w:jc w:val="both"/>
      </w:pPr>
      <w:r w:rsidRPr="00456C2F">
        <w:t xml:space="preserve">Vypustenie sa navrhuje z dôvodu, že ide povinnosť uloženú vysielajúcej organizácii alebo prijímateľovi v § 4 ods. </w:t>
      </w:r>
      <w:smartTag w:uri="urn:schemas-microsoft-com:office:smarttags" w:element="metricconverter">
        <w:smartTagPr>
          <w:attr w:name="ProductID" w:val="6 a"/>
        </w:smartTagPr>
        <w:r w:rsidRPr="00456C2F">
          <w:t>6 a</w:t>
        </w:r>
      </w:smartTag>
      <w:r w:rsidRPr="00456C2F">
        <w:t xml:space="preserve"> § 5 ods. 3, a preto nie je možné, aby išlo o plnenie, ktoré umožňuje dohodu s dobrovoľníkom.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IV  úvodná veta zmeny zákona znie: „§ 103 sa dopĺňa odsekom 5, ktorý znie:“.</w:t>
      </w:r>
    </w:p>
    <w:p w:rsidR="00615E73" w:rsidRPr="00456C2F" w:rsidP="00615E73">
      <w:pPr>
        <w:tabs>
          <w:tab w:val="num" w:pos="2835"/>
        </w:tabs>
        <w:ind w:left="2835"/>
        <w:jc w:val="both"/>
      </w:pPr>
    </w:p>
    <w:p w:rsidR="00615E73" w:rsidRPr="00456C2F" w:rsidP="00615E73">
      <w:pPr>
        <w:tabs>
          <w:tab w:val="num" w:pos="2835"/>
        </w:tabs>
        <w:ind w:left="2835"/>
        <w:jc w:val="both"/>
      </w:pPr>
      <w:r w:rsidRPr="00456C2F">
        <w:t>Legislatívno-technická úprava.</w:t>
      </w:r>
    </w:p>
    <w:p w:rsidR="00615E73" w:rsidRPr="00456C2F" w:rsidP="00615E73">
      <w:pPr>
        <w:tabs>
          <w:tab w:val="num" w:pos="2835"/>
        </w:tabs>
        <w:ind w:left="2835"/>
        <w:jc w:val="both"/>
      </w:pPr>
    </w:p>
    <w:p w:rsidR="00615E73" w:rsidRPr="00456C2F" w:rsidP="00615E73">
      <w:pPr>
        <w:pStyle w:val="ListParagraph"/>
        <w:numPr>
          <w:ilvl w:val="0"/>
          <w:numId w:val="13"/>
        </w:numPr>
        <w:tabs>
          <w:tab w:val="num" w:pos="426"/>
          <w:tab w:val="clear" w:pos="720"/>
          <w:tab w:val="num" w:pos="2835"/>
        </w:tabs>
        <w:ind w:left="426" w:hanging="426"/>
        <w:jc w:val="both"/>
      </w:pPr>
      <w:r w:rsidRPr="00456C2F">
        <w:t>V čl. IV sa odkaz „48a“ a poznámka pod čiarou k nemu nahrádza odkazom „47a“.</w:t>
      </w:r>
    </w:p>
    <w:p w:rsidR="00615E73" w:rsidRPr="00456C2F" w:rsidP="00615E73">
      <w:pPr>
        <w:tabs>
          <w:tab w:val="num" w:pos="426"/>
          <w:tab w:val="num" w:pos="2835"/>
        </w:tabs>
        <w:ind w:left="2835"/>
        <w:jc w:val="both"/>
      </w:pPr>
      <w:r w:rsidRPr="00456C2F">
        <w:t xml:space="preserve"> </w:t>
      </w:r>
    </w:p>
    <w:p w:rsidR="00615E73" w:rsidRPr="00456C2F" w:rsidP="00615E73">
      <w:pPr>
        <w:tabs>
          <w:tab w:val="num" w:pos="426"/>
          <w:tab w:val="num" w:pos="2835"/>
        </w:tabs>
        <w:ind w:left="2835"/>
        <w:jc w:val="both"/>
      </w:pPr>
      <w:r w:rsidRPr="00456C2F">
        <w:t>Ide o legislatívno-technickú úpravu označenie odkazu, vzhľadom na to, že odkaz 48 je umiestnený v § 104.</w:t>
      </w: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tabs>
          <w:tab w:val="num" w:pos="426"/>
          <w:tab w:val="num" w:pos="2835"/>
        </w:tabs>
        <w:jc w:val="both"/>
      </w:pPr>
    </w:p>
    <w:p w:rsidR="00615E73" w:rsidRPr="00456C2F" w:rsidP="00615E73">
      <w:pPr>
        <w:pStyle w:val="BodyText"/>
        <w:ind w:left="426"/>
      </w:pPr>
    </w:p>
    <w:p w:rsidR="00615E73" w:rsidRPr="00456C2F" w:rsidP="00615E73">
      <w:pPr>
        <w:pStyle w:val="BodyText"/>
        <w:ind w:left="426"/>
      </w:pPr>
    </w:p>
    <w:p w:rsidR="00615E73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6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20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6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1206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6F6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063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6C2F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4D7F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38DA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3BB2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2995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dobrovoľníctve </vt:lpstr>
    </vt:vector>
  </TitlesOfParts>
  <Manager>Magdaléna Šuchaňová</Manager>
  <Company>Kancelária NR SR, ÚPV NR SR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dobrovoľníctve</dc:title>
  <dc:subject>sch.41, 5.10.2011</dc:subject>
  <dc:creator>Viera Ebringerová</dc:creator>
  <cp:keywords>UPV 307 tlač 436</cp:keywords>
  <dc:description>vládny návrh  zákona</dc:description>
  <cp:lastModifiedBy>EbriVier</cp:lastModifiedBy>
  <cp:revision>2091</cp:revision>
  <cp:lastPrinted>2011-10-05T13:16:00Z</cp:lastPrinted>
  <dcterms:created xsi:type="dcterms:W3CDTF">2002-05-15T10:56:00Z</dcterms:created>
  <dcterms:modified xsi:type="dcterms:W3CDTF">2011-10-05T13:16:00Z</dcterms:modified>
  <cp:category>Uznesenie</cp:category>
</cp:coreProperties>
</file>