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4B7B17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986383">
        <w:rPr>
          <w:sz w:val="22"/>
          <w:szCs w:val="22"/>
        </w:rPr>
        <w:t>31</w:t>
      </w:r>
      <w:r w:rsidR="009A1372">
        <w:rPr>
          <w:sz w:val="22"/>
          <w:szCs w:val="22"/>
        </w:rPr>
        <w:t>53</w:t>
      </w:r>
      <w:r w:rsidR="00986383">
        <w:rPr>
          <w:sz w:val="22"/>
          <w:szCs w:val="22"/>
        </w:rPr>
        <w:t>/2011</w:t>
      </w:r>
    </w:p>
    <w:p w:rsidR="004B7B17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D74818">
        <w:rPr>
          <w:sz w:val="32"/>
          <w:szCs w:val="32"/>
          <w:lang w:eastAsia="en-US"/>
        </w:rPr>
        <w:t>304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>z</w:t>
      </w:r>
      <w:r w:rsidR="00986383">
        <w:rPr>
          <w:b/>
        </w:rPr>
        <w:t> 5.</w:t>
      </w:r>
      <w:r w:rsidR="0021452B">
        <w:rPr>
          <w:b/>
        </w:rPr>
        <w:t xml:space="preserve">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4B7B17" w:rsidP="009D3D40">
      <w:pPr>
        <w:jc w:val="both"/>
      </w:pPr>
    </w:p>
    <w:p w:rsidR="00F60F7A" w:rsidRPr="00F60F7A" w:rsidP="00F60F7A">
      <w:pPr>
        <w:jc w:val="both"/>
      </w:pPr>
      <w:r w:rsidRPr="00F60F7A" w:rsidR="00CE3B73">
        <w:t>k</w:t>
      </w:r>
      <w:r w:rsidRPr="00F60F7A" w:rsidR="007311DC">
        <w:t xml:space="preserve"> </w:t>
      </w:r>
      <w:r w:rsidRPr="00F60F7A" w:rsidR="004A6A82">
        <w:t xml:space="preserve">vládnemu </w:t>
      </w:r>
      <w:r w:rsidRPr="00F60F7A" w:rsidR="00210B81">
        <w:t>návrh</w:t>
      </w:r>
      <w:r w:rsidRPr="00F60F7A" w:rsidR="00166315">
        <w:t>u</w:t>
      </w:r>
      <w:r w:rsidRPr="00F60F7A" w:rsidR="00210B81">
        <w:t xml:space="preserve"> </w:t>
      </w:r>
      <w:r w:rsidRPr="00F60F7A" w:rsidR="000C1520">
        <w:t>zákona</w:t>
      </w:r>
      <w:r w:rsidRPr="00F60F7A">
        <w:t xml:space="preserve"> o rastlinolekárskej starostlivosti a o zmene zákona Národnej rady Slovenskej republiky č. 145/1995 Z. z. o správnych poplatkoch v znení neskorších predpisov (tlač 477) </w:t>
      </w:r>
    </w:p>
    <w:p w:rsidR="00F95D65" w:rsidRPr="00F95D65" w:rsidP="00F95D65">
      <w:pPr>
        <w:tabs>
          <w:tab w:val="left" w:pos="0"/>
        </w:tabs>
        <w:ind w:left="3782"/>
        <w:jc w:val="both"/>
      </w:pPr>
    </w:p>
    <w:p w:rsidR="004B7B17" w:rsidP="0047287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9A1372" w:rsidRPr="00F60F7A" w:rsidP="009A1372">
      <w:pPr>
        <w:jc w:val="both"/>
      </w:pPr>
      <w:r w:rsidRPr="001E7371" w:rsidR="001E7371">
        <w:tab/>
        <w:tab/>
      </w:r>
      <w:r w:rsidRPr="008B75EC" w:rsidR="00EB6556">
        <w:t xml:space="preserve">s vládnym návrhom </w:t>
      </w:r>
      <w:r w:rsidR="00D76501">
        <w:t>zákona</w:t>
      </w:r>
      <w:r>
        <w:t xml:space="preserve"> </w:t>
      </w:r>
      <w:r w:rsidRPr="00F60F7A">
        <w:t>o rastlinolekárskej starostlivosti a o zmene zákona Národnej rady Slovenskej republiky č. 145/1995 Z. z. o správnych poplatkoch v znení neskorších predpisov (tlač 477)</w:t>
      </w:r>
      <w:r>
        <w:t>;</w:t>
      </w:r>
      <w:r w:rsidRPr="00F60F7A">
        <w:t xml:space="preserve"> 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F95D65">
      <w:pPr>
        <w:jc w:val="both"/>
      </w:pPr>
      <w:r w:rsidRPr="008B75EC" w:rsidR="00795881">
        <w:tab/>
      </w:r>
      <w:r w:rsidRPr="008B75EC" w:rsidR="009B5C3F">
        <w:tab/>
      </w:r>
      <w:r w:rsidRPr="008B75EC" w:rsidR="00166315">
        <w:t xml:space="preserve">vládny návrh </w:t>
      </w:r>
      <w:r w:rsidR="00B232E9">
        <w:t>zákona</w:t>
      </w:r>
      <w:r w:rsidR="009A1372">
        <w:t xml:space="preserve"> </w:t>
      </w:r>
      <w:r w:rsidRPr="00F60F7A" w:rsidR="009A1372">
        <w:t xml:space="preserve">o rastlinolekárskej starostlivosti a o zmene zákona Národnej rady Slovenskej republiky č. 145/1995 Z. z. o správnych poplatkoch v znení neskorších predpisov (tlač 477)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</w:t>
      </w:r>
      <w:r>
        <w:rPr>
          <w:b/>
        </w:rPr>
        <w:t xml:space="preserve">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6047B3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822B6D">
        <w:t xml:space="preserve"> </w:t>
      </w:r>
      <w:r w:rsidRPr="00F23F88" w:rsidR="00822B6D">
        <w:t xml:space="preserve">zákona predsedovi gestorského </w:t>
      </w:r>
      <w:r w:rsidR="00C5518C">
        <w:t>V</w:t>
      </w:r>
      <w:r w:rsidRPr="00F23F88" w:rsidR="00822B6D">
        <w:t>ýboru Nár</w:t>
      </w:r>
      <w:r w:rsidR="009B5C3F">
        <w:t>odnej rady Slovenskej republiky</w:t>
      </w:r>
      <w:r w:rsidR="008F2577">
        <w:t xml:space="preserve"> </w:t>
      </w:r>
      <w:r w:rsidR="00043437">
        <w:t>pre</w:t>
      </w:r>
      <w:r w:rsidR="00415F45">
        <w:t xml:space="preserve"> pôdohospodárstvo a životné prostredie. </w:t>
      </w: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6D6465">
        <w:rPr>
          <w:b/>
        </w:rPr>
        <w:t>304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7864CD">
        <w:rPr>
          <w:b/>
        </w:rPr>
        <w:t xml:space="preserve"> </w:t>
      </w:r>
      <w:r w:rsidR="004329CC">
        <w:rPr>
          <w:b/>
        </w:rPr>
        <w:t>5</w:t>
      </w:r>
      <w:r w:rsidR="007864CD">
        <w:rPr>
          <w:b/>
        </w:rPr>
        <w:t xml:space="preserve">. októbra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AC663C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8B75EC" w:rsidP="008B75EC">
      <w:pPr>
        <w:rPr>
          <w:lang w:eastAsia="en-US"/>
        </w:rPr>
      </w:pPr>
    </w:p>
    <w:p w:rsidR="00853CFB" w:rsidRPr="00853CFB" w:rsidP="00853CFB">
      <w:pPr>
        <w:jc w:val="both"/>
        <w:rPr>
          <w:b/>
        </w:rPr>
      </w:pPr>
      <w:r w:rsidRPr="00853CFB" w:rsidR="00131C72">
        <w:rPr>
          <w:b/>
        </w:rPr>
        <w:t xml:space="preserve">k vládnemu návrhu </w:t>
      </w:r>
      <w:r w:rsidRPr="00853CFB" w:rsidR="00AF0B51">
        <w:rPr>
          <w:b/>
        </w:rPr>
        <w:t>zákona</w:t>
      </w:r>
      <w:r w:rsidRPr="00853CFB">
        <w:rPr>
          <w:b/>
        </w:rPr>
        <w:t xml:space="preserve"> o rastlinolekárskej starostlivosti a o zmene zákona Národnej rady Slovenskej republiky č. 145/1995 Z. z. o správnych poplatkoch v znení neskorších predpisov (tlač 477) </w:t>
      </w:r>
    </w:p>
    <w:p w:rsidR="00AC663C" w:rsidRPr="00853CFB" w:rsidP="00C5518C">
      <w:pPr>
        <w:tabs>
          <w:tab w:val="left" w:pos="540"/>
        </w:tabs>
        <w:jc w:val="both"/>
        <w:rPr>
          <w:b/>
        </w:rPr>
      </w:pPr>
      <w:r w:rsidRPr="00853CFB">
        <w:rPr>
          <w:b/>
        </w:rPr>
        <w:t>___________________________________________________________________________</w:t>
      </w:r>
    </w:p>
    <w:p w:rsidR="00AC663C" w:rsidP="00AC663C">
      <w:pPr>
        <w:jc w:val="both"/>
        <w:rPr>
          <w:b/>
        </w:rPr>
      </w:pPr>
    </w:p>
    <w:p w:rsidR="00E91D61" w:rsidP="00AC663C">
      <w:pPr>
        <w:jc w:val="both"/>
        <w:rPr>
          <w:b/>
        </w:rPr>
      </w:pPr>
    </w:p>
    <w:p w:rsidR="00E91D61" w:rsidP="00E91D61">
      <w:pPr>
        <w:spacing w:line="360" w:lineRule="auto"/>
        <w:jc w:val="both"/>
        <w:rPr>
          <w:b/>
        </w:rPr>
      </w:pPr>
      <w:r>
        <w:rPr>
          <w:b/>
        </w:rPr>
        <w:t>K čl. I.</w:t>
      </w:r>
    </w:p>
    <w:p w:rsidR="00E91D61" w:rsidP="00E91D61">
      <w:pPr>
        <w:pStyle w:val="ListParagraph"/>
        <w:numPr>
          <w:ilvl w:val="0"/>
          <w:numId w:val="13"/>
        </w:numPr>
        <w:spacing w:line="360" w:lineRule="auto"/>
        <w:jc w:val="both"/>
      </w:pPr>
      <w:r>
        <w:t>V § 4 písm. a) sa na konci pripájajú tieto slová: „podľa § 11 ods.1 (ďalej len „výrobca a dovozca“)“.</w:t>
      </w:r>
    </w:p>
    <w:p w:rsidR="00E91D61" w:rsidP="00E91D61">
      <w:pPr>
        <w:ind w:left="4201"/>
        <w:contextualSpacing/>
        <w:jc w:val="both"/>
      </w:pPr>
      <w:r>
        <w:t>Vzhľadom na to, že ide o orgán pre oblasť rastlinolekárskej starostlivosti, javí sa  vhodným špecifikovať okruh výrobcov a dovozcov, na ktorých sa registrácia vzťahuje.</w:t>
      </w:r>
    </w:p>
    <w:p w:rsidR="00E91D61" w:rsidP="00E91D61">
      <w:pPr>
        <w:ind w:left="4201"/>
        <w:contextualSpacing/>
        <w:jc w:val="both"/>
      </w:pPr>
    </w:p>
    <w:p w:rsidR="00E91D61" w:rsidP="00E91D61">
      <w:pPr>
        <w:numPr>
          <w:ilvl w:val="0"/>
          <w:numId w:val="13"/>
        </w:numPr>
        <w:spacing w:before="100" w:beforeAutospacing="1" w:line="360" w:lineRule="auto"/>
        <w:contextualSpacing/>
        <w:jc w:val="both"/>
      </w:pPr>
      <w:r>
        <w:t>V § 4 písmeno j) znie:</w:t>
      </w:r>
    </w:p>
    <w:p w:rsidR="00E91D61" w:rsidP="00E91D61">
      <w:pPr>
        <w:spacing w:before="100" w:beforeAutospacing="1" w:line="360" w:lineRule="auto"/>
        <w:contextualSpacing/>
        <w:jc w:val="both"/>
      </w:pPr>
      <w:r>
        <w:t>„j) prijíma žiadosti na hodnotenie účinných látok, safanerov , synergentov, adjuvantov alebo základných látok, prípravkov na ochranu rastlín, koordinuje proces ich hodnotenia a vydáva rozhodnutia,“.</w:t>
      </w:r>
    </w:p>
    <w:p w:rsidR="00E91D61" w:rsidP="00E91D61">
      <w:pPr>
        <w:spacing w:before="100" w:beforeAutospacing="1" w:after="100" w:afterAutospacing="1"/>
        <w:ind w:left="4248"/>
        <w:contextualSpacing/>
        <w:jc w:val="both"/>
      </w:pPr>
      <w:r>
        <w:t>Navrhuje sa spresnenie ustanovenia.</w:t>
      </w:r>
    </w:p>
    <w:p w:rsidR="00E91D61" w:rsidP="00E91D61">
      <w:pPr>
        <w:spacing w:before="100" w:beforeAutospacing="1" w:after="100" w:afterAutospacing="1"/>
        <w:ind w:left="4248"/>
        <w:contextualSpacing/>
        <w:jc w:val="both"/>
      </w:pPr>
    </w:p>
    <w:p w:rsidR="00E91D61" w:rsidP="00E91D61">
      <w:pPr>
        <w:spacing w:before="100" w:beforeAutospacing="1" w:after="100" w:afterAutospacing="1"/>
        <w:ind w:left="4248"/>
        <w:contextualSpacing/>
        <w:jc w:val="both"/>
      </w:pPr>
    </w:p>
    <w:p w:rsidR="00E91D61" w:rsidP="00E91D61">
      <w:pPr>
        <w:numPr>
          <w:ilvl w:val="0"/>
          <w:numId w:val="13"/>
        </w:numPr>
        <w:spacing w:before="100" w:beforeAutospacing="1" w:line="360" w:lineRule="auto"/>
        <w:contextualSpacing/>
        <w:jc w:val="both"/>
      </w:pPr>
      <w:r>
        <w:t>V § 6  písmeno a) znie:</w:t>
      </w:r>
    </w:p>
    <w:p w:rsidR="00E91D61" w:rsidP="00E91D61">
      <w:pPr>
        <w:spacing w:before="100" w:beforeAutospacing="1" w:line="360" w:lineRule="auto"/>
        <w:contextualSpacing/>
        <w:jc w:val="both"/>
      </w:pPr>
      <w:r>
        <w:t>„a) zabezpečuje evidenciu a vedie zoznam evidovaných typov aplikačných zariadení pre aplikáciu prípravkov na ochranu rastlín (ďalej len „zoznam aplikačných zariadení“),“.</w:t>
      </w:r>
    </w:p>
    <w:p w:rsidR="00E91D61" w:rsidP="00E91D61">
      <w:pPr>
        <w:spacing w:before="240" w:line="360" w:lineRule="auto"/>
        <w:contextualSpacing/>
        <w:jc w:val="both"/>
      </w:pPr>
      <w:r>
        <w:t>V súvislosti so zavedením legislatívnej skratky sa v § 29 ods. 1 slová „zoznamu evidovaných typov aplikačných zariadení pre aplikáciu prípravkov na ochranu rastlín (ďalej len „zoznam aplikačných zariadení“) nahrádzajú slovami „zoznamu aplikačných zariadení“.</w:t>
      </w:r>
    </w:p>
    <w:p w:rsidR="00E91D61" w:rsidP="00E91D61">
      <w:pPr>
        <w:spacing w:before="240"/>
        <w:ind w:left="4247"/>
        <w:contextualSpacing/>
        <w:jc w:val="both"/>
      </w:pPr>
      <w:r>
        <w:t>Navrhuje sa zavedenie legislatívnej skratky použiť pri prvom zavedení pojmu.</w:t>
      </w:r>
    </w:p>
    <w:p w:rsidR="00E91D61" w:rsidP="00E91D61">
      <w:pPr>
        <w:spacing w:line="360" w:lineRule="auto"/>
        <w:ind w:left="4245"/>
        <w:contextualSpacing/>
        <w:jc w:val="both"/>
      </w:pPr>
    </w:p>
    <w:p w:rsidR="00E91D61" w:rsidP="00E91D61">
      <w:pPr>
        <w:numPr>
          <w:ilvl w:val="0"/>
          <w:numId w:val="13"/>
        </w:numPr>
        <w:spacing w:before="100" w:beforeAutospacing="1" w:line="360" w:lineRule="auto"/>
        <w:contextualSpacing/>
        <w:jc w:val="both"/>
      </w:pPr>
      <w:r>
        <w:t>V § 11 ods. 2 písm. b) sa  slovo „skončení“ nahrádza slovami „pri skončení“, a slovo „lesníckej“ sa nahrádza slovami „pri skončení lesníckej“.</w:t>
      </w:r>
    </w:p>
    <w:p w:rsidR="00E91D61" w:rsidP="00E91D61">
      <w:pPr>
        <w:spacing w:before="100" w:beforeAutospacing="1" w:after="100" w:afterAutospacing="1"/>
        <w:jc w:val="both"/>
        <w:outlineLvl w:val="0"/>
      </w:pPr>
      <w:r>
        <w:t xml:space="preserve">                                                           </w:t>
        <w:tab/>
        <w:t xml:space="preserve"> Navrhuje sa gramatická úprava ustanovenia.</w:t>
      </w:r>
    </w:p>
    <w:p w:rsidR="00E91D61" w:rsidP="00E91D61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>V § 15 ods. 1 sa vypúšťajú slová „(ďalej len „žiadateľ“)“.</w:t>
      </w:r>
    </w:p>
    <w:p w:rsidR="00E91D61" w:rsidP="00E91D61">
      <w:pPr>
        <w:spacing w:before="100" w:beforeAutospacing="1" w:after="100" w:afterAutospacing="1"/>
        <w:jc w:val="both"/>
        <w:outlineLvl w:val="0"/>
      </w:pPr>
      <w:r>
        <w:t xml:space="preserve">                                                            </w:t>
        <w:tab/>
        <w:t>Vypustenie sa navrhuje z dôvodu nadbytočnosti.</w:t>
      </w:r>
    </w:p>
    <w:p w:rsidR="00E91D61" w:rsidP="00E91D61">
      <w:pPr>
        <w:spacing w:before="100" w:beforeAutospacing="1" w:after="100" w:afterAutospacing="1"/>
        <w:ind w:left="4248"/>
        <w:contextualSpacing/>
        <w:jc w:val="both"/>
      </w:pPr>
    </w:p>
    <w:p w:rsidR="00E91D61" w:rsidP="00E91D61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>V § 16 ods. 2 sa za slovo „autorizáciu“ vkladajú slová „podľa odseku 1“.</w:t>
      </w:r>
    </w:p>
    <w:p w:rsidR="00E91D61" w:rsidP="00E91D61">
      <w:pPr>
        <w:spacing w:before="100" w:beforeAutospacing="1" w:after="100" w:afterAutospacing="1"/>
        <w:ind w:left="3552" w:firstLine="696"/>
        <w:contextualSpacing/>
        <w:jc w:val="both"/>
        <w:outlineLvl w:val="0"/>
      </w:pPr>
      <w:r>
        <w:t>Navrhuje sa precizovanie ust</w:t>
      </w:r>
      <w:r>
        <w:t>anovenia.</w:t>
      </w:r>
    </w:p>
    <w:p w:rsidR="00E91D61" w:rsidP="00E91D61">
      <w:pPr>
        <w:spacing w:before="100" w:beforeAutospacing="1" w:after="100" w:afterAutospacing="1"/>
        <w:ind w:left="3552" w:firstLine="696"/>
        <w:contextualSpacing/>
        <w:jc w:val="both"/>
      </w:pPr>
    </w:p>
    <w:p w:rsidR="00E91D61" w:rsidP="00E91D61">
      <w:pPr>
        <w:numPr>
          <w:ilvl w:val="0"/>
          <w:numId w:val="13"/>
        </w:numPr>
        <w:spacing w:line="360" w:lineRule="auto"/>
        <w:ind w:left="360" w:hanging="360"/>
        <w:contextualSpacing/>
        <w:jc w:val="both"/>
      </w:pPr>
      <w:r>
        <w:t>V § 17 ods. 1 sa slová „alebo povolenia“ nahrádzajú slovami „alebo držiteľ povolenia“,  v ods. 2 sa za slovo „povolenia“ vkladajú slová „na paralelný obchod“ a v ods. 13 sa za slovo „ochranu“ vkladá slovo „rastlín“.</w:t>
      </w:r>
    </w:p>
    <w:p w:rsidR="00E91D61" w:rsidP="00E91D61">
      <w:pPr>
        <w:ind w:left="3540" w:firstLine="708"/>
        <w:jc w:val="both"/>
      </w:pPr>
      <w:r>
        <w:t>Navrhuje sa precizovanie usta</w:t>
      </w:r>
      <w:r>
        <w:t xml:space="preserve">novenia.                                                            </w:t>
      </w:r>
    </w:p>
    <w:p w:rsidR="00E91D61" w:rsidP="00E91D61">
      <w:pPr>
        <w:ind w:left="3540" w:firstLine="708"/>
        <w:jc w:val="both"/>
        <w:rPr>
          <w:lang w:eastAsia="en-US"/>
        </w:rPr>
      </w:pPr>
    </w:p>
    <w:p w:rsidR="00E91D61" w:rsidP="00E91D61">
      <w:pPr>
        <w:pStyle w:val="ListParagraph"/>
        <w:numPr>
          <w:ilvl w:val="0"/>
          <w:numId w:val="13"/>
        </w:numPr>
        <w:spacing w:line="360" w:lineRule="auto"/>
        <w:ind w:left="360" w:hanging="360"/>
        <w:jc w:val="both"/>
      </w:pPr>
      <w:r>
        <w:t>V § 19 ods. 2 sa slová „o autorizáciu, žiadateľ o povolenie“ nahrádzajú slovami „o autorizáciu prípravku na ochranu rastlín, žiadateľ o povolenie paralelného obchodu“.</w:t>
      </w:r>
    </w:p>
    <w:p w:rsidR="00E91D61" w:rsidP="00E91D61">
      <w:pPr>
        <w:spacing w:before="100" w:beforeAutospacing="1" w:after="100" w:afterAutospacing="1"/>
        <w:ind w:left="3552" w:firstLine="696"/>
        <w:contextualSpacing/>
        <w:jc w:val="both"/>
        <w:outlineLvl w:val="0"/>
      </w:pPr>
      <w:r>
        <w:t>Ide o legislatívno</w:t>
      </w:r>
      <w:r>
        <w:t>-technickú úpravu.</w:t>
      </w:r>
    </w:p>
    <w:p w:rsidR="00E91D61" w:rsidP="00E91D61">
      <w:pPr>
        <w:spacing w:before="100" w:beforeAutospacing="1" w:after="100" w:afterAutospacing="1"/>
        <w:jc w:val="both"/>
      </w:pPr>
    </w:p>
    <w:p w:rsidR="00E91D61" w:rsidP="00E91D61">
      <w:pPr>
        <w:numPr>
          <w:ilvl w:val="0"/>
          <w:numId w:val="13"/>
        </w:numPr>
        <w:spacing w:line="360" w:lineRule="auto"/>
        <w:ind w:left="360" w:hanging="360"/>
        <w:contextualSpacing/>
        <w:jc w:val="both"/>
      </w:pPr>
      <w:r>
        <w:t>V § 25 ods. 1 písm. a) sa za slovo „autorizovaného“ vkladajú slová „ prípravku na ochranu rastlín“.</w:t>
      </w:r>
    </w:p>
    <w:p w:rsidR="00E91D61" w:rsidP="00E91D61">
      <w:pPr>
        <w:spacing w:before="100" w:beforeAutospacing="1" w:after="100" w:afterAutospacing="1"/>
        <w:ind w:left="3540" w:firstLine="708"/>
        <w:contextualSpacing/>
        <w:jc w:val="both"/>
        <w:outlineLvl w:val="0"/>
      </w:pPr>
      <w:r>
        <w:t>Ide o legislatívno-technickú úpravu.</w:t>
      </w:r>
    </w:p>
    <w:p w:rsidR="00E91D61" w:rsidP="00E91D61">
      <w:pPr>
        <w:spacing w:before="100" w:beforeAutospacing="1" w:after="100" w:afterAutospacing="1"/>
        <w:jc w:val="both"/>
      </w:pPr>
    </w:p>
    <w:p w:rsidR="00E91D61" w:rsidP="00C04BDF">
      <w:pPr>
        <w:numPr>
          <w:ilvl w:val="0"/>
          <w:numId w:val="13"/>
        </w:numPr>
        <w:spacing w:line="360" w:lineRule="auto"/>
        <w:ind w:left="360" w:hanging="360"/>
        <w:contextualSpacing/>
        <w:jc w:val="both"/>
      </w:pPr>
      <w:r>
        <w:t>V § 28 ods. 2 sa slová „musí mať“ nahrádzajú slovom „spĺňa“ a slovo „zamestnávať“ sa nahrádza slov</w:t>
      </w:r>
      <w:r>
        <w:t>om „zamestnáva“.</w:t>
      </w:r>
    </w:p>
    <w:p w:rsidR="00E91D61" w:rsidP="00E91D61">
      <w:pPr>
        <w:ind w:left="4247"/>
        <w:contextualSpacing/>
        <w:jc w:val="both"/>
      </w:pPr>
      <w:r>
        <w:t>Navrhuje sa terminologické  zjednotenie ustanovenia.</w:t>
      </w:r>
    </w:p>
    <w:p w:rsidR="00E91D61" w:rsidP="00E91D61">
      <w:pPr>
        <w:spacing w:before="100" w:beforeAutospacing="1" w:after="100" w:afterAutospacing="1"/>
        <w:ind w:left="4200"/>
        <w:contextualSpacing/>
        <w:jc w:val="both"/>
      </w:pPr>
    </w:p>
    <w:p w:rsidR="00E91D61" w:rsidP="00C04BDF">
      <w:pPr>
        <w:numPr>
          <w:ilvl w:val="0"/>
          <w:numId w:val="13"/>
        </w:numPr>
        <w:spacing w:line="360" w:lineRule="auto"/>
        <w:ind w:left="360" w:hanging="360"/>
        <w:contextualSpacing/>
        <w:jc w:val="both"/>
      </w:pPr>
      <w:r>
        <w:t>V § 28 ods. 4 písm. h)  sa slová „ak sú tieto zmeny také závažné, že“ nahrádzajú slovami „podstatné zmeny sú tie, ktoré“.</w:t>
      </w:r>
    </w:p>
    <w:p w:rsidR="00E91D61" w:rsidP="00E91D61">
      <w:pPr>
        <w:spacing w:before="100" w:beforeAutospacing="1" w:after="100" w:afterAutospacing="1"/>
        <w:ind w:left="3552" w:hanging="8"/>
        <w:contextualSpacing/>
        <w:jc w:val="both"/>
        <w:outlineLvl w:val="0"/>
      </w:pPr>
      <w:r>
        <w:t xml:space="preserve">   </w:t>
        <w:tab/>
        <w:t>Navrhuje sa precizovanie ustanovenia.</w:t>
      </w:r>
    </w:p>
    <w:p w:rsidR="00E91D61" w:rsidP="00E91D61">
      <w:pPr>
        <w:spacing w:before="100" w:beforeAutospacing="1" w:after="100" w:afterAutospacing="1"/>
        <w:jc w:val="both"/>
      </w:pPr>
      <w:r>
        <w:t xml:space="preserve">          </w:t>
      </w:r>
    </w:p>
    <w:p w:rsidR="00E91D61" w:rsidP="00E91D61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>V § 28 ods</w:t>
      </w:r>
      <w:r>
        <w:t>. 8 písm. e) sa slovo „konaniu“ nahrádza slovom „rozhodnutiu“.</w:t>
      </w:r>
    </w:p>
    <w:p w:rsidR="00E91D61" w:rsidP="00E91D61">
      <w:pPr>
        <w:ind w:left="4201"/>
        <w:contextualSpacing/>
        <w:jc w:val="both"/>
      </w:pPr>
      <w:r>
        <w:t>Navrhuje sa spresnenie ustanovenia vzhľadom na to, že ide o rozhodovaciu právomoc.</w:t>
      </w:r>
    </w:p>
    <w:p w:rsidR="00E91D61" w:rsidP="00E91D61">
      <w:pPr>
        <w:spacing w:before="100" w:beforeAutospacing="1" w:after="100" w:afterAutospacing="1"/>
        <w:ind w:left="4248"/>
        <w:contextualSpacing/>
        <w:jc w:val="both"/>
      </w:pPr>
    </w:p>
    <w:p w:rsidR="00E91D61" w:rsidP="00E91D61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>V § 29 ods. 4 sa slová „predkladá “ nahrádza slovom „je“.</w:t>
      </w:r>
    </w:p>
    <w:p w:rsidR="00E91D61" w:rsidP="00E91D61">
      <w:pPr>
        <w:spacing w:before="100" w:beforeAutospacing="1" w:after="100" w:afterAutospacing="1"/>
        <w:jc w:val="both"/>
        <w:outlineLvl w:val="0"/>
      </w:pPr>
      <w:r>
        <w:t xml:space="preserve">                                                   </w:t>
      </w:r>
      <w:r>
        <w:t xml:space="preserve"> </w:t>
        <w:tab/>
        <w:tab/>
        <w:t>Navrhuje sa spresnenie ustanovenia.</w:t>
      </w:r>
    </w:p>
    <w:p w:rsidR="00E91D61" w:rsidP="00E91D61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>V § 30 ods. 6 sa za slovo „vydá“ vkladajú slová „poverená organizácia“.</w:t>
      </w:r>
    </w:p>
    <w:p w:rsidR="00E91D61" w:rsidP="00E91D61">
      <w:pPr>
        <w:ind w:left="4247"/>
        <w:contextualSpacing/>
        <w:jc w:val="both"/>
      </w:pPr>
      <w:r>
        <w:t>Vzhľadom na to, že sa umožňuje aj inú fyzickú osobu poveriť výkonom kontroly, navrhuje sa spresniť ustanovenie vo vzťahu k vydaniu osvedčenia len poverenou osobou.</w:t>
      </w:r>
    </w:p>
    <w:p w:rsidR="00E91D61" w:rsidP="00E91D61">
      <w:pPr>
        <w:spacing w:line="360" w:lineRule="auto"/>
        <w:ind w:left="4248"/>
        <w:contextualSpacing/>
        <w:jc w:val="both"/>
      </w:pPr>
    </w:p>
    <w:p w:rsidR="00E91D61" w:rsidP="00E91D61">
      <w:pPr>
        <w:numPr>
          <w:ilvl w:val="0"/>
          <w:numId w:val="13"/>
        </w:numPr>
        <w:spacing w:before="100" w:beforeAutospacing="1" w:line="360" w:lineRule="auto"/>
        <w:contextualSpacing/>
        <w:jc w:val="both"/>
      </w:pPr>
      <w:r>
        <w:t xml:space="preserve"> V § 31  ods. 2 sa za slovo „ jednotlivú“ vkladá slovo „žiadosť“.</w:t>
      </w:r>
    </w:p>
    <w:p w:rsidR="00E91D61" w:rsidP="00E91D61">
      <w:pPr>
        <w:spacing w:before="100" w:beforeAutospacing="1" w:after="100" w:afterAutospacing="1"/>
        <w:ind w:left="3540"/>
        <w:contextualSpacing/>
        <w:jc w:val="both"/>
      </w:pPr>
      <w:r>
        <w:t xml:space="preserve">   </w:t>
        <w:tab/>
        <w:t xml:space="preserve"> Ide o legislatívno-technickú úpravu.</w:t>
      </w:r>
    </w:p>
    <w:p w:rsidR="00E91D61" w:rsidP="00E91D61">
      <w:pPr>
        <w:spacing w:before="100" w:beforeAutospacing="1" w:after="100" w:afterAutospacing="1"/>
        <w:ind w:left="3540"/>
        <w:contextualSpacing/>
        <w:jc w:val="both"/>
      </w:pPr>
    </w:p>
    <w:p w:rsidR="00E91D61" w:rsidP="00E91D61">
      <w:pPr>
        <w:spacing w:before="100" w:beforeAutospacing="1" w:after="100" w:afterAutospacing="1"/>
        <w:ind w:left="3540"/>
        <w:contextualSpacing/>
        <w:jc w:val="both"/>
      </w:pPr>
    </w:p>
    <w:p w:rsidR="00E91D61" w:rsidP="00E91D61">
      <w:pPr>
        <w:numPr>
          <w:ilvl w:val="0"/>
          <w:numId w:val="13"/>
        </w:numPr>
        <w:spacing w:line="360" w:lineRule="auto"/>
        <w:ind w:left="714" w:hanging="714"/>
        <w:contextualSpacing/>
        <w:jc w:val="both"/>
      </w:pPr>
      <w:r>
        <w:t xml:space="preserve"> V § 32 ods. 1 sa slová „musí byť držiteľom“ nahrádzajú slovami „musia byť držiteľmi“.</w:t>
      </w:r>
    </w:p>
    <w:p w:rsidR="00E91D61" w:rsidP="00E91D61">
      <w:pPr>
        <w:spacing w:before="100" w:beforeAutospacing="1" w:after="100" w:afterAutospacing="1"/>
        <w:jc w:val="both"/>
      </w:pPr>
      <w:r>
        <w:t xml:space="preserve">                                                      </w:t>
        <w:tab/>
        <w:t xml:space="preserve"> </w:t>
        <w:tab/>
        <w:t>Ide o legislatívno-technickú úpravu.</w:t>
      </w:r>
    </w:p>
    <w:p w:rsidR="00E91D61" w:rsidP="00E91D61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 xml:space="preserve">V § 34 ods. 1 sa za slová „držiteľ povolenia“ vkladajú slová „  podľa § 20, </w:t>
      </w:r>
      <w:smartTag w:uri="urn:schemas-microsoft-com:office:smarttags" w:element="metricconverter">
        <w:smartTagPr>
          <w:attr w:name="ProductID" w:val="21 a"/>
        </w:smartTagPr>
        <w:r>
          <w:t>21 a</w:t>
        </w:r>
      </w:smartTag>
      <w:r>
        <w:t xml:space="preserve"> 26“.</w:t>
      </w:r>
    </w:p>
    <w:p w:rsidR="00E91D61" w:rsidP="00E91D61">
      <w:pPr>
        <w:spacing w:before="100" w:beforeAutospacing="1" w:after="100" w:afterAutospacing="1"/>
        <w:ind w:firstLine="340"/>
        <w:jc w:val="both"/>
        <w:outlineLvl w:val="0"/>
      </w:pPr>
      <w:r>
        <w:t xml:space="preserve">                                                      </w:t>
        <w:tab/>
        <w:t>Navrhuje sa konkretizovať držiteľov povolenia.</w:t>
      </w:r>
    </w:p>
    <w:p w:rsidR="00E91D61" w:rsidP="00E91D61">
      <w:pPr>
        <w:numPr>
          <w:ilvl w:val="0"/>
          <w:numId w:val="13"/>
        </w:numPr>
        <w:spacing w:line="360" w:lineRule="auto"/>
        <w:ind w:left="360" w:hanging="360"/>
        <w:contextualSpacing/>
        <w:jc w:val="both"/>
      </w:pPr>
      <w:r>
        <w:t>V § 39 ods. 1 písm. c) sa slová „podmienky uvedené“ nahrádzajú slovami „podmienku uvedenú“.</w:t>
      </w:r>
    </w:p>
    <w:p w:rsidR="00E91D61" w:rsidP="00E91D61">
      <w:pPr>
        <w:spacing w:before="100" w:beforeAutospacing="1" w:after="100" w:afterAutospacing="1"/>
        <w:jc w:val="both"/>
      </w:pPr>
      <w:r>
        <w:t xml:space="preserve">                                                     </w:t>
        <w:tab/>
        <w:t xml:space="preserve"> </w:t>
        <w:tab/>
        <w:t>V § 32 sa ustanovuje len jedna podmienka.</w:t>
      </w:r>
    </w:p>
    <w:p w:rsidR="00C04BDF" w:rsidP="00E91D61">
      <w:pPr>
        <w:spacing w:before="100" w:beforeAutospacing="1" w:after="100" w:afterAutospacing="1"/>
        <w:ind w:left="426" w:hanging="426"/>
        <w:contextualSpacing/>
        <w:jc w:val="both"/>
      </w:pPr>
    </w:p>
    <w:p w:rsidR="00E91D61" w:rsidP="00E91D61">
      <w:pPr>
        <w:spacing w:before="100" w:beforeAutospacing="1" w:after="100" w:afterAutospacing="1"/>
        <w:ind w:left="426" w:hanging="426"/>
        <w:contextualSpacing/>
        <w:jc w:val="both"/>
      </w:pPr>
      <w:r>
        <w:t>19.V čl. I Príloha k zákonu znie:</w:t>
      </w:r>
    </w:p>
    <w:p w:rsidR="00E91D61" w:rsidP="00E91D61">
      <w:pPr>
        <w:spacing w:before="100" w:beforeAutospacing="1" w:after="100" w:afterAutospacing="1"/>
        <w:ind w:left="426"/>
        <w:contextualSpacing/>
        <w:jc w:val="both"/>
      </w:pPr>
      <w:r>
        <w:tab/>
        <w:tab/>
        <w:tab/>
        <w:tab/>
        <w:tab/>
        <w:tab/>
        <w:tab/>
        <w:tab/>
        <w:tab/>
        <w:t>„Príloha k zákonu</w:t>
      </w:r>
    </w:p>
    <w:p w:rsidR="00E91D61" w:rsidP="00E91D61">
      <w:pPr>
        <w:spacing w:before="100" w:beforeAutospacing="1" w:after="100" w:afterAutospacing="1"/>
        <w:ind w:left="426"/>
        <w:contextualSpacing/>
        <w:jc w:val="both"/>
      </w:pPr>
      <w:r>
        <w:tab/>
        <w:tab/>
        <w:tab/>
        <w:tab/>
        <w:tab/>
        <w:tab/>
        <w:tab/>
        <w:tab/>
        <w:tab/>
        <w:t>č. ....../2011 Z. z.</w:t>
      </w:r>
    </w:p>
    <w:p w:rsidR="00E91D61" w:rsidP="00E91D61">
      <w:pPr>
        <w:pStyle w:val="Heading1"/>
        <w:rPr>
          <w:szCs w:val="28"/>
        </w:rPr>
      </w:pPr>
      <w:r>
        <w:t>Zoznam preberaných právne záväzných aktov Európskej únie</w:t>
      </w:r>
    </w:p>
    <w:p w:rsidR="00E91D61" w:rsidRPr="005F72C3" w:rsidP="00E91D61">
      <w:pPr>
        <w:pStyle w:val="Heading1"/>
        <w:numPr>
          <w:ilvl w:val="1"/>
          <w:numId w:val="14"/>
        </w:numPr>
        <w:spacing w:before="240" w:after="240"/>
        <w:ind w:left="357" w:hanging="357"/>
        <w:jc w:val="both"/>
        <w:rPr>
          <w:b w:val="0"/>
          <w:szCs w:val="24"/>
        </w:rPr>
      </w:pPr>
      <w:r w:rsidRPr="005F72C3">
        <w:rPr>
          <w:b w:val="0"/>
          <w:szCs w:val="24"/>
        </w:rPr>
        <w:t xml:space="preserve">Smernica Rady 2000/29/ES z 8. mája 2000 o ochranných opatreniach proti zavlečeniu organizmov škodlivých pre rastliny alebo rastlinné produkty do Spoločenstva a proti ich šíreniu v rámci Spoločenstva </w:t>
      </w:r>
      <w:r w:rsidRPr="005F72C3">
        <w:rPr>
          <w:b w:val="0"/>
        </w:rPr>
        <w:t xml:space="preserve">(Mimoriadne vydanie Ú. v. EÚ, kap. 3 /zv. 29, </w:t>
      </w:r>
      <w:r w:rsidRPr="005F72C3">
        <w:rPr>
          <w:b w:val="0"/>
          <w:szCs w:val="24"/>
        </w:rPr>
        <w:t>Ú. v. ES L 169, 10.7.2000</w:t>
      </w:r>
      <w:r w:rsidRPr="005F72C3">
        <w:rPr>
          <w:b w:val="0"/>
        </w:rPr>
        <w:t xml:space="preserve">) </w:t>
      </w:r>
      <w:r w:rsidRPr="005F72C3">
        <w:rPr>
          <w:b w:val="0"/>
          <w:szCs w:val="24"/>
        </w:rPr>
        <w:t>v znení smernice Komisie 2001/33/ES z 8. mája 2001 (M</w:t>
      </w:r>
      <w:r w:rsidRPr="005F72C3">
        <w:rPr>
          <w:b w:val="0"/>
          <w:iCs/>
        </w:rPr>
        <w:t>imoriadne vydanie</w:t>
      </w:r>
      <w:r w:rsidRPr="005F72C3">
        <w:rPr>
          <w:b w:val="0"/>
        </w:rPr>
        <w:t xml:space="preserve"> Ú. v. EÚ,</w:t>
      </w:r>
      <w:r w:rsidRPr="005F72C3">
        <w:rPr>
          <w:b w:val="0"/>
          <w:i/>
          <w:iCs/>
        </w:rPr>
        <w:t xml:space="preserve"> </w:t>
      </w:r>
      <w:r w:rsidRPr="005F72C3">
        <w:rPr>
          <w:b w:val="0"/>
          <w:iCs/>
        </w:rPr>
        <w:t>kap. 3/zv. 32,</w:t>
      </w:r>
      <w:r w:rsidRPr="005F72C3">
        <w:rPr>
          <w:b w:val="0"/>
          <w:i/>
          <w:iCs/>
        </w:rPr>
        <w:t xml:space="preserve"> </w:t>
      </w:r>
      <w:r w:rsidRPr="005F72C3">
        <w:rPr>
          <w:b w:val="0"/>
          <w:szCs w:val="24"/>
        </w:rPr>
        <w:t>Ú. v. ES L 127, 9.5.2001), smernice Komisie 2002/28/ES z 19. marca 2002 (M</w:t>
      </w:r>
      <w:r w:rsidRPr="005F72C3">
        <w:rPr>
          <w:b w:val="0"/>
          <w:iCs/>
        </w:rPr>
        <w:t>imoriadne vydanie</w:t>
      </w:r>
      <w:r w:rsidRPr="005F72C3">
        <w:rPr>
          <w:b w:val="0"/>
        </w:rPr>
        <w:t xml:space="preserve"> Ú. v. EÚ,</w:t>
      </w:r>
      <w:r w:rsidRPr="005F72C3">
        <w:rPr>
          <w:b w:val="0"/>
          <w:i/>
          <w:iCs/>
        </w:rPr>
        <w:t xml:space="preserve">  </w:t>
      </w:r>
      <w:r w:rsidRPr="005F72C3">
        <w:rPr>
          <w:b w:val="0"/>
          <w:iCs/>
        </w:rPr>
        <w:t>kap. 3/zv. 35</w:t>
      </w:r>
      <w:r w:rsidRPr="005F72C3">
        <w:rPr>
          <w:b w:val="0"/>
          <w:i/>
          <w:iCs/>
        </w:rPr>
        <w:t xml:space="preserve">, </w:t>
      </w:r>
      <w:r w:rsidRPr="005F72C3">
        <w:rPr>
          <w:b w:val="0"/>
          <w:szCs w:val="24"/>
        </w:rPr>
        <w:t>Ú. v. ES L 77, 20.3.2002), smernice Komisie 2002/36/ES z 29. apríla 2002 (M</w:t>
      </w:r>
      <w:r w:rsidRPr="005F72C3">
        <w:rPr>
          <w:b w:val="0"/>
          <w:iCs/>
        </w:rPr>
        <w:t>imoriadne vydanie</w:t>
      </w:r>
      <w:r w:rsidRPr="005F72C3">
        <w:rPr>
          <w:b w:val="0"/>
        </w:rPr>
        <w:t xml:space="preserve"> Ú. v. EÚ,</w:t>
      </w:r>
      <w:r w:rsidRPr="005F72C3">
        <w:rPr>
          <w:b w:val="0"/>
          <w:i/>
          <w:iCs/>
        </w:rPr>
        <w:t xml:space="preserve">  </w:t>
      </w:r>
      <w:r w:rsidRPr="005F72C3">
        <w:rPr>
          <w:b w:val="0"/>
          <w:iCs/>
        </w:rPr>
        <w:t>kap. 3/zv.</w:t>
      </w:r>
      <w:r w:rsidRPr="005F72C3">
        <w:rPr>
          <w:b w:val="0"/>
          <w:i/>
          <w:iCs/>
        </w:rPr>
        <w:t> </w:t>
      </w:r>
      <w:r w:rsidRPr="005F72C3">
        <w:rPr>
          <w:b w:val="0"/>
          <w:iCs/>
        </w:rPr>
        <w:t>35</w:t>
      </w:r>
      <w:r w:rsidRPr="005F72C3">
        <w:rPr>
          <w:b w:val="0"/>
          <w:i/>
          <w:iCs/>
        </w:rPr>
        <w:t xml:space="preserve">, </w:t>
      </w:r>
      <w:r w:rsidRPr="005F72C3">
        <w:rPr>
          <w:b w:val="0"/>
          <w:szCs w:val="24"/>
        </w:rPr>
        <w:t>Ú. v. ES L 116, 3.5.2002), smernice Rady 2002/89/ES z 28. novembra 2002 (M</w:t>
      </w:r>
      <w:r w:rsidRPr="005F72C3">
        <w:rPr>
          <w:b w:val="0"/>
          <w:iCs/>
        </w:rPr>
        <w:t>imoriadne vydanie</w:t>
      </w:r>
      <w:r w:rsidRPr="005F72C3">
        <w:rPr>
          <w:b w:val="0"/>
        </w:rPr>
        <w:t xml:space="preserve"> Ú. v. EÚ,</w:t>
      </w:r>
      <w:r w:rsidRPr="005F72C3">
        <w:rPr>
          <w:b w:val="0"/>
          <w:i/>
          <w:iCs/>
        </w:rPr>
        <w:t xml:space="preserve">  </w:t>
      </w:r>
      <w:r w:rsidRPr="005F72C3">
        <w:rPr>
          <w:b w:val="0"/>
          <w:iCs/>
        </w:rPr>
        <w:t>kap. 3/zv. 38</w:t>
      </w:r>
      <w:r w:rsidRPr="005F72C3">
        <w:rPr>
          <w:b w:val="0"/>
          <w:i/>
          <w:iCs/>
        </w:rPr>
        <w:t xml:space="preserve">, </w:t>
      </w:r>
      <w:r w:rsidRPr="005F72C3">
        <w:rPr>
          <w:b w:val="0"/>
          <w:szCs w:val="24"/>
        </w:rPr>
        <w:t>Ú. v. ES L 355, 30.12.2002), smernice Komisie 2003/22/ES z 24. marca 2003 (M</w:t>
      </w:r>
      <w:r w:rsidRPr="005F72C3">
        <w:rPr>
          <w:b w:val="0"/>
          <w:iCs/>
        </w:rPr>
        <w:t>imoriadne vydanie</w:t>
      </w:r>
      <w:r w:rsidRPr="005F72C3">
        <w:rPr>
          <w:b w:val="0"/>
        </w:rPr>
        <w:t xml:space="preserve"> Ú. v. EÚ,</w:t>
      </w:r>
      <w:r w:rsidRPr="005F72C3">
        <w:rPr>
          <w:b w:val="0"/>
          <w:i/>
          <w:iCs/>
        </w:rPr>
        <w:t xml:space="preserve">  </w:t>
      </w:r>
      <w:r w:rsidRPr="005F72C3">
        <w:rPr>
          <w:b w:val="0"/>
          <w:iCs/>
        </w:rPr>
        <w:t>kap. 3/zv. 38</w:t>
      </w:r>
      <w:r w:rsidRPr="005F72C3">
        <w:rPr>
          <w:b w:val="0"/>
          <w:i/>
          <w:iCs/>
        </w:rPr>
        <w:t xml:space="preserve">, </w:t>
      </w:r>
      <w:r w:rsidRPr="005F72C3">
        <w:rPr>
          <w:b w:val="0"/>
          <w:szCs w:val="24"/>
        </w:rPr>
        <w:t>Ú. v. EÚ L 78, 25.3.2003), nariadenia Rady (ES) č. 806/2003 zo 14. apríla 2003 (M</w:t>
      </w:r>
      <w:r w:rsidRPr="005F72C3">
        <w:rPr>
          <w:b w:val="0"/>
          <w:iCs/>
        </w:rPr>
        <w:t>imoriadne vydanie</w:t>
      </w:r>
      <w:r w:rsidRPr="005F72C3">
        <w:rPr>
          <w:b w:val="0"/>
        </w:rPr>
        <w:t xml:space="preserve"> Ú. v. EÚ,</w:t>
      </w:r>
      <w:r w:rsidRPr="005F72C3">
        <w:rPr>
          <w:b w:val="0"/>
          <w:i/>
          <w:iCs/>
        </w:rPr>
        <w:t xml:space="preserve">  </w:t>
      </w:r>
      <w:r w:rsidRPr="005F72C3">
        <w:rPr>
          <w:b w:val="0"/>
          <w:iCs/>
        </w:rPr>
        <w:t>kap. 1/zv. 4,</w:t>
      </w:r>
      <w:r w:rsidRPr="005F72C3">
        <w:rPr>
          <w:b w:val="0"/>
          <w:i/>
          <w:iCs/>
        </w:rPr>
        <w:t xml:space="preserve"> </w:t>
      </w:r>
      <w:r w:rsidRPr="005F72C3">
        <w:rPr>
          <w:b w:val="0"/>
          <w:szCs w:val="24"/>
        </w:rPr>
        <w:t>Ú. v. EÚ L 122, 16.5.2003), Aktu o podmienkach pristúpenia pripojeného k Zmluve o pristúpení Slovenskej republiky k Európskej únii (Ú. v. EÚ L 236, 23.9.2003), smernice Komisie 2003/47/ES zo 4. júna 2003 (M</w:t>
      </w:r>
      <w:r w:rsidRPr="005F72C3">
        <w:rPr>
          <w:b w:val="0"/>
          <w:iCs/>
        </w:rPr>
        <w:t>imoriadne vydanie</w:t>
      </w:r>
      <w:r w:rsidRPr="005F72C3">
        <w:rPr>
          <w:b w:val="0"/>
        </w:rPr>
        <w:t xml:space="preserve"> Ú. v. EÚ,</w:t>
      </w:r>
      <w:r w:rsidRPr="005F72C3">
        <w:rPr>
          <w:b w:val="0"/>
          <w:i/>
          <w:iCs/>
        </w:rPr>
        <w:t xml:space="preserve">  </w:t>
      </w:r>
      <w:r w:rsidRPr="005F72C3">
        <w:rPr>
          <w:b w:val="0"/>
          <w:iCs/>
        </w:rPr>
        <w:t>kap. 3/zv. 39,</w:t>
      </w:r>
      <w:r w:rsidRPr="005F72C3">
        <w:rPr>
          <w:b w:val="0"/>
          <w:i/>
          <w:iCs/>
        </w:rPr>
        <w:t xml:space="preserve"> </w:t>
      </w:r>
      <w:r w:rsidRPr="005F72C3">
        <w:rPr>
          <w:b w:val="0"/>
          <w:szCs w:val="24"/>
        </w:rPr>
        <w:t>Ú. v. EÚ L 138, 5.6.2003), smernice Komisie 2003/116/ES zo 4. decembra 2003 (M</w:t>
      </w:r>
      <w:r w:rsidRPr="005F72C3">
        <w:rPr>
          <w:b w:val="0"/>
          <w:iCs/>
        </w:rPr>
        <w:t>imoriadne</w:t>
      </w:r>
      <w:r w:rsidRPr="005F72C3">
        <w:rPr>
          <w:b w:val="0"/>
        </w:rPr>
        <w:t xml:space="preserve"> </w:t>
      </w:r>
      <w:r w:rsidRPr="005F72C3">
        <w:rPr>
          <w:b w:val="0"/>
          <w:iCs/>
        </w:rPr>
        <w:t>vydanie</w:t>
      </w:r>
      <w:r w:rsidRPr="005F72C3">
        <w:rPr>
          <w:b w:val="0"/>
        </w:rPr>
        <w:t xml:space="preserve"> Ú. v. EÚ,</w:t>
      </w:r>
      <w:r w:rsidRPr="005F72C3">
        <w:rPr>
          <w:b w:val="0"/>
          <w:i/>
          <w:iCs/>
        </w:rPr>
        <w:t xml:space="preserve">  </w:t>
      </w:r>
      <w:r w:rsidRPr="005F72C3">
        <w:rPr>
          <w:b w:val="0"/>
          <w:iCs/>
        </w:rPr>
        <w:t>kap. 3/zv. 41,</w:t>
      </w:r>
      <w:r w:rsidRPr="005F72C3">
        <w:rPr>
          <w:b w:val="0"/>
          <w:i/>
          <w:iCs/>
        </w:rPr>
        <w:t xml:space="preserve"> </w:t>
      </w:r>
      <w:r w:rsidRPr="005F72C3">
        <w:rPr>
          <w:b w:val="0"/>
          <w:szCs w:val="24"/>
        </w:rPr>
        <w:t>Ú. v. EÚ L 321, 6.12.2003), smernice Komisie 2004/31/ES zo 17. marca 2004 (M</w:t>
      </w:r>
      <w:r w:rsidRPr="005F72C3">
        <w:rPr>
          <w:b w:val="0"/>
          <w:iCs/>
        </w:rPr>
        <w:t>imoriadne vydanie</w:t>
      </w:r>
      <w:r w:rsidRPr="005F72C3">
        <w:rPr>
          <w:b w:val="0"/>
        </w:rPr>
        <w:t xml:space="preserve"> Ú. v. EÚ,</w:t>
      </w:r>
      <w:r w:rsidRPr="005F72C3">
        <w:rPr>
          <w:b w:val="0"/>
          <w:i/>
          <w:iCs/>
        </w:rPr>
        <w:t xml:space="preserve">  </w:t>
      </w:r>
      <w:r w:rsidRPr="005F72C3">
        <w:rPr>
          <w:b w:val="0"/>
          <w:iCs/>
        </w:rPr>
        <w:t>kap. 3/zv. 43,</w:t>
      </w:r>
      <w:r w:rsidRPr="005F72C3">
        <w:rPr>
          <w:b w:val="0"/>
          <w:i/>
          <w:iCs/>
        </w:rPr>
        <w:t xml:space="preserve"> </w:t>
      </w:r>
      <w:r w:rsidRPr="005F72C3">
        <w:rPr>
          <w:b w:val="0"/>
          <w:szCs w:val="24"/>
        </w:rPr>
        <w:t>Ú. v. EÚ L 85, 23.3.2004), smernice Komisie 2004/70/ES z 28. apríla 2004 (M</w:t>
      </w:r>
      <w:r w:rsidRPr="005F72C3">
        <w:rPr>
          <w:b w:val="0"/>
          <w:iCs/>
        </w:rPr>
        <w:t>imoriadne vydanie</w:t>
      </w:r>
      <w:r w:rsidRPr="005F72C3">
        <w:rPr>
          <w:b w:val="0"/>
        </w:rPr>
        <w:t xml:space="preserve"> Ú. v. EÚ,</w:t>
      </w:r>
      <w:r w:rsidRPr="005F72C3">
        <w:rPr>
          <w:b w:val="0"/>
          <w:i/>
          <w:iCs/>
        </w:rPr>
        <w:t xml:space="preserve">  </w:t>
      </w:r>
      <w:r w:rsidRPr="005F72C3">
        <w:rPr>
          <w:b w:val="0"/>
          <w:iCs/>
        </w:rPr>
        <w:t>kap. 3/zv. 44</w:t>
      </w:r>
      <w:r w:rsidRPr="005F72C3">
        <w:rPr>
          <w:b w:val="0"/>
          <w:i/>
          <w:iCs/>
        </w:rPr>
        <w:t xml:space="preserve">, </w:t>
      </w:r>
      <w:r w:rsidRPr="005F72C3">
        <w:rPr>
          <w:b w:val="0"/>
          <w:szCs w:val="24"/>
        </w:rPr>
        <w:t xml:space="preserve">Ú. v. EÚ L 127, 29.4.2004), </w:t>
      </w:r>
      <w:r w:rsidRPr="005F72C3">
        <w:rPr>
          <w:b w:val="0"/>
        </w:rPr>
        <w:t>nariadenia Európskeho parlamentu a Rady (ES) č. 882/2004</w:t>
      </w:r>
      <w:r w:rsidRPr="005F72C3">
        <w:rPr>
          <w:b w:val="0"/>
          <w:szCs w:val="24"/>
        </w:rPr>
        <w:t> z 29. apríla 2004 (Mimoriadne vydanie</w:t>
      </w:r>
      <w:r w:rsidRPr="005F72C3">
        <w:rPr>
          <w:b w:val="0"/>
        </w:rPr>
        <w:t xml:space="preserve"> Ú. v. EÚ,</w:t>
      </w:r>
      <w:r w:rsidRPr="005F72C3">
        <w:rPr>
          <w:b w:val="0"/>
          <w:i/>
          <w:iCs/>
        </w:rPr>
        <w:t xml:space="preserve"> </w:t>
      </w:r>
      <w:r w:rsidRPr="005F72C3">
        <w:rPr>
          <w:b w:val="0"/>
          <w:szCs w:val="24"/>
        </w:rPr>
        <w:t xml:space="preserve"> kap. 3/zv. 45</w:t>
      </w:r>
      <w:r w:rsidRPr="005F72C3">
        <w:rPr>
          <w:b w:val="0"/>
          <w:i/>
          <w:iCs/>
        </w:rPr>
        <w:t xml:space="preserve">, </w:t>
      </w:r>
      <w:r w:rsidRPr="005F72C3">
        <w:rPr>
          <w:b w:val="0"/>
          <w:szCs w:val="24"/>
        </w:rPr>
        <w:t>Ú. v. EÚ L 165, 30.4.2004), smernice Komisie 2004/102/ES z 5. októbra 2004 (Ú. v. EÚ L 309, 6.10.2004), smernice Rady 2005/15/ES z 28. februára 2005 (Ú. v. EÚ L 056, 2.3.2005), smernice Komisie 2005/16/ES z 2. marca 2005 (Ú. v. EÚ L 057, 3.3.2005), smernice Komisie 2005/77/ES z 11. novembra 2005 (Ú. v. EÚ L 296, 12.11.2005), smernice Komisie 2006/14/ES zo 7. februára 2006 (Ú. v. EÚ L 034, 7.2.2006),  smernice Komisie 2006/35/ES z 24. marca 2006 (Ú. v. EÚ L 088, 25.3.2006), smernice Komisie 2007/41/ES (Ú. v. EÚ L 169, 29.6.2007), smernice Komisie 2008/64/ES z 27. júna 2008 (Ú. v. EÚ L 168, 28.6.2008), smernice Komisie 2008/109/ES z 28. novembra 2008 (Ú. v. EÚ L 319, 29.11.2008), smernice Komisie 2009/7/ES z 10. februára 2009 (Ú. v. EÚ L 40, 11.2.2009), smernice Komisie 2009/118/ES z 9. septembra 2009 (Ú. v. EÚ L 239, 10.9.2009), smernice Rady 2009/143/EÚ z 26. novembra 2009 (Ú. v. EÚ L 318, 4.12.2009), smernice Komisie 2010/1/ES z 8. januára 2010 (Ú. v. EÚ L 7, 12.1.2010).</w:t>
      </w:r>
    </w:p>
    <w:p w:rsidR="00E91D61" w:rsidRPr="005F72C3" w:rsidP="00E91D61">
      <w:pPr>
        <w:keepNext/>
        <w:numPr>
          <w:ilvl w:val="1"/>
          <w:numId w:val="14"/>
        </w:numPr>
        <w:shd w:val="clear" w:color="auto" w:fill="FFFFFF"/>
        <w:spacing w:before="240" w:after="240"/>
        <w:ind w:left="357" w:hanging="357"/>
        <w:jc w:val="both"/>
        <w:outlineLvl w:val="0"/>
        <w:rPr>
          <w:rFonts w:eastAsia="Arial Unicode MS"/>
        </w:rPr>
      </w:pPr>
      <w:r w:rsidRPr="005F72C3">
        <w:rPr>
          <w:rFonts w:eastAsia="Arial Unicode MS"/>
        </w:rPr>
        <w:t>Smernica Európskeho parlamentu a Rady 2009/128/ES z 21. októbra 2009, ktorou sa ustanovuje rámec pre činnosť Spoločenstva na dosiahnutie trvalo udržateľného používania pesticídov (Ú. v. EÚ L 309, 24.11.2009).“.</w:t>
      </w:r>
    </w:p>
    <w:p w:rsidR="00E91D61" w:rsidRPr="005F72C3" w:rsidP="00E91D61">
      <w:pPr>
        <w:rPr>
          <w:rFonts w:eastAsia="Arial Unicode MS"/>
        </w:rPr>
      </w:pPr>
    </w:p>
    <w:p w:rsidR="00E91D61" w:rsidP="00E91D61">
      <w:pPr>
        <w:pStyle w:val="ListParagraph"/>
        <w:ind w:left="426" w:hanging="426"/>
        <w:jc w:val="both"/>
        <w:outlineLvl w:val="0"/>
        <w:rPr>
          <w:b/>
        </w:rPr>
      </w:pPr>
      <w:r>
        <w:rPr>
          <w:b/>
        </w:rPr>
        <w:t>K čl. II</w:t>
      </w:r>
    </w:p>
    <w:p w:rsidR="00E91D61" w:rsidP="00E91D61">
      <w:pPr>
        <w:spacing w:line="360" w:lineRule="auto"/>
        <w:ind w:left="360"/>
        <w:contextualSpacing/>
        <w:jc w:val="both"/>
      </w:pPr>
    </w:p>
    <w:p w:rsidR="00E91D61" w:rsidP="00E91D61">
      <w:pPr>
        <w:spacing w:line="360" w:lineRule="auto"/>
        <w:ind w:left="360" w:hanging="360"/>
        <w:contextualSpacing/>
        <w:jc w:val="both"/>
      </w:pPr>
      <w:r>
        <w:t>20. V sadzobníku správnych poplatkov položke 47 písm. c) a d) sa vypúšťajú slová „a vývozcov“.</w:t>
      </w:r>
    </w:p>
    <w:p w:rsidR="00E91D61" w:rsidP="00E91D61">
      <w:pPr>
        <w:ind w:left="3600"/>
        <w:contextualSpacing/>
        <w:jc w:val="both"/>
      </w:pPr>
      <w:r>
        <w:t>Navrhuje sa spresnenie okruhu subjektov v súlade s návrhom zákona.</w:t>
      </w:r>
    </w:p>
    <w:p w:rsidR="00E91D61" w:rsidP="00E91D61">
      <w:pPr>
        <w:spacing w:line="360" w:lineRule="auto"/>
        <w:ind w:left="357"/>
        <w:contextualSpacing/>
        <w:jc w:val="both"/>
      </w:pPr>
    </w:p>
    <w:p w:rsidR="00E91D61" w:rsidP="00C04BDF">
      <w:pPr>
        <w:spacing w:line="360" w:lineRule="auto"/>
        <w:ind w:left="357" w:hanging="357"/>
        <w:contextualSpacing/>
        <w:jc w:val="both"/>
      </w:pPr>
      <w:r>
        <w:t>21. V sadzobníku správnych poplatkov položke 47 písm. f) sa pred slovo „prebalenie“ vkladajú slová „žiadosť na“.</w:t>
      </w:r>
    </w:p>
    <w:p w:rsidR="00E91D61" w:rsidP="00E91D61">
      <w:pPr>
        <w:spacing w:before="100" w:beforeAutospacing="1" w:after="100" w:afterAutospacing="1"/>
        <w:jc w:val="both"/>
      </w:pPr>
      <w:r>
        <w:t xml:space="preserve">                                                          </w:t>
      </w:r>
      <w:r w:rsidR="00C04BDF">
        <w:t xml:space="preserve"> </w:t>
      </w:r>
      <w:r>
        <w:t>Ide o precizovanie ustanovenia.</w:t>
      </w:r>
    </w:p>
    <w:p w:rsidR="00E91D61" w:rsidP="00AC663C">
      <w:pPr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FE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13F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FE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72C3">
      <w:rPr>
        <w:rStyle w:val="PageNumber"/>
        <w:noProof/>
      </w:rPr>
      <w:t>5</w:t>
    </w:r>
    <w:r>
      <w:rPr>
        <w:rStyle w:val="PageNumber"/>
      </w:rPr>
      <w:fldChar w:fldCharType="end"/>
    </w:r>
  </w:p>
  <w:p w:rsidR="00113FE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D04673"/>
    <w:multiLevelType w:val="hybridMultilevel"/>
    <w:tmpl w:val="762E28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966B23"/>
    <w:multiLevelType w:val="hybridMultilevel"/>
    <w:tmpl w:val="532290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F82E5F"/>
    <w:multiLevelType w:val="multilevel"/>
    <w:tmpl w:val="AE2682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9"/>
  </w:num>
  <w:num w:numId="12">
    <w:abstractNumId w:val="0"/>
  </w:num>
  <w:num w:numId="13">
    <w:abstractNumId w:val="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37"/>
    <w:rsid w:val="00043446"/>
    <w:rsid w:val="00043A97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1E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520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366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13FEB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1AC4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E7826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61E0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1D7D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6C64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139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3199"/>
    <w:rsid w:val="003D3424"/>
    <w:rsid w:val="003D4BEB"/>
    <w:rsid w:val="003D5923"/>
    <w:rsid w:val="003D7F4F"/>
    <w:rsid w:val="003E0B99"/>
    <w:rsid w:val="003E11CE"/>
    <w:rsid w:val="003E17D2"/>
    <w:rsid w:val="003E3BA2"/>
    <w:rsid w:val="003E3CFD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5F45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29CC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5711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B7B17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DEB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1C70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2C3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6465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44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1A85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3A3E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3CFB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08BD"/>
    <w:rsid w:val="00891AF1"/>
    <w:rsid w:val="00892394"/>
    <w:rsid w:val="008923A2"/>
    <w:rsid w:val="00893614"/>
    <w:rsid w:val="00893CE1"/>
    <w:rsid w:val="008945F9"/>
    <w:rsid w:val="00894E53"/>
    <w:rsid w:val="0089506C"/>
    <w:rsid w:val="00896EE4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194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3E3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86383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1372"/>
    <w:rsid w:val="009A79F7"/>
    <w:rsid w:val="009A7E23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4958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3ACB"/>
    <w:rsid w:val="00A56764"/>
    <w:rsid w:val="00A57504"/>
    <w:rsid w:val="00A57CA1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6069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3B93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B4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47D5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4BDF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588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4818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0A8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29AD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19E7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1E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1D61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290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6FB3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0F7A"/>
    <w:rsid w:val="00F6362A"/>
    <w:rsid w:val="00F66171"/>
    <w:rsid w:val="00F66EA8"/>
    <w:rsid w:val="00F67B0B"/>
    <w:rsid w:val="00F707AB"/>
    <w:rsid w:val="00F75E06"/>
    <w:rsid w:val="00F76A74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5D65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8E0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  <w:style w:type="character" w:customStyle="1" w:styleId="ppp-input-value1">
    <w:name w:val="ppp-input-value1"/>
    <w:rsid w:val="00E91D61"/>
    <w:rPr>
      <w:rFonts w:ascii="Tahoma" w:hAnsi="Tahoma" w:cs="Tahoma" w:hint="default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rastlinolekárskej starostlivosti </vt:lpstr>
    </vt:vector>
  </TitlesOfParts>
  <Manager>Magdaléna Šuchaňová</Manager>
  <Company>Kancelária NR SR, ÚPV NR SR</Company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rastlinolekárskej starostlivosti</dc:title>
  <dc:subject>sch.41, 5.10.2011</dc:subject>
  <dc:creator>Viera Ebringerová</dc:creator>
  <cp:keywords>UPV 304 tlač 477</cp:keywords>
  <dc:description>vládny návrh  zákona</dc:description>
  <cp:lastModifiedBy>EbriVier</cp:lastModifiedBy>
  <cp:revision>2122</cp:revision>
  <cp:lastPrinted>2011-10-05T11:18:00Z</cp:lastPrinted>
  <dcterms:created xsi:type="dcterms:W3CDTF">2002-05-15T10:56:00Z</dcterms:created>
  <dcterms:modified xsi:type="dcterms:W3CDTF">2011-10-05T11:20:00Z</dcterms:modified>
  <cp:category>Uznesenie</cp:category>
</cp:coreProperties>
</file>