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B64C3" w:rsidP="00DB64C3">
      <w:pPr>
        <w:pStyle w:val="Heading3"/>
        <w:numPr>
          <w:ilvl w:val="0"/>
          <w:numId w:val="0"/>
        </w:numPr>
        <w:tabs>
          <w:tab w:val="left" w:pos="708"/>
        </w:tabs>
        <w:rPr>
          <w:i/>
          <w:iCs/>
          <w:szCs w:val="24"/>
        </w:rPr>
      </w:pPr>
      <w:r>
        <w:rPr>
          <w:i/>
          <w:iCs/>
          <w:szCs w:val="24"/>
        </w:rPr>
        <w:t>Výbor Národnej rady Slovenskej republiky</w:t>
      </w:r>
    </w:p>
    <w:p w:rsidR="00DB64C3" w:rsidP="00DB64C3">
      <w:pPr>
        <w:jc w:val="both"/>
        <w:rPr>
          <w:b/>
          <w:i/>
          <w:iCs/>
        </w:rPr>
      </w:pPr>
      <w:r>
        <w:rPr>
          <w:b/>
          <w:i/>
          <w:iCs/>
        </w:rPr>
        <w:t xml:space="preserve">    pre vzdelávanie, vedu, mládež a šport</w:t>
      </w:r>
    </w:p>
    <w:p w:rsidR="00DB64C3" w:rsidP="00DB64C3">
      <w:pPr>
        <w:jc w:val="both"/>
        <w:rPr>
          <w:i/>
          <w:iCs/>
        </w:rPr>
      </w:pPr>
    </w:p>
    <w:p w:rsidR="00DB64C3" w:rsidP="00DB64C3">
      <w:pPr>
        <w:jc w:val="both"/>
        <w:rPr>
          <w:i/>
          <w:iCs/>
        </w:rPr>
      </w:pPr>
    </w:p>
    <w:p w:rsidR="00DB64C3" w:rsidP="008F01ED">
      <w:r>
        <w:tab/>
        <w:tab/>
        <w:tab/>
        <w:tab/>
        <w:tab/>
        <w:tab/>
        <w:tab/>
        <w:tab/>
        <w:tab/>
      </w:r>
      <w:r w:rsidR="008F01ED">
        <w:tab/>
        <w:tab/>
        <w:t xml:space="preserve">                                                                                                             </w:t>
        <w:tab/>
        <w:tab/>
      </w:r>
      <w:r>
        <w:t xml:space="preserve">   18.  schôdza výboru                           </w:t>
      </w:r>
      <w:r>
        <w:t xml:space="preserve">                                                                                </w:t>
      </w:r>
    </w:p>
    <w:p w:rsidR="00DB64C3" w:rsidP="008F01ED">
      <w:pPr>
        <w:jc w:val="right"/>
      </w:pPr>
      <w:r>
        <w:tab/>
        <w:tab/>
        <w:tab/>
        <w:tab/>
        <w:tab/>
        <w:t xml:space="preserve">                                                    </w:t>
      </w:r>
      <w:r w:rsidR="008F01ED">
        <w:t xml:space="preserve">                                                           </w:t>
      </w:r>
      <w:r>
        <w:t>Číslo: CRD - 3154/2011</w:t>
        <w:tab/>
        <w:tab/>
      </w:r>
    </w:p>
    <w:p w:rsidR="00DB64C3" w:rsidP="00DB64C3"/>
    <w:p w:rsidR="00DB64C3" w:rsidP="00DB64C3">
      <w:pPr>
        <w:jc w:val="center"/>
        <w:rPr>
          <w:b/>
          <w:sz w:val="28"/>
          <w:szCs w:val="28"/>
        </w:rPr>
      </w:pPr>
      <w:r w:rsidR="00D6325C">
        <w:rPr>
          <w:b/>
          <w:sz w:val="28"/>
          <w:szCs w:val="28"/>
        </w:rPr>
        <w:t>91</w:t>
      </w:r>
    </w:p>
    <w:p w:rsidR="00DB64C3" w:rsidP="00DB64C3">
      <w:pPr>
        <w:jc w:val="center"/>
        <w:rPr>
          <w:b/>
        </w:rPr>
      </w:pPr>
    </w:p>
    <w:p w:rsidR="00DB64C3" w:rsidP="00DB64C3">
      <w:pPr>
        <w:jc w:val="center"/>
        <w:rPr>
          <w:b/>
          <w:sz w:val="28"/>
        </w:rPr>
      </w:pPr>
      <w:r>
        <w:rPr>
          <w:b/>
          <w:sz w:val="28"/>
        </w:rPr>
        <w:t>U z n e s e n i e</w:t>
      </w:r>
    </w:p>
    <w:p w:rsidR="00DB64C3" w:rsidP="00DB64C3">
      <w:pPr>
        <w:jc w:val="center"/>
        <w:rPr>
          <w:b/>
        </w:rPr>
      </w:pPr>
    </w:p>
    <w:p w:rsidR="00DB64C3" w:rsidP="00DB64C3">
      <w:pPr>
        <w:jc w:val="center"/>
        <w:rPr>
          <w:b/>
        </w:rPr>
      </w:pPr>
      <w:r>
        <w:rPr>
          <w:b/>
        </w:rPr>
        <w:t>Výboru Nár</w:t>
      </w:r>
      <w:r>
        <w:rPr>
          <w:b/>
        </w:rPr>
        <w:t>odnej rady Slovenskej republiky</w:t>
      </w:r>
    </w:p>
    <w:p w:rsidR="00DB64C3" w:rsidP="00DB64C3">
      <w:pPr>
        <w:jc w:val="center"/>
        <w:rPr>
          <w:b/>
        </w:rPr>
      </w:pPr>
      <w:r>
        <w:rPr>
          <w:b/>
        </w:rPr>
        <w:t>pre vzdelávanie, vedu, mládež a šport</w:t>
      </w:r>
    </w:p>
    <w:p w:rsidR="00DB64C3" w:rsidP="00DB64C3">
      <w:pPr>
        <w:jc w:val="center"/>
        <w:rPr>
          <w:b/>
        </w:rPr>
      </w:pPr>
    </w:p>
    <w:p w:rsidR="00DB64C3" w:rsidP="00DB64C3">
      <w:pPr>
        <w:jc w:val="center"/>
        <w:rPr>
          <w:b/>
        </w:rPr>
      </w:pPr>
      <w:r>
        <w:rPr>
          <w:b/>
        </w:rPr>
        <w:t>z  28. septembra  2011</w:t>
      </w:r>
    </w:p>
    <w:p w:rsidR="00DB64C3" w:rsidP="00DB64C3">
      <w:pPr>
        <w:pStyle w:val="BodyText"/>
        <w:rPr>
          <w:bCs/>
        </w:rPr>
      </w:pPr>
    </w:p>
    <w:p w:rsidR="00DB64C3" w:rsidP="00DB64C3">
      <w:pPr>
        <w:pStyle w:val="BodyText"/>
        <w:rPr>
          <w:b/>
          <w:bCs/>
          <w:u w:val="single"/>
        </w:rPr>
      </w:pPr>
      <w:r>
        <w:tab/>
        <w:t xml:space="preserve">Výbor Národnej rady Slovenskej republiky pre vzdelávanie, vedu, mládež a šport </w:t>
      </w:r>
      <w:r>
        <w:rPr>
          <w:b/>
          <w:bCs/>
          <w:spacing w:val="40"/>
        </w:rPr>
        <w:t>prerokoval</w:t>
      </w:r>
      <w:r>
        <w:t xml:space="preserve"> vládny návrh zákona o kontrole hraníc a pobyte cudzincov a o zmene a d</w:t>
      </w:r>
      <w:r>
        <w:t xml:space="preserve">oplnení niektorých zákonov </w:t>
      </w:r>
      <w:r w:rsidRPr="00B07AD3">
        <w:rPr>
          <w:b/>
        </w:rPr>
        <w:t>(tlač 4</w:t>
      </w:r>
      <w:r>
        <w:rPr>
          <w:b/>
        </w:rPr>
        <w:t>57</w:t>
      </w:r>
      <w:r w:rsidRPr="00B07AD3">
        <w:rPr>
          <w:b/>
        </w:rPr>
        <w:t>) - druhé čítanie</w:t>
      </w:r>
      <w:r w:rsidRPr="00DB64C3">
        <w:rPr>
          <w:b/>
          <w:bCs/>
        </w:rPr>
        <w:t xml:space="preserve">  </w:t>
      </w:r>
      <w:r>
        <w:t>a</w:t>
      </w:r>
    </w:p>
    <w:p w:rsidR="00DB64C3" w:rsidP="00DB64C3">
      <w:pPr>
        <w:ind w:firstLine="708"/>
        <w:jc w:val="both"/>
        <w:rPr>
          <w:bCs/>
        </w:rPr>
      </w:pPr>
    </w:p>
    <w:p w:rsidR="00DB64C3" w:rsidP="00DB64C3">
      <w:pPr>
        <w:pStyle w:val="Heading3"/>
        <w:tabs>
          <w:tab w:val="clear" w:pos="360"/>
          <w:tab w:val="num" w:pos="1080"/>
        </w:tabs>
        <w:ind w:left="1068"/>
        <w:rPr>
          <w:spacing w:val="60"/>
        </w:rPr>
      </w:pPr>
      <w:r>
        <w:rPr>
          <w:spacing w:val="60"/>
        </w:rPr>
        <w:t>súhlasí</w:t>
      </w:r>
    </w:p>
    <w:p w:rsidR="00DB64C3" w:rsidP="00DB64C3">
      <w:pPr>
        <w:tabs>
          <w:tab w:val="left" w:pos="720"/>
          <w:tab w:val="left" w:pos="1080"/>
        </w:tabs>
        <w:jc w:val="both"/>
        <w:rPr>
          <w:b/>
          <w:spacing w:val="40"/>
        </w:rPr>
      </w:pPr>
    </w:p>
    <w:p w:rsidR="00DB64C3" w:rsidP="00DB64C3">
      <w:pPr>
        <w:pStyle w:val="BodyText"/>
        <w:tabs>
          <w:tab w:val="left" w:pos="1080"/>
        </w:tabs>
        <w:ind w:firstLine="708"/>
        <w:rPr>
          <w:b/>
        </w:rPr>
      </w:pPr>
      <w:r>
        <w:tab/>
        <w:t xml:space="preserve">s vládnym návrhom zákona o kontrole hraníc a pobyte cudzincov a o zmene a </w:t>
        <w:tab/>
        <w:t xml:space="preserve">doplnení niektorých zákonov </w:t>
      </w:r>
      <w:r w:rsidRPr="00B07AD3">
        <w:rPr>
          <w:b/>
        </w:rPr>
        <w:t>(tlač 4</w:t>
      </w:r>
      <w:r>
        <w:rPr>
          <w:b/>
        </w:rPr>
        <w:t>57</w:t>
      </w:r>
      <w:r w:rsidRPr="00B07AD3">
        <w:rPr>
          <w:b/>
        </w:rPr>
        <w:t>)</w:t>
      </w:r>
    </w:p>
    <w:p w:rsidR="00DB64C3" w:rsidP="00DB64C3">
      <w:pPr>
        <w:pStyle w:val="BodyText"/>
        <w:tabs>
          <w:tab w:val="left" w:pos="1080"/>
        </w:tabs>
        <w:ind w:firstLine="708"/>
      </w:pPr>
    </w:p>
    <w:p w:rsidR="00DB64C3" w:rsidP="00DB64C3">
      <w:pPr>
        <w:pStyle w:val="Heading3"/>
        <w:tabs>
          <w:tab w:val="clear" w:pos="360"/>
          <w:tab w:val="num" w:pos="1080"/>
        </w:tabs>
        <w:ind w:left="1080"/>
      </w:pPr>
      <w:r>
        <w:rPr>
          <w:spacing w:val="40"/>
        </w:rPr>
        <w:t>odporúča</w:t>
      </w:r>
      <w:r>
        <w:t xml:space="preserve">   Národnej  rade  Slovenskej  republiky </w:t>
      </w:r>
    </w:p>
    <w:p w:rsidR="00DB64C3" w:rsidP="00DB64C3">
      <w:pPr>
        <w:jc w:val="both"/>
        <w:rPr>
          <w:b/>
          <w:bCs/>
        </w:rPr>
      </w:pPr>
    </w:p>
    <w:p w:rsidR="00DB64C3" w:rsidRPr="00291780" w:rsidP="00DB64C3">
      <w:pPr>
        <w:ind w:left="1080"/>
        <w:jc w:val="both"/>
        <w:rPr>
          <w:bCs/>
        </w:rPr>
      </w:pPr>
      <w:r>
        <w:t>predmetný vládny návrh</w:t>
      </w:r>
      <w:r>
        <w:t xml:space="preserve"> zákona </w:t>
      </w:r>
      <w:r>
        <w:rPr>
          <w:b/>
          <w:bCs/>
          <w:spacing w:val="40"/>
        </w:rPr>
        <w:t xml:space="preserve">schváliť </w:t>
      </w:r>
      <w:r>
        <w:rPr>
          <w:b/>
          <w:bCs/>
        </w:rPr>
        <w:t>s pozmeňujúcimi a doplňujúcimi návrhmi</w:t>
      </w:r>
      <w:r w:rsidRPr="00291780">
        <w:rPr>
          <w:bCs/>
        </w:rPr>
        <w:t>, ktoré sú uvedené v prílohe tohto uznesenia</w:t>
      </w:r>
    </w:p>
    <w:p w:rsidR="00DB64C3" w:rsidRPr="00291780" w:rsidP="00DB64C3">
      <w:pPr>
        <w:ind w:left="1080"/>
        <w:jc w:val="both"/>
        <w:rPr>
          <w:bCs/>
        </w:rPr>
      </w:pPr>
    </w:p>
    <w:p w:rsidR="00DB64C3" w:rsidP="00DB64C3">
      <w:pPr>
        <w:jc w:val="both"/>
      </w:pPr>
    </w:p>
    <w:p w:rsidR="00DB64C3" w:rsidP="00DB64C3">
      <w:pPr>
        <w:pStyle w:val="Heading3"/>
        <w:tabs>
          <w:tab w:val="clear" w:pos="360"/>
          <w:tab w:val="num" w:pos="1080"/>
        </w:tabs>
        <w:ind w:left="1080"/>
      </w:pPr>
      <w:r>
        <w:rPr>
          <w:spacing w:val="40"/>
        </w:rPr>
        <w:t>ukladá</w:t>
      </w:r>
      <w:r>
        <w:t xml:space="preserve">  predsedovi   výboru</w:t>
      </w:r>
    </w:p>
    <w:p w:rsidR="00DB64C3" w:rsidP="00DB64C3">
      <w:pPr>
        <w:tabs>
          <w:tab w:val="left" w:pos="1440"/>
        </w:tabs>
        <w:jc w:val="both"/>
        <w:rPr>
          <w:lang w:eastAsia="cs-CZ"/>
        </w:rPr>
      </w:pPr>
    </w:p>
    <w:p w:rsidR="00DB64C3" w:rsidRPr="00A32096" w:rsidP="00DB64C3">
      <w:pPr>
        <w:tabs>
          <w:tab w:val="left" w:pos="1080"/>
        </w:tabs>
        <w:ind w:left="1080"/>
        <w:jc w:val="both"/>
        <w:rPr>
          <w:rFonts w:cs="Arial"/>
        </w:rPr>
      </w:pPr>
      <w:r>
        <w:t>pred</w:t>
      </w:r>
      <w:r w:rsidRPr="00A32096">
        <w:t>ložiť určenému gestorskému výboru (</w:t>
      </w:r>
      <w:r w:rsidRPr="00A32096">
        <w:rPr>
          <w:rFonts w:cs="Arial"/>
        </w:rPr>
        <w:t>Výbor Národnej rady Slovenskej republiky pre</w:t>
      </w:r>
      <w:r>
        <w:rPr>
          <w:rFonts w:cs="Arial"/>
        </w:rPr>
        <w:t xml:space="preserve"> </w:t>
      </w:r>
      <w:r w:rsidR="0037534C">
        <w:rPr>
          <w:rFonts w:cs="Arial"/>
        </w:rPr>
        <w:t xml:space="preserve">obranu a bezpečnosť)  informáciu o </w:t>
      </w:r>
      <w:r w:rsidRPr="00A32096">
        <w:t>výsled</w:t>
      </w:r>
      <w:r w:rsidRPr="00A32096">
        <w:t xml:space="preserve">ku prerokovania návrhu </w:t>
      </w:r>
      <w:r w:rsidR="00217E14">
        <w:t xml:space="preserve">zákona </w:t>
      </w:r>
      <w:r w:rsidRPr="00A32096">
        <w:t>vo výbore.</w:t>
      </w:r>
    </w:p>
    <w:p w:rsidR="00DB64C3" w:rsidP="00DB64C3">
      <w:pPr>
        <w:jc w:val="both"/>
      </w:pPr>
    </w:p>
    <w:p w:rsidR="00DB64C3" w:rsidRPr="00D903D9" w:rsidP="00DB64C3"/>
    <w:p w:rsidR="00DB64C3" w:rsidP="00DB64C3"/>
    <w:p w:rsidR="00DB64C3" w:rsidP="00DB64C3"/>
    <w:p w:rsidR="008F01ED" w:rsidP="00DB64C3"/>
    <w:p w:rsidR="008F01ED" w:rsidP="00DB64C3"/>
    <w:p w:rsidR="00DB64C3" w:rsidP="00DB64C3"/>
    <w:p w:rsidR="00DB64C3" w:rsidP="00DB64C3"/>
    <w:p w:rsidR="00DB64C3" w:rsidP="00DB64C3">
      <w:pPr>
        <w:ind w:left="720"/>
      </w:pPr>
      <w:smartTag w:uri="urn:schemas-microsoft-com:office:smarttags" w:element="PersonName">
        <w:smartTagPr>
          <w:attr w:name="ProductID" w:val="Miroslav  Beblav�"/>
        </w:smartTagPr>
        <w:r>
          <w:t xml:space="preserve">Miroslav  </w:t>
        </w:r>
        <w:smartTag w:uri="urn:schemas-microsoft-com:office:smarttags" w:element="PersonName">
          <w:r>
            <w:rPr>
              <w:b/>
              <w:spacing w:val="40"/>
            </w:rPr>
            <w:t>Beblavý</w:t>
          </w:r>
        </w:smartTag>
      </w:smartTag>
      <w:r>
        <w:tab/>
        <w:tab/>
        <w:tab/>
        <w:tab/>
        <w:tab/>
        <w:t xml:space="preserve">           </w:t>
      </w:r>
      <w:r w:rsidR="008F01ED">
        <w:tab/>
        <w:tab/>
        <w:tab/>
        <w:t xml:space="preserve">                                             </w:t>
      </w:r>
      <w:r>
        <w:t xml:space="preserve">Dušan </w:t>
      </w:r>
      <w:r>
        <w:rPr>
          <w:b/>
          <w:spacing w:val="40"/>
        </w:rPr>
        <w:t xml:space="preserve">Čaplovič </w:t>
      </w:r>
      <w:r>
        <w:t xml:space="preserve">                                       </w:t>
      </w:r>
      <w:r w:rsidR="008F01ED">
        <w:t xml:space="preserve">    </w:t>
      </w:r>
      <w:r>
        <w:t>overovateľ výboru</w:t>
        <w:tab/>
        <w:tab/>
        <w:tab/>
        <w:tab/>
        <w:tab/>
        <w:tab/>
        <w:t xml:space="preserve">  </w:t>
      </w:r>
      <w:r w:rsidR="008F01ED">
        <w:t xml:space="preserve">                                           </w:t>
      </w:r>
      <w:r w:rsidR="008F01ED">
        <w:t xml:space="preserve">                   </w:t>
      </w:r>
      <w:r>
        <w:t>predseda výboru</w:t>
      </w:r>
    </w:p>
    <w:p w:rsidR="00DB64C3" w:rsidP="00DB64C3">
      <w:pPr>
        <w:tabs>
          <w:tab w:val="left" w:pos="1080"/>
        </w:tabs>
        <w:ind w:left="1080"/>
        <w:jc w:val="both"/>
      </w:pPr>
    </w:p>
    <w:p w:rsidR="00DB64C3" w:rsidP="00DB64C3"/>
    <w:p w:rsidR="001D700C" w:rsidP="00DB64C3"/>
    <w:p w:rsidR="008B39C6"/>
    <w:p w:rsidR="00EA1040" w:rsidRPr="00EA1040" w:rsidP="00EA1040">
      <w:pPr>
        <w:jc w:val="right"/>
        <w:rPr>
          <w:b/>
        </w:rPr>
      </w:pPr>
      <w:r w:rsidR="00D6325C">
        <w:rPr>
          <w:b/>
        </w:rPr>
        <w:t>Príloha k uzneseniu č. 91</w:t>
      </w:r>
    </w:p>
    <w:p w:rsidR="00EA1040"/>
    <w:p w:rsidR="00EA1040" w:rsidRPr="00EA1040" w:rsidP="00EA1040">
      <w:pPr>
        <w:jc w:val="center"/>
        <w:rPr>
          <w:b/>
        </w:rPr>
      </w:pPr>
      <w:r w:rsidRPr="00EA1040">
        <w:rPr>
          <w:b/>
        </w:rPr>
        <w:t>Pozmeňujúce a doplňujúce návrhy</w:t>
      </w:r>
    </w:p>
    <w:p w:rsidR="00EA1040" w:rsidP="00EA1040"/>
    <w:p w:rsidR="00EA1040" w:rsidRPr="00EA1040" w:rsidP="00EA1040">
      <w:pPr>
        <w:jc w:val="both"/>
      </w:pPr>
      <w:r>
        <w:t xml:space="preserve">k  vládnemu návrhu zákona o kontrole hraníc a pobyte cudzincov a o zmene a doplnení niektorých zákonov </w:t>
      </w:r>
      <w:r w:rsidRPr="00B07AD3">
        <w:rPr>
          <w:b/>
        </w:rPr>
        <w:t>(tlač 4</w:t>
      </w:r>
      <w:r>
        <w:rPr>
          <w:b/>
        </w:rPr>
        <w:t>57</w:t>
      </w:r>
      <w:r w:rsidRPr="00B07AD3">
        <w:rPr>
          <w:b/>
        </w:rPr>
        <w:t>)</w:t>
      </w:r>
    </w:p>
    <w:p w:rsidR="00995F32" w:rsidP="00995F32">
      <w:r w:rsidR="00EA1040">
        <w:t>___________________________________________</w:t>
      </w:r>
      <w:r w:rsidR="00EA1040">
        <w:t>________________________________</w:t>
      </w:r>
    </w:p>
    <w:p w:rsidR="00995F32" w:rsidP="00995F32"/>
    <w:p w:rsidR="00995F32" w:rsidP="00995F32"/>
    <w:p w:rsidR="008E6E5B" w:rsidP="001D700C">
      <w:pPr>
        <w:numPr>
          <w:ilvl w:val="0"/>
          <w:numId w:val="14"/>
        </w:numPr>
        <w:tabs>
          <w:tab w:val="clear" w:pos="510"/>
        </w:tabs>
      </w:pPr>
      <w:r w:rsidR="00995F32">
        <w:tab/>
      </w:r>
      <w:r>
        <w:t xml:space="preserve">V čl. I § </w:t>
      </w:r>
      <w:r w:rsidRPr="004C5EAE">
        <w:t xml:space="preserve">15 ods. </w:t>
      </w:r>
      <w:r>
        <w:t xml:space="preserve">3 </w:t>
      </w:r>
      <w:r w:rsidR="00441814">
        <w:t xml:space="preserve">sa </w:t>
      </w:r>
      <w:r>
        <w:t>slová „republike alebo“ nahr</w:t>
      </w:r>
      <w:r w:rsidR="00441814">
        <w:t>ádzajú</w:t>
      </w:r>
      <w:r>
        <w:t xml:space="preserve"> slova</w:t>
      </w:r>
      <w:r w:rsidR="00995F32">
        <w:t xml:space="preserve">mi „republike, udeľuje sa na 90 </w:t>
      </w:r>
      <w:r>
        <w:t>dní a“.</w:t>
      </w:r>
    </w:p>
    <w:p w:rsidR="001D700C" w:rsidP="001D700C"/>
    <w:p w:rsidR="008E6E5B" w:rsidRPr="00CA1403" w:rsidP="00995F32">
      <w:pPr>
        <w:ind w:left="3420"/>
        <w:jc w:val="both"/>
      </w:pPr>
      <w:r>
        <w:tab/>
        <w:tab/>
        <w:tab/>
        <w:tab/>
        <w:t xml:space="preserve">Navrhuje sa konkrétna doba, na ktorú sa bude udeľovať </w:t>
      </w:r>
      <w:r w:rsidR="00995F32">
        <w:tab/>
      </w:r>
      <w:r>
        <w:t xml:space="preserve">národné </w:t>
        <w:tab/>
        <w:tab/>
        <w:tab/>
        <w:tab/>
        <w:t>vízum</w:t>
      </w:r>
      <w:r w:rsidR="00995F32">
        <w:t xml:space="preserve"> </w:t>
      </w:r>
      <w:r>
        <w:t>v prípade udelenia takéhoto víza v súvi</w:t>
      </w:r>
      <w:r>
        <w:t xml:space="preserve">slosti s udelením </w:t>
        <w:tab/>
        <w:tab/>
        <w:tab/>
        <w:tab/>
        <w:t>pobytu na území SR.</w:t>
      </w:r>
    </w:p>
    <w:p w:rsidR="008E6E5B" w:rsidP="008E6E5B">
      <w:pPr>
        <w:jc w:val="both"/>
      </w:pPr>
    </w:p>
    <w:p w:rsidR="00995F32" w:rsidP="00995F32">
      <w:pPr>
        <w:numPr>
          <w:ilvl w:val="0"/>
          <w:numId w:val="14"/>
        </w:numPr>
        <w:jc w:val="both"/>
      </w:pPr>
      <w:r w:rsidR="008E6E5B">
        <w:t xml:space="preserve">V čl. I § 16 ods. 4 </w:t>
      </w:r>
      <w:r w:rsidR="00441814">
        <w:t>sa slová „môže byť vydané aj v niektorom z úradných jazykov Európskej únie alebo krajiny bydliska žiadateľa“ nahrádzajú slovami</w:t>
      </w:r>
      <w:r w:rsidR="008E6E5B">
        <w:t>: „na žiadosť štátneho príslušníka tretej krajiny sa vydá aj v jazyku určenom zastupiteľským úradom alebo policajným útvarom“.</w:t>
      </w:r>
    </w:p>
    <w:p w:rsidR="00995F32" w:rsidP="00995F32">
      <w:pPr>
        <w:jc w:val="both"/>
      </w:pPr>
    </w:p>
    <w:p w:rsidR="008E6E5B" w:rsidP="00995F32">
      <w:pPr>
        <w:ind w:left="3420"/>
        <w:jc w:val="both"/>
      </w:pPr>
      <w:r w:rsidR="00995F32">
        <w:tab/>
        <w:tab/>
      </w:r>
      <w:r>
        <w:t xml:space="preserve">V prípade zamietnutia žiadosti o vízum, jeho zrušenia </w:t>
      </w:r>
      <w:r w:rsidR="00995F32">
        <w:tab/>
      </w:r>
      <w:r>
        <w:t>alebo odvolania je žiaduce, aby bol o rozhodnutí cudzinec informovaný popri slovenskom jazyku aj v inom jazyku. Výber tohto jazyka sa ponecháva na zastupiteľskom úrade, resp. policajnom útvare, pričom tento výber sa bude odvíjať predovšetkým od krajiny, z ktorej cudzinec pochádza.</w:t>
      </w:r>
    </w:p>
    <w:p w:rsidR="008E6E5B" w:rsidP="008E6E5B">
      <w:pPr>
        <w:jc w:val="both"/>
      </w:pPr>
    </w:p>
    <w:p w:rsidR="008E6E5B" w:rsidP="00995F32">
      <w:pPr>
        <w:numPr>
          <w:ilvl w:val="0"/>
          <w:numId w:val="14"/>
        </w:numPr>
        <w:jc w:val="both"/>
      </w:pPr>
      <w:r>
        <w:t xml:space="preserve">V čl. I § 32 ods. 4 </w:t>
      </w:r>
      <w:r w:rsidR="00441814">
        <w:t>sa vypúšťa prvá</w:t>
      </w:r>
      <w:r>
        <w:t xml:space="preserve"> vet</w:t>
      </w:r>
      <w:r w:rsidR="00441814">
        <w:t>a</w:t>
      </w:r>
      <w:r>
        <w:t>.</w:t>
      </w:r>
    </w:p>
    <w:p w:rsidR="008E6E5B" w:rsidP="008E6E5B">
      <w:pPr>
        <w:jc w:val="both"/>
      </w:pPr>
    </w:p>
    <w:p w:rsidR="008E6E5B" w:rsidRPr="0092393E" w:rsidP="00995F32">
      <w:pPr>
        <w:ind w:left="3420"/>
        <w:jc w:val="both"/>
      </w:pPr>
      <w:r>
        <w:t xml:space="preserve">Úprava nadväzuje na § 121 ods. 4, podľa ktorého si budú </w:t>
      </w:r>
      <w:r w:rsidR="00995F32">
        <w:tab/>
      </w:r>
      <w:r>
        <w:t>výpisy z registra trestov vyžadovať priamo policajné útvary.</w:t>
      </w:r>
    </w:p>
    <w:p w:rsidR="008E6E5B" w:rsidP="008E6E5B">
      <w:pPr>
        <w:jc w:val="both"/>
      </w:pPr>
    </w:p>
    <w:p w:rsidR="00995F32" w:rsidP="008E6E5B">
      <w:pPr>
        <w:numPr>
          <w:ilvl w:val="0"/>
          <w:numId w:val="14"/>
        </w:numPr>
        <w:jc w:val="both"/>
      </w:pPr>
      <w:r w:rsidR="008E6E5B">
        <w:t xml:space="preserve">V čl. I § 32 ods. 15 </w:t>
      </w:r>
      <w:r w:rsidR="00441814">
        <w:t xml:space="preserve">sa vypúšťa </w:t>
      </w:r>
      <w:r w:rsidR="008E6E5B">
        <w:t>treti</w:t>
      </w:r>
      <w:r w:rsidR="00441814">
        <w:t>a</w:t>
      </w:r>
      <w:r w:rsidR="008E6E5B">
        <w:t xml:space="preserve"> vet</w:t>
      </w:r>
      <w:r w:rsidR="00441814">
        <w:t>a</w:t>
      </w:r>
      <w:r w:rsidR="008E6E5B">
        <w:t>.</w:t>
      </w:r>
    </w:p>
    <w:p w:rsidR="00995F32" w:rsidP="00995F32">
      <w:pPr>
        <w:jc w:val="both"/>
      </w:pPr>
    </w:p>
    <w:p w:rsidR="008E6E5B" w:rsidRPr="00995F32" w:rsidP="00995F32">
      <w:pPr>
        <w:ind w:left="3420"/>
        <w:jc w:val="both"/>
      </w:pPr>
      <w:r>
        <w:t xml:space="preserve">Nie je dôvod, aby cudzinec, ktorý žiada o prechodný pobyt na </w:t>
        <w:tab/>
        <w:tab/>
        <w:tab/>
        <w:tab/>
        <w:t xml:space="preserve">účel podnikania preukazoval finančné zabezpečenie pobytu </w:t>
        <w:tab/>
        <w:tab/>
        <w:tab/>
        <w:tab/>
        <w:t>v inej výške, ako</w:t>
      </w:r>
      <w:r w:rsidR="00995F32">
        <w:t xml:space="preserve"> </w:t>
      </w:r>
      <w:r>
        <w:t>žiadatelia o prechodný pobyt na iný účel,</w:t>
      </w:r>
      <w:r w:rsidR="00995F32">
        <w:t xml:space="preserve"> </w:t>
      </w:r>
      <w:r>
        <w:tab/>
        <w:t xml:space="preserve">naviac takýto cudzinec musí osobitne preukazovať aj zdroje na </w:t>
        <w:tab/>
        <w:tab/>
        <w:tab/>
        <w:tab/>
        <w:t>podnikanie.</w:t>
      </w:r>
    </w:p>
    <w:p w:rsidR="008E6E5B" w:rsidP="008E6E5B">
      <w:pPr>
        <w:jc w:val="both"/>
      </w:pPr>
    </w:p>
    <w:p w:rsidR="008E6E5B" w:rsidP="00995F32">
      <w:pPr>
        <w:numPr>
          <w:ilvl w:val="0"/>
          <w:numId w:val="14"/>
        </w:numPr>
        <w:jc w:val="both"/>
      </w:pPr>
      <w:r>
        <w:t xml:space="preserve">V čl. I § 38 ods. 5 písm. a) a v čl. I § 38 ods. 6 písm. c) </w:t>
      </w:r>
      <w:r w:rsidR="00441814">
        <w:t xml:space="preserve">sa </w:t>
      </w:r>
      <w:r>
        <w:t>za slová „žiadosť o vydanie modrej karty“ v</w:t>
      </w:r>
      <w:r w:rsidR="00441814">
        <w:t>kladajú</w:t>
      </w:r>
      <w:r>
        <w:t xml:space="preserve"> slová „ak v odseku 13 nie je ustan</w:t>
      </w:r>
      <w:r>
        <w:t>ovené inak“.</w:t>
      </w:r>
    </w:p>
    <w:p w:rsidR="008E6E5B" w:rsidP="008E6E5B">
      <w:pPr>
        <w:jc w:val="both"/>
      </w:pPr>
    </w:p>
    <w:p w:rsidR="00995F32" w:rsidP="008E6E5B">
      <w:pPr>
        <w:numPr>
          <w:ilvl w:val="0"/>
          <w:numId w:val="14"/>
        </w:numPr>
        <w:jc w:val="both"/>
      </w:pPr>
      <w:r w:rsidR="00441814">
        <w:t>V č</w:t>
      </w:r>
      <w:r w:rsidR="008E6E5B">
        <w:t xml:space="preserve">l. I § 38 </w:t>
      </w:r>
      <w:r w:rsidR="00441814">
        <w:t>sa dopĺňa</w:t>
      </w:r>
      <w:r w:rsidR="008E6E5B">
        <w:t xml:space="preserve"> odsekmi 13 až 15, ktoré znejú:</w:t>
      </w:r>
    </w:p>
    <w:p w:rsidR="008E6E5B" w:rsidP="00995F32">
      <w:pPr>
        <w:ind w:left="540"/>
        <w:jc w:val="both"/>
      </w:pPr>
      <w:r w:rsidR="00995F32">
        <w:tab/>
        <w:tab/>
      </w:r>
      <w:r>
        <w:t xml:space="preserve">„(13) Pri vybraných vysokokvalifikovaných zamestnaniach je podmienka výšky </w:t>
      </w:r>
      <w:r w:rsidR="00995F32">
        <w:tab/>
      </w:r>
      <w:r>
        <w:t>mesačnej mzdy podľa odseku 5 písm. a) alebo odseku 6 písm. c) splnená, ak mesačná mzda je dohodnutá vo výške n</w:t>
      </w:r>
      <w:r>
        <w:t>ajmenej 1,2</w:t>
      </w:r>
      <w:r w:rsidRPr="001F4DE4">
        <w:t xml:space="preserve"> násobku priemernej mesačnej mzdy zamestnanca v hospodárstve Slovenskej republiky v príslušnom odvetví zverejnenej Štatistickým úradom Slovenskej republiky za kalendárny rok, ktorý predchádza kalendárnemu roku, v ktorom sa podáva žiadosť o</w:t>
      </w:r>
      <w:r>
        <w:t> vydan</w:t>
      </w:r>
      <w:r>
        <w:t>ie</w:t>
      </w:r>
      <w:r w:rsidRPr="001F4DE4">
        <w:t xml:space="preserve"> modrej karty</w:t>
      </w:r>
      <w:r>
        <w:t xml:space="preserve">. </w:t>
      </w:r>
    </w:p>
    <w:p w:rsidR="008E6E5B" w:rsidP="008E6E5B">
      <w:pPr>
        <w:ind w:left="360" w:firstLine="348"/>
        <w:jc w:val="both"/>
      </w:pPr>
    </w:p>
    <w:p w:rsidR="008E6E5B" w:rsidP="00995F32">
      <w:pPr>
        <w:ind w:left="540"/>
        <w:jc w:val="both"/>
      </w:pPr>
      <w:r>
        <w:t>(14) Zoznam vybraných zamestnaní podľa odseku 13 zo zoznamu zamestnaní zaradených do hlavných skupín 1 a 2 podľa medzinárodnej štandardnej klasifikácie zamestnaní alebo národnej klasifikácie zamestnaní odvodenej od medzinárodnej štandard</w:t>
      </w:r>
      <w:r>
        <w:t>nej klasifikácie zamestnaní s prihliadnutím na situáciu na trhu práce ustanoví všeobecne záväzný právny predpis, ktorý vydá Ministerstvo práce, sociálnych vecí a rodiny Slovenskej republiky.</w:t>
      </w:r>
    </w:p>
    <w:p w:rsidR="008E6E5B" w:rsidP="008E6E5B">
      <w:pPr>
        <w:ind w:left="360" w:firstLine="348"/>
        <w:jc w:val="both"/>
      </w:pPr>
    </w:p>
    <w:p w:rsidR="008E6E5B" w:rsidP="005235F3">
      <w:pPr>
        <w:ind w:left="540"/>
        <w:jc w:val="both"/>
      </w:pPr>
      <w:r>
        <w:t>(15) Ministerstvo práce, sociálnych vecí a rodiny Slovenskej republiky každoročne oznamuje zoznam vybraných zamestnaní podľa odseku 14 Európskej komisii.“.</w:t>
      </w:r>
    </w:p>
    <w:p w:rsidR="008E6E5B" w:rsidP="008E6E5B">
      <w:pPr>
        <w:ind w:left="360" w:firstLine="348"/>
        <w:jc w:val="both"/>
      </w:pPr>
    </w:p>
    <w:p w:rsidR="008E6E5B" w:rsidP="005235F3">
      <w:pPr>
        <w:numPr>
          <w:ilvl w:val="0"/>
          <w:numId w:val="14"/>
        </w:numPr>
        <w:jc w:val="both"/>
      </w:pPr>
      <w:r>
        <w:t xml:space="preserve">V čl. I § 40 ods. 5 písm. a) </w:t>
      </w:r>
      <w:r w:rsidR="00441814">
        <w:t xml:space="preserve">sa </w:t>
      </w:r>
      <w:r>
        <w:t>za slová „žiadosť o obnovenie modrej karty</w:t>
      </w:r>
      <w:r w:rsidR="00441814">
        <w:t>“</w:t>
      </w:r>
      <w:r>
        <w:t xml:space="preserve"> v</w:t>
      </w:r>
      <w:r w:rsidR="00441814">
        <w:t>kladá čiarka</w:t>
      </w:r>
      <w:r>
        <w:t xml:space="preserve"> a slová „ak v odseku 9 nie je ustanovené inak“.</w:t>
      </w:r>
    </w:p>
    <w:p w:rsidR="008E6E5B" w:rsidP="008E6E5B">
      <w:pPr>
        <w:jc w:val="both"/>
      </w:pPr>
    </w:p>
    <w:p w:rsidR="008E6E5B" w:rsidP="005235F3">
      <w:pPr>
        <w:numPr>
          <w:ilvl w:val="0"/>
          <w:numId w:val="14"/>
        </w:numPr>
        <w:jc w:val="both"/>
      </w:pPr>
      <w:r>
        <w:t xml:space="preserve">V čl. I § 40 </w:t>
      </w:r>
      <w:r w:rsidR="00936698">
        <w:t xml:space="preserve">sa </w:t>
      </w:r>
      <w:r w:rsidR="00441814">
        <w:t>dopĺňa</w:t>
      </w:r>
      <w:r>
        <w:t xml:space="preserve"> o</w:t>
      </w:r>
      <w:r>
        <w:t>dsekom 9, ktorý znie:</w:t>
      </w:r>
    </w:p>
    <w:p w:rsidR="008E6E5B" w:rsidP="005235F3">
      <w:pPr>
        <w:ind w:left="360" w:firstLine="180"/>
        <w:jc w:val="both"/>
      </w:pPr>
      <w:r>
        <w:t xml:space="preserve">„(9) Na obnovenie modrej karty sa vzťahuje § 38 ods. 13 až 15.“. </w:t>
      </w:r>
    </w:p>
    <w:p w:rsidR="008E6E5B" w:rsidP="008E6E5B">
      <w:pPr>
        <w:jc w:val="both"/>
      </w:pPr>
    </w:p>
    <w:p w:rsidR="005235F3" w:rsidP="005235F3">
      <w:pPr>
        <w:ind w:firstLine="540"/>
        <w:jc w:val="both"/>
        <w:rPr>
          <w:u w:val="single"/>
        </w:rPr>
      </w:pPr>
      <w:r>
        <w:rPr>
          <w:u w:val="single"/>
        </w:rPr>
        <w:tab/>
        <w:tab/>
      </w:r>
      <w:r w:rsidRPr="004C5EAE" w:rsidR="008E6E5B">
        <w:rPr>
          <w:u w:val="single"/>
        </w:rPr>
        <w:t>Odôvodnenie</w:t>
      </w:r>
      <w:r w:rsidR="008E6E5B">
        <w:rPr>
          <w:u w:val="single"/>
        </w:rPr>
        <w:t xml:space="preserve"> k bodom 5 až 8:</w:t>
      </w:r>
    </w:p>
    <w:p w:rsidR="005235F3" w:rsidP="005235F3">
      <w:pPr>
        <w:jc w:val="both"/>
        <w:rPr>
          <w:u w:val="single"/>
        </w:rPr>
      </w:pPr>
    </w:p>
    <w:p w:rsidR="005235F3" w:rsidP="00441814">
      <w:pPr>
        <w:ind w:left="3420"/>
        <w:jc w:val="both"/>
        <w:rPr>
          <w:u w:val="single"/>
        </w:rPr>
      </w:pPr>
      <w:r w:rsidRPr="00E671AB" w:rsidR="008E6E5B">
        <w:t xml:space="preserve">Podľa </w:t>
      </w:r>
      <w:r w:rsidR="008E6E5B">
        <w:t>s</w:t>
      </w:r>
      <w:r w:rsidRPr="00E671AB" w:rsidR="008E6E5B">
        <w:t xml:space="preserve">mernice </w:t>
      </w:r>
      <w:r w:rsidRPr="00E671AB" w:rsidR="008E6E5B">
        <w:rPr>
          <w:rFonts w:cs="Helvetica"/>
          <w:szCs w:val="20"/>
        </w:rPr>
        <w:t>2009/50/ES o podmienkach vstupu a pobytu štátnych príslušníkov tretích krajín</w:t>
      </w:r>
      <w:r>
        <w:rPr>
          <w:rFonts w:cs="Helvetica"/>
          <w:szCs w:val="20"/>
        </w:rPr>
        <w:t xml:space="preserve"> </w:t>
      </w:r>
      <w:r w:rsidRPr="00E671AB" w:rsidR="008E6E5B">
        <w:rPr>
          <w:rFonts w:cs="Helvetica"/>
          <w:szCs w:val="20"/>
        </w:rPr>
        <w:t xml:space="preserve"> na</w:t>
      </w:r>
      <w:r>
        <w:rPr>
          <w:rFonts w:cs="Helvetica"/>
          <w:szCs w:val="20"/>
        </w:rPr>
        <w:t xml:space="preserve"> </w:t>
      </w:r>
      <w:r w:rsidRPr="00E671AB" w:rsidR="008E6E5B">
        <w:rPr>
          <w:rFonts w:cs="Helvetica"/>
          <w:szCs w:val="20"/>
        </w:rPr>
        <w:t xml:space="preserve"> účely</w:t>
      </w:r>
      <w:r>
        <w:rPr>
          <w:rFonts w:cs="Helvetica"/>
          <w:szCs w:val="20"/>
        </w:rPr>
        <w:t xml:space="preserve"> </w:t>
      </w:r>
      <w:r w:rsidRPr="00E671AB" w:rsidR="008E6E5B">
        <w:rPr>
          <w:rFonts w:cs="Helvetica"/>
          <w:szCs w:val="20"/>
        </w:rPr>
        <w:t xml:space="preserve"> </w:t>
      </w:r>
      <w:r>
        <w:rPr>
          <w:rFonts w:cs="Helvetica"/>
          <w:szCs w:val="20"/>
        </w:rPr>
        <w:tab/>
        <w:t>vy</w:t>
      </w:r>
      <w:r w:rsidRPr="00E671AB" w:rsidR="008E6E5B">
        <w:rPr>
          <w:rFonts w:cs="Helvetica"/>
          <w:szCs w:val="20"/>
        </w:rPr>
        <w:t xml:space="preserve">sokokvalifikovaného </w:t>
      </w:r>
      <w:r>
        <w:rPr>
          <w:rFonts w:cs="Helvetica"/>
          <w:szCs w:val="20"/>
        </w:rPr>
        <w:t xml:space="preserve"> </w:t>
      </w:r>
      <w:r w:rsidRPr="00E671AB" w:rsidR="008E6E5B">
        <w:rPr>
          <w:rFonts w:cs="Helvetica"/>
          <w:szCs w:val="20"/>
        </w:rPr>
        <w:t>zamestn</w:t>
      </w:r>
      <w:r w:rsidRPr="00E671AB" w:rsidR="008E6E5B">
        <w:rPr>
          <w:rFonts w:cs="Helvetica"/>
          <w:szCs w:val="20"/>
        </w:rPr>
        <w:t>ania</w:t>
      </w:r>
      <w:r>
        <w:rPr>
          <w:rFonts w:cs="Helvetica"/>
          <w:szCs w:val="20"/>
        </w:rPr>
        <w:t xml:space="preserve"> </w:t>
      </w:r>
      <w:r w:rsidRPr="00E671AB" w:rsidR="008E6E5B">
        <w:rPr>
          <w:rFonts w:cs="Helvetica"/>
          <w:szCs w:val="20"/>
        </w:rPr>
        <w:t xml:space="preserve"> môže byť pre potreby </w:t>
      </w:r>
      <w:r w:rsidR="000646E8">
        <w:rPr>
          <w:rFonts w:cs="Helvetica"/>
          <w:szCs w:val="20"/>
        </w:rPr>
        <w:tab/>
        <w:tab/>
        <w:tab/>
        <w:tab/>
      </w:r>
      <w:r w:rsidR="008E6E5B">
        <w:rPr>
          <w:rFonts w:cs="Helvetica"/>
          <w:szCs w:val="20"/>
        </w:rPr>
        <w:t>m</w:t>
      </w:r>
      <w:r w:rsidRPr="00E671AB" w:rsidR="008E6E5B">
        <w:rPr>
          <w:rFonts w:cs="Helvetica"/>
          <w:szCs w:val="20"/>
        </w:rPr>
        <w:t>odrej</w:t>
      </w:r>
      <w:r>
        <w:rPr>
          <w:rFonts w:cs="Helvetica"/>
          <w:szCs w:val="20"/>
        </w:rPr>
        <w:t xml:space="preserve"> </w:t>
      </w:r>
      <w:r w:rsidRPr="00E671AB" w:rsidR="008E6E5B">
        <w:rPr>
          <w:rFonts w:cs="Helvetica"/>
          <w:szCs w:val="20"/>
        </w:rPr>
        <w:t>karty</w:t>
      </w:r>
      <w:r w:rsidR="008E6E5B">
        <w:rPr>
          <w:rFonts w:cs="Helvetica"/>
          <w:szCs w:val="20"/>
        </w:rPr>
        <w:t xml:space="preserve"> akceptovaný nielen 1,5-násobok priemernej mzdy, </w:t>
      </w:r>
      <w:r w:rsidR="000646E8">
        <w:rPr>
          <w:rFonts w:cs="Helvetica"/>
          <w:szCs w:val="20"/>
        </w:rPr>
        <w:tab/>
        <w:tab/>
        <w:tab/>
        <w:tab/>
      </w:r>
      <w:r w:rsidR="008E6E5B">
        <w:rPr>
          <w:rFonts w:cs="Helvetica"/>
          <w:szCs w:val="20"/>
        </w:rPr>
        <w:t xml:space="preserve">ale členské štáty si môžu každoročne určiť zoznam povolaní, </w:t>
      </w:r>
      <w:r w:rsidR="000646E8">
        <w:rPr>
          <w:rFonts w:cs="Helvetica"/>
          <w:szCs w:val="20"/>
        </w:rPr>
        <w:tab/>
        <w:tab/>
        <w:tab/>
        <w:tab/>
      </w:r>
      <w:r w:rsidR="008E6E5B">
        <w:rPr>
          <w:rFonts w:cs="Helvetica"/>
          <w:szCs w:val="20"/>
        </w:rPr>
        <w:t xml:space="preserve">kde postačuje podmienka </w:t>
      </w:r>
      <w:r w:rsidRPr="00E671AB" w:rsidR="008E6E5B">
        <w:rPr>
          <w:rFonts w:cs="Helvetica"/>
          <w:szCs w:val="20"/>
        </w:rPr>
        <w:t>len 1,2</w:t>
      </w:r>
      <w:r w:rsidR="008E6E5B">
        <w:rPr>
          <w:rFonts w:cs="Helvetica"/>
          <w:szCs w:val="20"/>
        </w:rPr>
        <w:t>-</w:t>
      </w:r>
      <w:r w:rsidRPr="00E671AB" w:rsidR="008E6E5B">
        <w:rPr>
          <w:rFonts w:cs="Helvetica"/>
          <w:szCs w:val="20"/>
        </w:rPr>
        <w:t>násobk</w:t>
      </w:r>
      <w:r w:rsidR="008E6E5B">
        <w:rPr>
          <w:rFonts w:cs="Helvetica"/>
          <w:szCs w:val="20"/>
        </w:rPr>
        <w:t>u</w:t>
      </w:r>
      <w:r w:rsidRPr="00E671AB" w:rsidR="008E6E5B">
        <w:rPr>
          <w:rFonts w:cs="Helvetica"/>
          <w:szCs w:val="20"/>
        </w:rPr>
        <w:t xml:space="preserve"> priemernej mzdy pre </w:t>
      </w:r>
      <w:r w:rsidR="000646E8">
        <w:rPr>
          <w:rFonts w:cs="Helvetica"/>
          <w:szCs w:val="20"/>
        </w:rPr>
        <w:tab/>
        <w:tab/>
        <w:tab/>
        <w:tab/>
      </w:r>
      <w:r w:rsidRPr="00E671AB" w:rsidR="008E6E5B">
        <w:rPr>
          <w:rFonts w:cs="Helvetica"/>
          <w:szCs w:val="20"/>
        </w:rPr>
        <w:t>držiteľov tejto karty</w:t>
      </w:r>
      <w:r w:rsidR="008E6E5B">
        <w:rPr>
          <w:rFonts w:cs="Helvetica"/>
          <w:szCs w:val="20"/>
        </w:rPr>
        <w:t>,</w:t>
      </w:r>
      <w:r w:rsidRPr="00E671AB" w:rsidR="008E6E5B">
        <w:rPr>
          <w:rFonts w:cs="Helvetica"/>
          <w:szCs w:val="20"/>
        </w:rPr>
        <w:t xml:space="preserve"> a to konk</w:t>
      </w:r>
      <w:r w:rsidRPr="00E671AB" w:rsidR="008E6E5B">
        <w:rPr>
          <w:rFonts w:cs="Helvetica"/>
          <w:szCs w:val="20"/>
        </w:rPr>
        <w:t xml:space="preserve">rétne </w:t>
      </w:r>
      <w:r w:rsidRPr="00E671AB" w:rsidR="008E6E5B">
        <w:t xml:space="preserve">v hlavnej kategórii 2 ISCO </w:t>
      </w:r>
      <w:r w:rsidR="000646E8">
        <w:tab/>
        <w:tab/>
        <w:tab/>
        <w:tab/>
      </w:r>
      <w:r>
        <w:t xml:space="preserve">(Medzinárodne </w:t>
      </w:r>
      <w:r w:rsidR="00441814">
        <w:t>š</w:t>
      </w:r>
      <w:r w:rsidRPr="00E671AB" w:rsidR="008E6E5B">
        <w:t>ta</w:t>
      </w:r>
      <w:r w:rsidR="008E6E5B">
        <w:t>n</w:t>
      </w:r>
      <w:r w:rsidRPr="00E671AB" w:rsidR="008E6E5B">
        <w:t xml:space="preserve">dardnej klasifikácie zamestnaní). </w:t>
      </w:r>
      <w:r w:rsidR="008E6E5B">
        <w:t xml:space="preserve">Uvedený </w:t>
      </w:r>
      <w:r w:rsidR="000646E8">
        <w:tab/>
        <w:tab/>
        <w:tab/>
        <w:tab/>
      </w:r>
      <w:r w:rsidR="008E6E5B">
        <w:t>návrh</w:t>
      </w:r>
      <w:r w:rsidR="00441814">
        <w:t xml:space="preserve"> </w:t>
      </w:r>
      <w:r w:rsidR="008E6E5B">
        <w:t xml:space="preserve">splnomocňuje ministerstvo práce vydávať tieto zoznamy </w:t>
      </w:r>
      <w:r w:rsidR="000646E8">
        <w:tab/>
        <w:tab/>
        <w:tab/>
        <w:tab/>
      </w:r>
      <w:r w:rsidR="008E6E5B">
        <w:t>podľa potrieb trhu.</w:t>
      </w:r>
    </w:p>
    <w:p w:rsidR="008E6E5B" w:rsidRPr="000646E8" w:rsidP="00441814">
      <w:pPr>
        <w:ind w:left="3420"/>
        <w:jc w:val="both"/>
        <w:rPr>
          <w:u w:val="single"/>
        </w:rPr>
      </w:pPr>
      <w:r>
        <w:t>K</w:t>
      </w:r>
      <w:r w:rsidRPr="00E671AB">
        <w:t>ategória</w:t>
      </w:r>
      <w:r>
        <w:t xml:space="preserve"> 2 ISCO</w:t>
      </w:r>
      <w:r w:rsidRPr="00E671AB">
        <w:t xml:space="preserve"> pokrýva</w:t>
      </w:r>
      <w:r>
        <w:t xml:space="preserve"> napríklad</w:t>
      </w:r>
      <w:r w:rsidRPr="00E671AB">
        <w:t xml:space="preserve"> učiteľov, </w:t>
      </w:r>
      <w:r w:rsidR="005235F3">
        <w:tab/>
        <w:t>v</w:t>
      </w:r>
      <w:r w:rsidRPr="00E671AB">
        <w:t xml:space="preserve">ysokoškolských pedagógov, či výskumníkov. Znížením </w:t>
      </w:r>
      <w:r w:rsidR="000646E8">
        <w:tab/>
        <w:tab/>
        <w:tab/>
        <w:tab/>
        <w:tab/>
      </w:r>
      <w:r w:rsidRPr="00E671AB">
        <w:t xml:space="preserve">požadovanej výšky mzdy sa tak zvýši pravdepodobnosť, že naše </w:t>
      </w:r>
      <w:r w:rsidR="000646E8">
        <w:tab/>
        <w:tab/>
        <w:tab/>
        <w:tab/>
      </w:r>
      <w:r w:rsidRPr="00E671AB">
        <w:t>výskumné</w:t>
      </w:r>
      <w:r w:rsidR="005235F3">
        <w:t xml:space="preserve"> </w:t>
      </w:r>
      <w:r w:rsidRPr="00E671AB">
        <w:t xml:space="preserve">a vzdelávacie inštitúcie budú schopné zaplatiť </w:t>
      </w:r>
      <w:r w:rsidR="000646E8">
        <w:tab/>
        <w:tab/>
        <w:tab/>
        <w:tab/>
        <w:tab/>
      </w:r>
      <w:r w:rsidRPr="00E671AB">
        <w:t xml:space="preserve">vysokokvalifikovaných cudzincov, čím sa podporí napĺňanie </w:t>
      </w:r>
      <w:r w:rsidR="000646E8">
        <w:tab/>
        <w:tab/>
        <w:tab/>
        <w:tab/>
      </w:r>
      <w:r w:rsidRPr="00E671AB">
        <w:t>vládou schválených dokumentov Minerv</w:t>
      </w:r>
      <w:r w:rsidRPr="00E671AB">
        <w:t>a 2.0</w:t>
      </w:r>
      <w:r>
        <w:t>,</w:t>
      </w:r>
      <w:r w:rsidRPr="00E671AB">
        <w:t xml:space="preserve"> ako aj Migračná </w:t>
      </w:r>
      <w:r w:rsidR="000646E8">
        <w:tab/>
        <w:tab/>
        <w:tab/>
        <w:tab/>
      </w:r>
      <w:r w:rsidRPr="00E671AB">
        <w:t>politika</w:t>
      </w:r>
      <w:r>
        <w:t xml:space="preserve">, ktorých cieľom je prilákať vysokokvalifikovaných </w:t>
      </w:r>
      <w:r w:rsidR="000646E8">
        <w:tab/>
        <w:tab/>
        <w:tab/>
        <w:tab/>
      </w:r>
      <w:r>
        <w:t xml:space="preserve">pracovníkov na Slovensko, z pohľadu Minervy ide najmä o </w:t>
      </w:r>
      <w:r w:rsidR="000646E8">
        <w:tab/>
        <w:tab/>
        <w:tab/>
        <w:tab/>
      </w:r>
      <w:r>
        <w:t>vedeckých a pedagogických zamestnancov.</w:t>
      </w:r>
    </w:p>
    <w:p w:rsidR="008E6E5B" w:rsidP="000646E8">
      <w:pPr>
        <w:ind w:firstLine="2880"/>
        <w:jc w:val="both"/>
      </w:pPr>
    </w:p>
    <w:p w:rsidR="008E6E5B" w:rsidP="005235F3">
      <w:pPr>
        <w:numPr>
          <w:ilvl w:val="0"/>
          <w:numId w:val="14"/>
        </w:numPr>
        <w:jc w:val="both"/>
      </w:pPr>
      <w:r>
        <w:t xml:space="preserve">V čl. I </w:t>
      </w:r>
      <w:r w:rsidRPr="00D5233C">
        <w:t xml:space="preserve">§ 45 ods. 4 </w:t>
      </w:r>
      <w:r w:rsidR="00441814">
        <w:t>sa vypúšťajú</w:t>
      </w:r>
      <w:r w:rsidRPr="00D5233C">
        <w:t xml:space="preserve"> slová </w:t>
      </w:r>
      <w:r>
        <w:t>„doklad o zdravotnom poist</w:t>
      </w:r>
      <w:r>
        <w:t>ení a“.</w:t>
      </w:r>
    </w:p>
    <w:p w:rsidR="00240D34" w:rsidP="008E6E5B">
      <w:pPr>
        <w:jc w:val="both"/>
      </w:pPr>
    </w:p>
    <w:p w:rsidR="008E6E5B" w:rsidRPr="00D5233C" w:rsidP="005235F3">
      <w:pPr>
        <w:ind w:left="3420"/>
        <w:jc w:val="both"/>
      </w:pPr>
      <w:r>
        <w:t>Keďže každá fyzická osoba s trvalým pobytom je povinne verejne zdravotne poistená, vypúšťa sa povinnosť prikladať k žiadosti o trvalý pobyt doklad o zdravotnom poistení ako nadbytočný.</w:t>
      </w:r>
    </w:p>
    <w:p w:rsidR="008E6E5B" w:rsidP="008E6E5B">
      <w:pPr>
        <w:ind w:left="360"/>
        <w:jc w:val="both"/>
      </w:pPr>
    </w:p>
    <w:p w:rsidR="008E6E5B" w:rsidP="005235F3">
      <w:pPr>
        <w:numPr>
          <w:ilvl w:val="0"/>
          <w:numId w:val="14"/>
        </w:numPr>
        <w:jc w:val="both"/>
      </w:pPr>
      <w:r>
        <w:t xml:space="preserve">V čl. I § 59 ods. 3 </w:t>
      </w:r>
      <w:r w:rsidR="00441814">
        <w:t xml:space="preserve">sa </w:t>
      </w:r>
      <w:r>
        <w:t xml:space="preserve">na konci </w:t>
      </w:r>
      <w:r w:rsidR="00441814">
        <w:t xml:space="preserve">bodka nahrádza </w:t>
      </w:r>
      <w:r>
        <w:t>bodkočiarkou a</w:t>
      </w:r>
      <w:r w:rsidR="00441814">
        <w:t> </w:t>
      </w:r>
      <w:r>
        <w:t>prip</w:t>
      </w:r>
      <w:r w:rsidR="00441814">
        <w:t>ájajú sa</w:t>
      </w:r>
      <w:r>
        <w:t xml:space="preserve"> tieto slová: „ministerstvo vnútra môže v odôvodnených prípadoch od priloženia dokladu upustiť.“.</w:t>
      </w:r>
    </w:p>
    <w:p w:rsidR="008E6E5B" w:rsidP="008E6E5B">
      <w:pPr>
        <w:jc w:val="both"/>
      </w:pPr>
    </w:p>
    <w:p w:rsidR="008E6E5B" w:rsidRPr="005D24E6" w:rsidP="005235F3">
      <w:pPr>
        <w:ind w:left="3420"/>
        <w:jc w:val="both"/>
      </w:pPr>
      <w:r>
        <w:tab/>
        <w:t>Ministerstvu vnútra SR sa umožňuje upustiť od prikladania dokladu o bezúhonnosti k žiadosti o tolerovaný pobyt z dôvodu rešpektovania súkromného a rodinného života. Pôjde najmä o prípady, kedy by získanie tohto dokladu bolo objektívne nemožné.</w:t>
      </w:r>
    </w:p>
    <w:p w:rsidR="008E6E5B" w:rsidP="008E6E5B">
      <w:pPr>
        <w:jc w:val="both"/>
      </w:pPr>
    </w:p>
    <w:p w:rsidR="008E6E5B" w:rsidP="005235F3">
      <w:pPr>
        <w:numPr>
          <w:ilvl w:val="0"/>
          <w:numId w:val="14"/>
        </w:numPr>
        <w:jc w:val="both"/>
      </w:pPr>
      <w:r>
        <w:t>V čl. I</w:t>
      </w:r>
      <w:r w:rsidRPr="00D5233C">
        <w:t xml:space="preserve"> § 62 ods. 2 </w:t>
      </w:r>
      <w:r w:rsidR="00441814">
        <w:t>sa vypúšťa</w:t>
      </w:r>
      <w:r w:rsidRPr="00D5233C">
        <w:t xml:space="preserve"> písmeno e)</w:t>
      </w:r>
      <w:r>
        <w:t>.</w:t>
      </w:r>
      <w:r w:rsidRPr="00D5233C">
        <w:t xml:space="preserve"> </w:t>
      </w:r>
    </w:p>
    <w:p w:rsidR="008E6E5B" w:rsidP="008E6E5B">
      <w:pPr>
        <w:ind w:left="360"/>
        <w:jc w:val="both"/>
      </w:pPr>
    </w:p>
    <w:p w:rsidR="008E6E5B" w:rsidRPr="00D5233C" w:rsidP="005235F3">
      <w:pPr>
        <w:ind w:left="540"/>
        <w:jc w:val="both"/>
      </w:pPr>
      <w:r w:rsidR="005235F3">
        <w:tab/>
        <w:tab/>
      </w:r>
      <w:r>
        <w:t>D</w:t>
      </w:r>
      <w:r w:rsidRPr="00D5233C">
        <w:t xml:space="preserve">oterajšie písmeno f) </w:t>
      </w:r>
      <w:r w:rsidR="00441814">
        <w:t>sa označuje</w:t>
      </w:r>
      <w:r w:rsidRPr="00D5233C">
        <w:t xml:space="preserve"> ako písmeno e).</w:t>
      </w:r>
    </w:p>
    <w:p w:rsidR="008E6E5B" w:rsidP="008E6E5B">
      <w:pPr>
        <w:jc w:val="both"/>
      </w:pPr>
    </w:p>
    <w:p w:rsidR="008E6E5B" w:rsidRPr="0029685F" w:rsidP="005235F3">
      <w:pPr>
        <w:ind w:left="3420"/>
        <w:jc w:val="both"/>
      </w:pPr>
      <w:r>
        <w:tab/>
        <w:t>Vypúšťa sa povinnosť prikladať k žiadosti o pobyte pre novonarodené dieťa doklad o zdravotnom poistení, čím sa zníži administratívna zaťaženosť cudzinca.</w:t>
      </w:r>
    </w:p>
    <w:p w:rsidR="008E6E5B" w:rsidP="008E6E5B">
      <w:pPr>
        <w:jc w:val="both"/>
      </w:pPr>
    </w:p>
    <w:p w:rsidR="008E6E5B" w:rsidP="005235F3">
      <w:pPr>
        <w:numPr>
          <w:ilvl w:val="0"/>
          <w:numId w:val="14"/>
        </w:numPr>
        <w:jc w:val="both"/>
      </w:pPr>
      <w:r>
        <w:t xml:space="preserve">V čl. I § 111 ods. 1 písm. e) </w:t>
      </w:r>
      <w:r w:rsidR="00441814">
        <w:t xml:space="preserve">sa </w:t>
      </w:r>
      <w:r>
        <w:t>vyp</w:t>
      </w:r>
      <w:r w:rsidR="00441814">
        <w:t>úšťajú</w:t>
      </w:r>
      <w:r>
        <w:t xml:space="preserve"> slová „</w:t>
      </w:r>
      <w:r w:rsidRPr="002B6220">
        <w:t>a ak ide o štátneho príslušníka tretej krajiny s udeleným prechodným pobytom na účel podnikania vo výške päťnásobku životného minima na každý mesiac zostávajúceho pobytu, najviac však na jeden rok dopredu,</w:t>
      </w:r>
      <w:r>
        <w:t>“.</w:t>
      </w:r>
    </w:p>
    <w:p w:rsidR="008E6E5B" w:rsidP="008E6E5B">
      <w:pPr>
        <w:jc w:val="both"/>
      </w:pPr>
    </w:p>
    <w:p w:rsidR="008E6E5B" w:rsidRPr="000D60B2" w:rsidP="005235F3">
      <w:pPr>
        <w:ind w:left="3420"/>
        <w:jc w:val="both"/>
      </w:pPr>
      <w:r>
        <w:tab/>
        <w:t>Ide o nadväzujúcu úpravu na vypustenie osobitnej výšky finančného zabezpečenia pri prechodnom pobyte na účel podnikania v § 32 ods. 15.</w:t>
      </w:r>
    </w:p>
    <w:p w:rsidR="008E6E5B" w:rsidP="008E6E5B">
      <w:pPr>
        <w:jc w:val="both"/>
      </w:pPr>
    </w:p>
    <w:p w:rsidR="008E6E5B" w:rsidP="005235F3">
      <w:pPr>
        <w:numPr>
          <w:ilvl w:val="0"/>
          <w:numId w:val="14"/>
        </w:numPr>
        <w:jc w:val="both"/>
      </w:pPr>
      <w:r>
        <w:t xml:space="preserve">V čl. I § 121 ods. 1 </w:t>
      </w:r>
      <w:r w:rsidR="00441814">
        <w:t>sa vypúšťajú</w:t>
      </w:r>
      <w:r>
        <w:t xml:space="preserve"> slová „</w:t>
      </w:r>
      <w:r w:rsidRPr="001F4DE4">
        <w:rPr>
          <w:color w:val="000000"/>
        </w:rPr>
        <w:t>výpisom z registra trestov podľa osobitného predpisu,</w:t>
      </w:r>
      <w:r w:rsidRPr="00FC4B76">
        <w:rPr>
          <w:color w:val="000000"/>
          <w:vertAlign w:val="superscript"/>
        </w:rPr>
        <w:t>92</w:t>
      </w:r>
      <w:r w:rsidRPr="001F4DE4">
        <w:rPr>
          <w:color w:val="000000"/>
        </w:rPr>
        <w:t>)</w:t>
      </w:r>
      <w:r>
        <w:rPr>
          <w:color w:val="000000"/>
        </w:rPr>
        <w:t>“</w:t>
      </w:r>
      <w:r>
        <w:t xml:space="preserve"> a slová „90 dní v jednom polroku“ </w:t>
      </w:r>
      <w:r w:rsidR="00441814">
        <w:t>sa nahrádzajú</w:t>
      </w:r>
      <w:r>
        <w:t xml:space="preserve"> slovami „90 dní počas šiestich po sebe nasledujúcich mesiacoch“.</w:t>
      </w:r>
    </w:p>
    <w:p w:rsidR="008E6E5B" w:rsidP="008E6E5B">
      <w:pPr>
        <w:ind w:left="360"/>
        <w:jc w:val="both"/>
      </w:pPr>
    </w:p>
    <w:p w:rsidR="008E6E5B" w:rsidP="005235F3">
      <w:pPr>
        <w:numPr>
          <w:ilvl w:val="0"/>
          <w:numId w:val="14"/>
        </w:numPr>
        <w:jc w:val="both"/>
      </w:pPr>
      <w:r>
        <w:t xml:space="preserve">V čl. I § 121 ods. 2 odkaz 93 </w:t>
      </w:r>
      <w:r w:rsidR="00441814">
        <w:t>sa nahradzuje</w:t>
      </w:r>
      <w:r>
        <w:t xml:space="preserve"> odkazom 92.</w:t>
      </w:r>
    </w:p>
    <w:p w:rsidR="008E6E5B" w:rsidP="008E6E5B">
      <w:pPr>
        <w:ind w:left="360"/>
        <w:jc w:val="both"/>
      </w:pPr>
    </w:p>
    <w:p w:rsidR="008E6E5B" w:rsidP="005235F3">
      <w:pPr>
        <w:ind w:left="540"/>
        <w:jc w:val="both"/>
      </w:pPr>
      <w:r w:rsidR="005235F3">
        <w:tab/>
      </w:r>
      <w:r w:rsidR="00441814">
        <w:t>Doterajšia poznámka</w:t>
      </w:r>
      <w:r>
        <w:t xml:space="preserve"> pod čiarou k odkazu 92 </w:t>
      </w:r>
      <w:r w:rsidR="00441814">
        <w:t>sa označuje</w:t>
      </w:r>
      <w:r>
        <w:t xml:space="preserve"> ako poznámk</w:t>
      </w:r>
      <w:r w:rsidR="00441814">
        <w:t>a</w:t>
      </w:r>
      <w:r>
        <w:t xml:space="preserve"> pod čiarou k odkazu 93.</w:t>
      </w:r>
    </w:p>
    <w:p w:rsidR="008E6E5B" w:rsidP="008E6E5B">
      <w:pPr>
        <w:jc w:val="both"/>
      </w:pPr>
    </w:p>
    <w:p w:rsidR="008E6E5B" w:rsidP="005235F3">
      <w:pPr>
        <w:numPr>
          <w:ilvl w:val="0"/>
          <w:numId w:val="14"/>
        </w:numPr>
        <w:jc w:val="both"/>
      </w:pPr>
      <w:r>
        <w:t>V čl. I § 121 odsek 3</w:t>
      </w:r>
      <w:r w:rsidR="00542EA3">
        <w:t xml:space="preserve"> znie:</w:t>
      </w:r>
    </w:p>
    <w:p w:rsidR="008E6E5B" w:rsidRPr="00F92BF4" w:rsidP="005235F3">
      <w:pPr>
        <w:ind w:left="540"/>
        <w:jc w:val="both"/>
      </w:pPr>
      <w:r>
        <w:t xml:space="preserve">„(3) Pri rozhodovaní o žiadosti o udelenie pobytu je policajný útvar povinný vyžiadať si </w:t>
      </w:r>
      <w:r w:rsidR="005235F3">
        <w:tab/>
      </w:r>
      <w:r>
        <w:t>výpis z registra trestov;</w:t>
      </w:r>
      <w:r w:rsidRPr="00F92BF4">
        <w:rPr>
          <w:vertAlign w:val="superscript"/>
        </w:rPr>
        <w:t>9</w:t>
      </w:r>
      <w:r>
        <w:rPr>
          <w:vertAlign w:val="superscript"/>
        </w:rPr>
        <w:t>3</w:t>
      </w:r>
      <w:r>
        <w:t xml:space="preserve">) </w:t>
      </w:r>
      <w:r w:rsidRPr="001F4DE4">
        <w:rPr>
          <w:color w:val="000000"/>
        </w:rPr>
        <w:t xml:space="preserve">policajný útvar </w:t>
      </w:r>
      <w:r>
        <w:rPr>
          <w:color w:val="000000"/>
        </w:rPr>
        <w:t xml:space="preserve">je </w:t>
      </w:r>
      <w:r w:rsidRPr="001F4DE4">
        <w:rPr>
          <w:color w:val="000000"/>
        </w:rPr>
        <w:t xml:space="preserve">oprávnený </w:t>
      </w:r>
      <w:r>
        <w:rPr>
          <w:color w:val="000000"/>
        </w:rPr>
        <w:t>vyžiadať si</w:t>
      </w:r>
      <w:r w:rsidRPr="001F4DE4">
        <w:rPr>
          <w:color w:val="000000"/>
        </w:rPr>
        <w:t xml:space="preserve"> </w:t>
      </w:r>
      <w:r>
        <w:rPr>
          <w:color w:val="000000"/>
        </w:rPr>
        <w:t xml:space="preserve">aj </w:t>
      </w:r>
      <w:r w:rsidRPr="001F4DE4">
        <w:rPr>
          <w:color w:val="000000"/>
        </w:rPr>
        <w:t>odpis registra trestov.</w:t>
      </w:r>
      <w:r w:rsidRPr="00F92BF4">
        <w:rPr>
          <w:color w:val="000000"/>
          <w:vertAlign w:val="superscript"/>
        </w:rPr>
        <w:t>94</w:t>
      </w:r>
      <w:r w:rsidRPr="001F4DE4">
        <w:t>)</w:t>
      </w:r>
      <w:r>
        <w:t>“.</w:t>
      </w:r>
    </w:p>
    <w:p w:rsidR="008E6E5B" w:rsidP="008E6E5B">
      <w:pPr>
        <w:jc w:val="both"/>
      </w:pPr>
    </w:p>
    <w:p w:rsidR="008E6E5B" w:rsidRPr="004C5EAE" w:rsidP="001D700C">
      <w:pPr>
        <w:ind w:left="540"/>
        <w:jc w:val="both"/>
        <w:rPr>
          <w:u w:val="single"/>
        </w:rPr>
      </w:pPr>
      <w:r w:rsidR="001D700C">
        <w:rPr>
          <w:u w:val="single"/>
        </w:rPr>
        <w:tab/>
      </w:r>
      <w:r w:rsidRPr="004C5EAE">
        <w:rPr>
          <w:u w:val="single"/>
        </w:rPr>
        <w:t>Odôvodnenie</w:t>
      </w:r>
      <w:r>
        <w:rPr>
          <w:u w:val="single"/>
        </w:rPr>
        <w:t xml:space="preserve"> k bodom 13 až 15:</w:t>
      </w:r>
    </w:p>
    <w:p w:rsidR="005235F3" w:rsidP="008E6E5B">
      <w:pPr>
        <w:jc w:val="both"/>
      </w:pPr>
      <w:r w:rsidR="008E6E5B">
        <w:tab/>
      </w:r>
    </w:p>
    <w:p w:rsidR="008E6E5B" w:rsidP="005235F3">
      <w:pPr>
        <w:ind w:left="3420" w:hanging="3420"/>
        <w:jc w:val="both"/>
      </w:pPr>
      <w:r w:rsidR="005235F3">
        <w:tab/>
      </w:r>
      <w:r>
        <w:t>Jednoznačne sa vymedzuje, že výpis z registra trestov Slovenskej republiky nebude musieť preukazovať samotný cudzinec, čo býva často zdĺhavý proces vzhľadom na ťažkosti s doručovaním. Výpis z registra trestov SR si bude v rámci konania o pobyte vyžadovať priamo policajný útvar, čím sa konanie zrýchli.</w:t>
      </w:r>
    </w:p>
    <w:p w:rsidR="008E6E5B" w:rsidP="008E6E5B">
      <w:pPr>
        <w:ind w:left="360"/>
        <w:jc w:val="both"/>
      </w:pPr>
    </w:p>
    <w:p w:rsidR="001D700C" w:rsidP="008E6E5B">
      <w:pPr>
        <w:ind w:left="360"/>
        <w:jc w:val="both"/>
      </w:pPr>
    </w:p>
    <w:p w:rsidR="005235F3" w:rsidP="008E6E5B">
      <w:pPr>
        <w:numPr>
          <w:ilvl w:val="0"/>
          <w:numId w:val="14"/>
        </w:numPr>
        <w:jc w:val="both"/>
      </w:pPr>
      <w:r w:rsidR="008E6E5B">
        <w:t xml:space="preserve">V čl. I § 126 ods. 7 </w:t>
      </w:r>
      <w:r w:rsidR="00542EA3">
        <w:t>sa</w:t>
      </w:r>
      <w:r w:rsidR="008E6E5B">
        <w:t xml:space="preserve"> na konci</w:t>
      </w:r>
      <w:r w:rsidR="00542EA3">
        <w:t xml:space="preserve"> bodka nahrádza</w:t>
      </w:r>
      <w:r w:rsidR="008E6E5B">
        <w:t xml:space="preserve"> bodkočiarkou a</w:t>
      </w:r>
      <w:r w:rsidR="00542EA3">
        <w:t> </w:t>
      </w:r>
      <w:r w:rsidR="008E6E5B">
        <w:t>prip</w:t>
      </w:r>
      <w:r w:rsidR="00542EA3">
        <w:t>ájajú sa</w:t>
      </w:r>
      <w:r w:rsidR="008E6E5B">
        <w:t xml:space="preserve"> tieto slová „informácie sa okrem štátneho jazyka zverejňujú aj v anglickom jazyku.“.</w:t>
      </w:r>
    </w:p>
    <w:p w:rsidR="00542EA3" w:rsidP="00542EA3">
      <w:pPr>
        <w:jc w:val="both"/>
      </w:pPr>
    </w:p>
    <w:p w:rsidR="008E6E5B" w:rsidRPr="00E671AB" w:rsidP="005235F3">
      <w:pPr>
        <w:ind w:left="3420"/>
        <w:jc w:val="both"/>
      </w:pPr>
      <w:r w:rsidRPr="00E671AB">
        <w:t xml:space="preserve">Vzhľadom na to, že ide o informácie pre cudzincov, </w:t>
      </w:r>
      <w:r>
        <w:t xml:space="preserve">sa navrhuje, aby </w:t>
      </w:r>
      <w:r w:rsidRPr="00E671AB">
        <w:t>informácie boli zverejňované aj v an</w:t>
      </w:r>
      <w:r>
        <w:t xml:space="preserve">glickom jazyku, aby im cudzinci </w:t>
      </w:r>
      <w:r w:rsidRPr="00E671AB">
        <w:t>porozumeli. Dobrá informovanosť cudzincov urýchli proces žiadostí o víza a pobyty, keďže cudzinci budú presnejšie informovaní o</w:t>
      </w:r>
      <w:r>
        <w:t> </w:t>
      </w:r>
      <w:r w:rsidRPr="00E671AB">
        <w:t>tom</w:t>
      </w:r>
      <w:r>
        <w:t>,</w:t>
      </w:r>
      <w:r w:rsidRPr="00E671AB">
        <w:t xml:space="preserve"> aké presne sú ich povinnosti.</w:t>
      </w:r>
    </w:p>
    <w:p w:rsidR="008E6E5B"/>
    <w:p w:rsidR="00EA1040" w:rsidP="005235F3">
      <w:pPr>
        <w:pStyle w:val="HTMLPreformatted"/>
        <w:widowControl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I. článku poznámka pod čiarou k odkazu 59 znie:</w:t>
      </w:r>
    </w:p>
    <w:p w:rsidR="00EA1040" w:rsidP="005235F3">
      <w:pPr>
        <w:pStyle w:val="FootnoteText"/>
        <w:ind w:left="540" w:hanging="540"/>
        <w:jc w:val="both"/>
        <w:rPr>
          <w:sz w:val="24"/>
          <w:szCs w:val="24"/>
        </w:rPr>
      </w:pPr>
      <w:r w:rsidR="005235F3">
        <w:rPr>
          <w:sz w:val="24"/>
          <w:szCs w:val="24"/>
        </w:rPr>
        <w:tab/>
        <w:tab/>
        <w:tab/>
        <w:tab/>
      </w:r>
      <w:r>
        <w:rPr>
          <w:sz w:val="24"/>
          <w:szCs w:val="24"/>
        </w:rPr>
        <w:t>„</w:t>
      </w:r>
      <w:r>
        <w:rPr>
          <w:rStyle w:val="FootnoteReference"/>
          <w:sz w:val="24"/>
          <w:szCs w:val="24"/>
        </w:rPr>
        <w:t>59</w:t>
      </w:r>
      <w:r>
        <w:rPr>
          <w:sz w:val="24"/>
          <w:szCs w:val="24"/>
        </w:rPr>
        <w:t>) Nariadenie Rady (ES) č. 1030/2002 z 13. júna 2002, ktorým sa stanovuje jednotný formát povolení na pobyt pre štátnych príslušníkov tretích štátov (Mimoriadne vydanie Ú. v. EÚ, kap.19/zv.04; Ú. v. ES L 157, 15.6.2002) v platnom znení.“</w:t>
      </w:r>
    </w:p>
    <w:p w:rsidR="00EA1040" w:rsidP="008E6E5B">
      <w:pPr>
        <w:pStyle w:val="HTMLPreformatted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A1040" w:rsidP="005235F3">
      <w:pPr>
        <w:pStyle w:val="HTMLPreformatted"/>
        <w:widowControl/>
        <w:ind w:left="3420"/>
        <w:jc w:val="both"/>
        <w:rPr>
          <w:rStyle w:val="Emphasis"/>
          <w:i w:val="0"/>
          <w:sz w:val="24"/>
          <w:szCs w:val="24"/>
        </w:rPr>
      </w:pPr>
      <w:r>
        <w:rPr>
          <w:rStyle w:val="Emphasis"/>
          <w:i w:val="0"/>
          <w:sz w:val="24"/>
          <w:szCs w:val="24"/>
        </w:rPr>
        <w:t>Ide o legislatívno-technickú úpravu súvisiacu so zaužívaným spôsobom uvádzania informácie o publikácii právne záväzných aktov Európskej únie v úradnom vestníku.</w:t>
      </w:r>
    </w:p>
    <w:p w:rsidR="005235F3" w:rsidP="005235F3">
      <w:pPr>
        <w:pStyle w:val="HTMLPreformatted"/>
        <w:widowControl/>
        <w:ind w:left="3420"/>
        <w:jc w:val="both"/>
        <w:rPr>
          <w:rStyle w:val="Emphasis"/>
          <w:i w:val="0"/>
        </w:rPr>
      </w:pPr>
    </w:p>
    <w:p w:rsidR="00EA1040" w:rsidP="005235F3">
      <w:pPr>
        <w:pStyle w:val="HTMLPreformatted"/>
        <w:widowControl/>
        <w:numPr>
          <w:ilvl w:val="0"/>
          <w:numId w:val="14"/>
        </w:numPr>
        <w:jc w:val="both"/>
        <w:rPr>
          <w:rStyle w:val="Emphasis"/>
          <w:i w:val="0"/>
          <w:sz w:val="24"/>
          <w:szCs w:val="24"/>
        </w:rPr>
      </w:pPr>
      <w:r w:rsidR="001D700C">
        <w:rPr>
          <w:rStyle w:val="Emphasis"/>
          <w:i w:val="0"/>
          <w:sz w:val="24"/>
          <w:szCs w:val="24"/>
        </w:rPr>
        <w:t xml:space="preserve">V </w:t>
      </w:r>
      <w:r>
        <w:rPr>
          <w:rStyle w:val="Emphasis"/>
          <w:i w:val="0"/>
          <w:sz w:val="24"/>
          <w:szCs w:val="24"/>
        </w:rPr>
        <w:t>čl. I poznámka pod čiarou k odkazu 82 znie:</w:t>
      </w:r>
    </w:p>
    <w:p w:rsidR="00EA1040" w:rsidP="005235F3">
      <w:pPr>
        <w:ind w:left="540"/>
      </w:pPr>
      <w:r>
        <w:rPr>
          <w:rStyle w:val="Emphasis"/>
          <w:i w:val="0"/>
        </w:rPr>
        <w:t>„</w:t>
      </w:r>
      <w:r>
        <w:rPr>
          <w:rStyle w:val="Znakyprepoznmkupodiarou"/>
        </w:rPr>
        <w:t>82</w:t>
      </w:r>
      <w:r>
        <w:t>) Rozhodnutie Rady 2004/573/ES z 29. apríla 2004 o organizácii spoločných letov na odsuny štátnych príslušníkov tretích krajín, na ktorých sa vzťahujú príkazy na individuálny odsun, z územia dvoch alebo viacerých členských štátov (Mimoriadne vydanie Ú. v. EÚ, kap. 19/zv. 07; Ú. v. EÚ L 261, 6. 8. 2004 ).“</w:t>
      </w:r>
    </w:p>
    <w:p w:rsidR="005235F3" w:rsidP="008E6E5B">
      <w:pPr>
        <w:pStyle w:val="HTMLPreformatted"/>
        <w:widowControl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EA1040" w:rsidP="005235F3">
      <w:pPr>
        <w:pStyle w:val="HTMLPreformatted"/>
        <w:widowControl/>
        <w:ind w:left="3420" w:hanging="3063"/>
        <w:jc w:val="both"/>
        <w:rPr>
          <w:rStyle w:val="Emphasis"/>
          <w:i w:val="0"/>
        </w:rPr>
      </w:pPr>
      <w:r w:rsidR="005235F3">
        <w:rPr>
          <w:rFonts w:ascii="Times New Roman" w:hAnsi="Times New Roman" w:cs="Times New Roman"/>
          <w:sz w:val="24"/>
          <w:szCs w:val="24"/>
        </w:rPr>
        <w:tab/>
        <w:tab/>
        <w:tab/>
        <w:tab/>
      </w:r>
      <w:r>
        <w:rPr>
          <w:rStyle w:val="Emphasis"/>
          <w:i w:val="0"/>
          <w:sz w:val="24"/>
          <w:szCs w:val="24"/>
        </w:rPr>
        <w:t>Ide o legislatívno-technickú úpravu súvisiacu so zaužívaným spôsobom uvádzania informácie o publikácii právne záväzných aktov Európskej únie v úradnom vestníku.</w:t>
      </w:r>
    </w:p>
    <w:p w:rsidR="00EA1040" w:rsidP="008E6E5B">
      <w:pPr>
        <w:ind w:left="142" w:hanging="142"/>
      </w:pPr>
    </w:p>
    <w:p w:rsidR="00EA1040" w:rsidP="005235F3">
      <w:pPr>
        <w:numPr>
          <w:ilvl w:val="0"/>
          <w:numId w:val="14"/>
        </w:numPr>
      </w:pPr>
      <w:r>
        <w:t>V čl. I, príloha č. 2 znie:</w:t>
      </w:r>
    </w:p>
    <w:p w:rsidR="00EA1040" w:rsidP="008E6E5B">
      <w:pPr>
        <w:ind w:left="142" w:hanging="142"/>
      </w:pPr>
    </w:p>
    <w:p w:rsidR="00EA1040" w:rsidP="008E6E5B">
      <w:pPr>
        <w:ind w:left="462" w:hanging="231"/>
        <w:jc w:val="center"/>
        <w:rPr>
          <w:b/>
          <w:color w:val="000000"/>
        </w:rPr>
      </w:pPr>
      <w:r>
        <w:rPr>
          <w:b/>
          <w:color w:val="000000"/>
        </w:rPr>
        <w:t>ZOZNAM PREBERANÝCH PRÁVNE ZÁV</w:t>
      </w:r>
      <w:r>
        <w:rPr>
          <w:b/>
          <w:caps/>
          <w:color w:val="000000"/>
        </w:rPr>
        <w:t>ä</w:t>
      </w:r>
      <w:r>
        <w:rPr>
          <w:b/>
          <w:color w:val="000000"/>
        </w:rPr>
        <w:t>ZNÝCH AKTOV EURÓPSKEJ ÚNIE</w:t>
      </w:r>
    </w:p>
    <w:p w:rsidR="00EA1040" w:rsidP="008E6E5B">
      <w:pPr>
        <w:ind w:left="462" w:hanging="231"/>
        <w:jc w:val="center"/>
        <w:rPr>
          <w:b/>
          <w:color w:val="000000"/>
        </w:rPr>
      </w:pPr>
    </w:p>
    <w:p w:rsidR="00EA1040" w:rsidP="008E6E5B">
      <w:pPr>
        <w:numPr>
          <w:ilvl w:val="0"/>
          <w:numId w:val="3"/>
        </w:numPr>
        <w:jc w:val="both"/>
      </w:pPr>
      <w:r>
        <w:t>Smernica Rady 2001/40/ES z 28. mája 2001 o vzájomnom uznávaní rozhodnutí o vyhostení štátnych príslušníkov tretích krajín (Mimoriadne vydanie Ú. v. EÚ, kap.19/zv.04; Ú. v. ES L 149, 2.6.2011).</w:t>
      </w:r>
    </w:p>
    <w:p w:rsidR="00EA1040" w:rsidP="008E6E5B">
      <w:pPr>
        <w:numPr>
          <w:ilvl w:val="0"/>
          <w:numId w:val="3"/>
        </w:numPr>
        <w:ind w:left="459" w:hanging="459"/>
        <w:jc w:val="both"/>
      </w:pPr>
      <w:r>
        <w:t>Smernica Rady 2001/51/ES z 28. júna 2001, ktorou sa dopĺňajú ustanovenia článku 26 Dohovoru, ktorým sa vykonáva Schengenská dohoda zo 14. júna 1985 (Mimoriadne vydanie Ú. v. EÚ, kap.19/zv.04; Ú. v. ES L 187, 10.7.2001).</w:t>
      </w:r>
    </w:p>
    <w:p w:rsidR="00EA1040" w:rsidP="008E6E5B">
      <w:pPr>
        <w:numPr>
          <w:ilvl w:val="0"/>
          <w:numId w:val="3"/>
        </w:numPr>
        <w:ind w:left="459" w:hanging="459"/>
        <w:jc w:val="both"/>
      </w:pPr>
      <w:r>
        <w:t>Smernica Rady 2003/86/ES z 22. septembra 2003 o práve na zlúčenie rodiny (Mimoriadne vydanie Ú. v. EÚ, kap.19/zv.06; Ú. v. EÚ L 251, 3.10.2003).</w:t>
      </w:r>
    </w:p>
    <w:p w:rsidR="00EA1040" w:rsidP="008E6E5B">
      <w:pPr>
        <w:numPr>
          <w:ilvl w:val="0"/>
          <w:numId w:val="3"/>
        </w:numPr>
        <w:ind w:left="459" w:hanging="459"/>
        <w:jc w:val="both"/>
      </w:pPr>
      <w:r>
        <w:t>Smernica Rady 2003/109/ES z 25. novembra 2003 o právnom postavení štátnych príslušníkov tretích krajín, ktoré sú osobami s dlhodobým pobytom (Mimoriadne vydanie Ú. v. EÚ, kap.19/zv.06; Ú. v. EÚ L 16, 23.1.2004).</w:t>
      </w:r>
    </w:p>
    <w:p w:rsidR="00542EA3" w:rsidP="00542EA3">
      <w:pPr>
        <w:jc w:val="both"/>
      </w:pPr>
    </w:p>
    <w:p w:rsidR="00542EA3" w:rsidP="00542EA3">
      <w:pPr>
        <w:jc w:val="both"/>
      </w:pPr>
    </w:p>
    <w:p w:rsidR="00EA1040" w:rsidP="008E6E5B">
      <w:pPr>
        <w:numPr>
          <w:ilvl w:val="0"/>
          <w:numId w:val="3"/>
        </w:numPr>
        <w:ind w:left="459" w:hanging="459"/>
        <w:jc w:val="both"/>
      </w:pPr>
      <w:r>
        <w:t>Smernica Rady 2003/110/ES z 25. novembra 2003 o pomoci v prípadoch tranzitu na účely leteckého odsunu (Mimoriadne vydanie Ú. v. EÚ, kap.19/zv.06; Ú. v. EÚ L 321, 6.12.2003) v znení nariadenia Európskeho parlamentu a Rady (EÚ) č. 492/2011 z 5. apríla 2011 (Ú. v. EÚ L 141, 27.5.2011).</w:t>
      </w:r>
    </w:p>
    <w:p w:rsidR="00EA1040" w:rsidP="008E6E5B">
      <w:pPr>
        <w:numPr>
          <w:ilvl w:val="0"/>
          <w:numId w:val="3"/>
        </w:numPr>
        <w:ind w:left="459" w:hanging="459"/>
        <w:jc w:val="both"/>
      </w:pPr>
      <w:r>
        <w:t>Smernica Európskeho parlamentu a Rady 2004/38/ES z 29. apríla 2004 o práve občanov Únie a ich rodinných príslušníkov voľne sa pohybovať a zdržiavať sa v rámci územia členských štátov, ktorá mení a dopĺňa nariadenie (EHS) 1612/68 a ruší smernice 64/221/EHS, 68/360/EHS, 72/194/EHS, 73/148/EHS, 75/34/EHS, 75/35/EHS, 90/364/EHS, 90/365/EHS a 93/96/EHS (Mimoriadne vydanie Ú. v. EÚ, kap.5/zv.05;  Ú. v. EÚ L  158, 30.4.2004) v znení nariadenia Európskeho parlamentu a Rady (EÚ) č. 492/2011 z 5. apríla 2011 (Ú. v. EÚ L, 27.5.2011)..</w:t>
      </w:r>
    </w:p>
    <w:p w:rsidR="00EA1040" w:rsidP="008E6E5B">
      <w:pPr>
        <w:numPr>
          <w:ilvl w:val="0"/>
          <w:numId w:val="3"/>
        </w:numPr>
        <w:ind w:left="459" w:hanging="459"/>
        <w:jc w:val="both"/>
      </w:pPr>
      <w:r>
        <w:t>Smernica Rady 2004/81/ES z 29. apríla 2004 o povoleniach na trvalý pobyt, vydávaných štátnym príslušníkom tretích krajín, ktorí sú obeťami nezákonného obchodovania s ľuďmi alebo ktorí boli predmetom konania umožňujúceho nelegálne prisťahovalectvo a ktorí spolupracovali s príslušnými orgánmi (Mimoriadne vydanie Ú. v. EÚ, kap.19/zv.07; Ú. v. EÚ L  261, 6.8.2004).</w:t>
      </w:r>
    </w:p>
    <w:p w:rsidR="00EA1040" w:rsidP="008E6E5B">
      <w:pPr>
        <w:numPr>
          <w:ilvl w:val="0"/>
          <w:numId w:val="3"/>
        </w:numPr>
        <w:ind w:left="459" w:hanging="459"/>
        <w:jc w:val="both"/>
      </w:pPr>
      <w:r>
        <w:t>Smernica Rady 2004/82/ES z 29. apríla 2004 o povinnosti dopravcov oznamovať údaje o cestujúcich (Mimoriadne vydanie Ú. v. EÚ, kap.19/zv.07; Ú. v. EÚ L 261, 6.8.2004).</w:t>
      </w:r>
    </w:p>
    <w:p w:rsidR="00EA1040" w:rsidP="008E6E5B">
      <w:pPr>
        <w:numPr>
          <w:ilvl w:val="0"/>
          <w:numId w:val="3"/>
        </w:numPr>
        <w:ind w:left="459" w:hanging="459"/>
        <w:jc w:val="both"/>
      </w:pPr>
      <w:r>
        <w:t>Smernica Rady 2004/114/ES zo 13. decembra 2004 o podmienkach prijatia štátnych príslušníkov tretích krajín na účely štúdia, výmen žiakov, neplateného odborného vzdelávania alebo dobrovoľnej služby (Ú. v. EÚ L 375, 23.12.2004).</w:t>
      </w:r>
    </w:p>
    <w:p w:rsidR="00EA1040" w:rsidP="008E6E5B">
      <w:pPr>
        <w:numPr>
          <w:ilvl w:val="0"/>
          <w:numId w:val="3"/>
        </w:numPr>
        <w:ind w:left="459" w:hanging="459"/>
        <w:jc w:val="both"/>
      </w:pPr>
      <w:r>
        <w:t>Smernica Rady 2005/71/ES z 12. októbra 2005 o osobitnom postupe prijímania štátnych príslušníkov tretích krajín na účely vedeckého výskumu (Ú. v. EÚ L 289, 3.11.2005).</w:t>
      </w:r>
    </w:p>
    <w:p w:rsidR="00EA1040" w:rsidP="008E6E5B">
      <w:pPr>
        <w:numPr>
          <w:ilvl w:val="0"/>
          <w:numId w:val="3"/>
        </w:numPr>
        <w:ind w:left="459" w:hanging="459"/>
        <w:jc w:val="both"/>
      </w:pPr>
      <w:r>
        <w:t>Smernica Európskeho parlamentu a Rady 2008/115/ES zo 16. decembra 2008 o spoločných normách a postupoch členských štátov na účely návratu štátnych príslušníkov tretích krajín, ktorí sa neoprávnene zdržiavajú na ich území (Ú. v. EÚ L 348, 24.12.2008).</w:t>
      </w:r>
    </w:p>
    <w:p w:rsidR="00EA1040" w:rsidP="008E6E5B">
      <w:pPr>
        <w:numPr>
          <w:ilvl w:val="0"/>
          <w:numId w:val="3"/>
        </w:numPr>
        <w:ind w:left="459" w:hanging="459"/>
        <w:jc w:val="both"/>
      </w:pPr>
      <w:r>
        <w:t>Smernica Rady 2009/50/ES z  25. mája 2009 o podmienkach vstupu a pobytu štátnych príslušníkov tretích krajín na účely vysokokvalifikovaného zamestnania (Ú. v. EÚ L 155, 18.6.2009).</w:t>
      </w:r>
    </w:p>
    <w:p w:rsidR="001D700C" w:rsidP="001D700C">
      <w:pPr>
        <w:numPr>
          <w:ilvl w:val="0"/>
          <w:numId w:val="3"/>
        </w:numPr>
        <w:ind w:left="459" w:hanging="459"/>
        <w:jc w:val="both"/>
      </w:pPr>
      <w:r w:rsidR="00EA1040">
        <w:t>Smernica Európskeho parlamentu a Rady 2009/52/ES z 18. júna 2009, ktorou sa stanovujú minimálne normy pre sankcie a opatrenia voči zamestnávateľom štátnych príslušníkov tretích krajín, ktorí sa neoprávnene zdržiavajú na území členských štátov (Ú. v. EÚ L 168, 30.6.2009).</w:t>
      </w:r>
    </w:p>
    <w:p w:rsidR="001D700C" w:rsidP="001D700C">
      <w:pPr>
        <w:jc w:val="both"/>
      </w:pPr>
    </w:p>
    <w:p w:rsidR="00EA1040" w:rsidP="001D700C">
      <w:pPr>
        <w:ind w:left="3420"/>
        <w:jc w:val="both"/>
      </w:pPr>
      <w:r>
        <w:rPr>
          <w:rStyle w:val="Emphasis"/>
          <w:i w:val="0"/>
        </w:rPr>
        <w:t xml:space="preserve">Ide o legislatívno-technickú úpravu súvisiacu so zaužívaným </w:t>
        <w:tab/>
        <w:t>spôsobom uvádzania informácie o publikácii právne záväzných aktov Európskej únie v úradnom vestníku.</w:t>
      </w:r>
    </w:p>
    <w:p w:rsidR="00EA1040" w:rsidP="008E6E5B"/>
    <w:p w:rsidR="00EA1040" w:rsidP="008E6E5B"/>
    <w:sectPr w:rsidSect="001D700C"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Helvetica">
    <w:panose1 w:val="020B0604020202030204"/>
    <w:charset w:val="EE"/>
    <w:family w:val="swiss"/>
    <w:pitch w:val="variable"/>
    <w:sig w:usb0="20003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3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00C" w:rsidP="007865B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D700C" w:rsidP="001D700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00C" w:rsidP="007865B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F1BA4">
      <w:rPr>
        <w:rStyle w:val="PageNumber"/>
        <w:noProof/>
      </w:rPr>
      <w:t>2</w:t>
    </w:r>
    <w:r>
      <w:rPr>
        <w:rStyle w:val="PageNumber"/>
      </w:rPr>
      <w:fldChar w:fldCharType="end"/>
    </w:r>
  </w:p>
  <w:p w:rsidR="001D700C" w:rsidP="001D700C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54FE0"/>
    <w:multiLevelType w:val="hybridMultilevel"/>
    <w:tmpl w:val="04DCC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426B6E"/>
    <w:multiLevelType w:val="hybridMultilevel"/>
    <w:tmpl w:val="6288903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073335"/>
    <w:multiLevelType w:val="hybridMultilevel"/>
    <w:tmpl w:val="EA2ADFA0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3F345C"/>
    <w:multiLevelType w:val="hybridMultilevel"/>
    <w:tmpl w:val="FC88859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825AA7"/>
    <w:multiLevelType w:val="multilevel"/>
    <w:tmpl w:val="A446BFF8"/>
    <w:lvl w:ilvl="0">
      <w:start w:val="1"/>
      <w:numFmt w:val="decimal"/>
      <w:lvlText w:val="%1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D03F00"/>
    <w:multiLevelType w:val="hybridMultilevel"/>
    <w:tmpl w:val="71ECD912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48565C7"/>
    <w:multiLevelType w:val="hybridMultilevel"/>
    <w:tmpl w:val="C0FAAD62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05E7219"/>
    <w:multiLevelType w:val="hybridMultilevel"/>
    <w:tmpl w:val="13089B5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1975D5D"/>
    <w:multiLevelType w:val="hybridMultilevel"/>
    <w:tmpl w:val="78C0E27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B1210E"/>
    <w:multiLevelType w:val="hybridMultilevel"/>
    <w:tmpl w:val="8CA61DA4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3370C5B"/>
    <w:multiLevelType w:val="hybridMultilevel"/>
    <w:tmpl w:val="7FB85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36F5560"/>
    <w:multiLevelType w:val="hybridMultilevel"/>
    <w:tmpl w:val="2FEE03E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9A70A21"/>
    <w:multiLevelType w:val="singleLevel"/>
    <w:tmpl w:val="6AA837E2"/>
    <w:lvl w:ilvl="0">
      <w:start w:val="1"/>
      <w:numFmt w:val="upperLetter"/>
      <w:pStyle w:val="Heading3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6D35604A"/>
    <w:multiLevelType w:val="hybridMultilevel"/>
    <w:tmpl w:val="13088BD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3A43268"/>
    <w:multiLevelType w:val="hybridMultilevel"/>
    <w:tmpl w:val="E7240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915616B"/>
    <w:multiLevelType w:val="hybridMultilevel"/>
    <w:tmpl w:val="0E866DB6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B262E66"/>
    <w:multiLevelType w:val="hybridMultilevel"/>
    <w:tmpl w:val="9314EEE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  <w:lvlOverride w:ilvl="0">
      <w:startOverride w:val="1"/>
    </w:lvlOverride>
  </w:num>
  <w:num w:numId="2">
    <w:abstractNumId w:val="8"/>
  </w:num>
  <w:num w:numId="3">
    <w:abstractNumId w:val="13"/>
  </w:num>
  <w:num w:numId="4">
    <w:abstractNumId w:val="4"/>
  </w:num>
  <w:num w:numId="5">
    <w:abstractNumId w:val="14"/>
  </w:num>
  <w:num w:numId="6">
    <w:abstractNumId w:val="10"/>
  </w:num>
  <w:num w:numId="7">
    <w:abstractNumId w:val="0"/>
  </w:num>
  <w:num w:numId="8">
    <w:abstractNumId w:val="16"/>
  </w:num>
  <w:num w:numId="9">
    <w:abstractNumId w:val="9"/>
  </w:num>
  <w:num w:numId="10">
    <w:abstractNumId w:val="1"/>
  </w:num>
  <w:num w:numId="11">
    <w:abstractNumId w:val="3"/>
  </w:num>
  <w:num w:numId="12">
    <w:abstractNumId w:val="6"/>
  </w:num>
  <w:num w:numId="13">
    <w:abstractNumId w:val="2"/>
  </w:num>
  <w:num w:numId="14">
    <w:abstractNumId w:val="5"/>
  </w:num>
  <w:num w:numId="15">
    <w:abstractNumId w:val="11"/>
  </w:num>
  <w:num w:numId="16">
    <w:abstractNumId w:val="7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64C3"/>
    <w:rsid w:val="000646E8"/>
    <w:rsid w:val="000D60B2"/>
    <w:rsid w:val="001D700C"/>
    <w:rsid w:val="001F4DE4"/>
    <w:rsid w:val="00217E14"/>
    <w:rsid w:val="00240D34"/>
    <w:rsid w:val="00291780"/>
    <w:rsid w:val="0029685F"/>
    <w:rsid w:val="002A6635"/>
    <w:rsid w:val="002B6220"/>
    <w:rsid w:val="0037534C"/>
    <w:rsid w:val="00441814"/>
    <w:rsid w:val="004C5EAE"/>
    <w:rsid w:val="005235F3"/>
    <w:rsid w:val="00542EA3"/>
    <w:rsid w:val="005D24E6"/>
    <w:rsid w:val="0069160C"/>
    <w:rsid w:val="006F3BDA"/>
    <w:rsid w:val="007865B7"/>
    <w:rsid w:val="008B39C6"/>
    <w:rsid w:val="008E6E5B"/>
    <w:rsid w:val="008F01ED"/>
    <w:rsid w:val="0092393E"/>
    <w:rsid w:val="00936698"/>
    <w:rsid w:val="00961AB4"/>
    <w:rsid w:val="00995F32"/>
    <w:rsid w:val="00A32096"/>
    <w:rsid w:val="00B07AD3"/>
    <w:rsid w:val="00CA1403"/>
    <w:rsid w:val="00D5233C"/>
    <w:rsid w:val="00D6325C"/>
    <w:rsid w:val="00D903D9"/>
    <w:rsid w:val="00DB64C3"/>
    <w:rsid w:val="00E671AB"/>
    <w:rsid w:val="00EA1040"/>
    <w:rsid w:val="00F82432"/>
    <w:rsid w:val="00F92BF4"/>
    <w:rsid w:val="00FC4B76"/>
    <w:rsid w:val="00FF1BA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64C3"/>
    <w:rPr>
      <w:sz w:val="24"/>
      <w:szCs w:val="24"/>
      <w:lang w:val="sk-SK" w:eastAsia="sk-SK" w:bidi="ar-SA"/>
    </w:rPr>
  </w:style>
  <w:style w:type="paragraph" w:styleId="Heading3">
    <w:name w:val="heading 3"/>
    <w:basedOn w:val="Normal"/>
    <w:next w:val="Normal"/>
    <w:qFormat/>
    <w:rsid w:val="00DB64C3"/>
    <w:pPr>
      <w:keepNext/>
      <w:numPr>
        <w:ilvl w:val="0"/>
        <w:numId w:val="1"/>
      </w:numPr>
      <w:jc w:val="both"/>
      <w:outlineLvl w:val="2"/>
    </w:pPr>
    <w:rPr>
      <w:b/>
      <w:szCs w:val="20"/>
      <w:lang w:eastAsia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B64C3"/>
    <w:pPr>
      <w:jc w:val="both"/>
    </w:pPr>
  </w:style>
  <w:style w:type="paragraph" w:styleId="BalloonText">
    <w:name w:val="Balloon Text"/>
    <w:basedOn w:val="Normal"/>
    <w:semiHidden/>
    <w:rsid w:val="00217E14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EA1040"/>
    <w:rPr>
      <w:rFonts w:ascii="Times New Roman" w:hAnsi="Times New Roman" w:cs="Times New Roman" w:hint="default"/>
      <w:i/>
      <w:iCs/>
    </w:rPr>
  </w:style>
  <w:style w:type="character" w:customStyle="1" w:styleId="HTMLPreformattedChar">
    <w:name w:val="HTML Preformatted Char"/>
    <w:basedOn w:val="DefaultParagraphFont"/>
    <w:link w:val="HTMLPreformatted"/>
    <w:locked/>
    <w:rsid w:val="00EA1040"/>
    <w:rPr>
      <w:rFonts w:ascii="Courier New" w:hAnsi="Courier New" w:cs="Courier New"/>
      <w:lang w:val="sk-SK" w:eastAsia="sk-SK" w:bidi="ar-SA"/>
    </w:rPr>
  </w:style>
  <w:style w:type="paragraph" w:styleId="HTMLPreformatted">
    <w:name w:val="HTML Preformatted"/>
    <w:basedOn w:val="Normal"/>
    <w:link w:val="HTMLPreformattedChar"/>
    <w:rsid w:val="00EA1040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EA1040"/>
    <w:rPr>
      <w:lang w:val="sk-SK" w:eastAsia="sk-SK" w:bidi="ar-SA"/>
    </w:rPr>
  </w:style>
  <w:style w:type="paragraph" w:styleId="FootnoteText">
    <w:name w:val="footnote text"/>
    <w:basedOn w:val="Normal"/>
    <w:link w:val="FootnoteTextChar"/>
    <w:rsid w:val="00EA1040"/>
    <w:rPr>
      <w:sz w:val="20"/>
      <w:szCs w:val="20"/>
    </w:rPr>
  </w:style>
  <w:style w:type="character" w:styleId="FootnoteReference">
    <w:name w:val="footnote reference"/>
    <w:basedOn w:val="DefaultParagraphFont"/>
    <w:rsid w:val="00EA1040"/>
    <w:rPr>
      <w:rFonts w:ascii="Times New Roman" w:hAnsi="Times New Roman" w:cs="Times New Roman" w:hint="default"/>
      <w:vertAlign w:val="superscript"/>
    </w:rPr>
  </w:style>
  <w:style w:type="character" w:customStyle="1" w:styleId="Znakyprepoznmkupodiarou">
    <w:name w:val="Znaky pre poznámku pod čiarou"/>
    <w:rsid w:val="00EA1040"/>
    <w:rPr>
      <w:vertAlign w:val="superscript"/>
    </w:rPr>
  </w:style>
  <w:style w:type="paragraph" w:styleId="Footer">
    <w:name w:val="footer"/>
    <w:basedOn w:val="Normal"/>
    <w:rsid w:val="001D700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D700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1938</Words>
  <Characters>11049</Characters>
  <Application>Microsoft Office Word</Application>
  <DocSecurity>0</DocSecurity>
  <Lines>92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 Národnej rady Slovenskej republiky</vt:lpstr>
    </vt:vector>
  </TitlesOfParts>
  <Company>Kancelaria NR SR</Company>
  <LinksUpToDate>false</LinksUpToDate>
  <CharactersWithSpaces>12962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JandoEva</dc:creator>
  <cp:lastModifiedBy>JandoEva</cp:lastModifiedBy>
  <cp:revision>15</cp:revision>
  <cp:lastPrinted>2011-10-03T10:06:00Z</cp:lastPrinted>
  <dcterms:created xsi:type="dcterms:W3CDTF">2011-09-22T07:48:00Z</dcterms:created>
  <dcterms:modified xsi:type="dcterms:W3CDTF">2011-10-03T10:07:00Z</dcterms:modified>
</cp:coreProperties>
</file>