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6EDB" w:rsidP="004C6EDB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4C6EDB" w:rsidP="004C6EDB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4C6EDB" w:rsidP="004C6EDB">
      <w:pPr>
        <w:jc w:val="both"/>
        <w:rPr>
          <w:b/>
          <w:bCs/>
        </w:rPr>
      </w:pPr>
    </w:p>
    <w:p w:rsidR="004C6EDB" w:rsidP="004C6EDB">
      <w:pPr>
        <w:jc w:val="both"/>
        <w:rPr>
          <w:b/>
          <w:bCs/>
        </w:rPr>
      </w:pPr>
    </w:p>
    <w:p w:rsidR="004C6EDB" w:rsidP="004C6E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Číslo: CRD-2310/2011</w:t>
        <w:tab/>
      </w:r>
      <w:r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  <w:t>15</w:t>
      </w:r>
      <w:r>
        <w:rPr>
          <w:rFonts w:ascii="Arial" w:hAnsi="Arial" w:cs="Arial"/>
          <w:sz w:val="22"/>
          <w:szCs w:val="22"/>
        </w:rPr>
        <w:t>. schôdza výboru</w:t>
      </w:r>
    </w:p>
    <w:p w:rsidR="004C6EDB" w:rsidP="004C6EDB"/>
    <w:p w:rsidR="004C6EDB" w:rsidP="004C6EDB"/>
    <w:p w:rsidR="004C6EDB" w:rsidP="004C6EDB">
      <w:pPr>
        <w:jc w:val="both"/>
      </w:pPr>
    </w:p>
    <w:p w:rsidR="004C6EDB" w:rsidP="004C6EDB">
      <w:pPr>
        <w:jc w:val="both"/>
      </w:pPr>
    </w:p>
    <w:p w:rsidR="004C6EDB" w:rsidP="004C6EDB">
      <w:pPr>
        <w:jc w:val="both"/>
      </w:pPr>
    </w:p>
    <w:p w:rsidR="004C6EDB" w:rsidP="004C6EDB">
      <w:pPr>
        <w:pStyle w:val="Heading2"/>
        <w:jc w:val="center"/>
        <w:rPr>
          <w:i w:val="0"/>
        </w:rPr>
      </w:pPr>
      <w:r>
        <w:rPr>
          <w:i w:val="0"/>
        </w:rPr>
        <w:t>Záznam</w:t>
      </w:r>
    </w:p>
    <w:p w:rsidR="004C6EDB" w:rsidP="004C6ED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4C6EDB" w:rsidP="004C6ED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4C6EDB" w:rsidP="004C6E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Predseda Národnej rady Slovenskej republiky uznesením číslo 510 zo dňa 29. júna 2011 pridelil Výboru Národnej rady Slovenskej republiky pre sociálne veci na prerokovanie vládny </w:t>
      </w:r>
      <w:r>
        <w:rPr>
          <w:rFonts w:ascii="Arial" w:hAnsi="Arial" w:cs="Arial"/>
          <w:color w:val="000000"/>
        </w:rPr>
        <w:t>návrh zákona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0000"/>
        </w:rPr>
        <w:t xml:space="preserve"> ktorým sa mení a dopĺňa zákon č. 346/2005 Z. z. o štátnej službe profesionálnych vojakov ozbrojenýc</w:t>
      </w:r>
      <w:r>
        <w:rPr>
          <w:rFonts w:ascii="Arial" w:hAnsi="Arial" w:cs="Arial"/>
          <w:color w:val="000000"/>
        </w:rPr>
        <w:t>h síl Slovenskej republiky a o zmene a doplnení niektorých zákonov v znení neskorších predpisov (tlač 405)</w:t>
      </w:r>
      <w:r>
        <w:rPr>
          <w:rFonts w:ascii="Arial" w:hAnsi="Arial" w:cs="Arial"/>
        </w:rPr>
        <w:t xml:space="preserve"> s lehotou na prerokovanie 26. august 2011.</w:t>
      </w:r>
    </w:p>
    <w:p w:rsidR="004C6EDB" w:rsidP="004C6EDB">
      <w:pPr>
        <w:jc w:val="both"/>
        <w:rPr>
          <w:rFonts w:ascii="Arial" w:hAnsi="Arial" w:cs="Arial"/>
        </w:rPr>
      </w:pPr>
    </w:p>
    <w:p w:rsidR="004C6EDB" w:rsidP="004C6ED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prerokovanie uvedeného návrhu bolo zvolané zasadnutie Výboru Národnej rady Slovenskej republiky pre sociálne veci na 30. augusta 2011 o 11.30 hodine.</w:t>
      </w:r>
    </w:p>
    <w:p w:rsidR="004C6EDB" w:rsidP="004C6E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C6EDB" w:rsidP="004C6ED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Informujem týmto gestorský výbor (Výbor NR SR pre obranu a bezpečnosť), že z celkového počtu 13 členov výboru, boli prítomní 6 členovia a výbor o návrhu nerokoval, lebo</w:t>
      </w:r>
      <w:r>
        <w:rPr>
          <w:rFonts w:ascii="Arial" w:hAnsi="Arial" w:cs="Arial"/>
          <w:b/>
          <w:bCs/>
        </w:rPr>
        <w:t xml:space="preserve"> nebol uznášaniaschopný</w:t>
      </w:r>
      <w:r>
        <w:rPr>
          <w:rFonts w:ascii="Arial" w:hAnsi="Arial" w:cs="Arial"/>
        </w:rPr>
        <w:t>.</w:t>
      </w: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120"/>
        <w:rPr>
          <w:rFonts w:ascii="Arial" w:hAnsi="Arial" w:cs="Arial"/>
          <w:b/>
        </w:rPr>
      </w:pPr>
    </w:p>
    <w:p w:rsidR="004C6EDB" w:rsidP="004C6EDB">
      <w:pPr>
        <w:ind w:left="6372"/>
        <w:rPr>
          <w:rFonts w:ascii="Arial" w:hAnsi="Arial" w:cs="Arial"/>
          <w:b/>
        </w:rPr>
      </w:pPr>
    </w:p>
    <w:p w:rsidR="004C6EDB" w:rsidP="004C6EDB">
      <w:pPr>
        <w:ind w:left="6372"/>
        <w:rPr>
          <w:rFonts w:ascii="Arial" w:hAnsi="Arial" w:cs="Arial"/>
          <w:b/>
        </w:rPr>
      </w:pPr>
    </w:p>
    <w:p w:rsidR="004C6EDB" w:rsidP="004C6EDB">
      <w:pPr>
        <w:ind w:left="6372"/>
        <w:rPr>
          <w:rFonts w:ascii="Arial" w:hAnsi="Arial" w:cs="Arial"/>
          <w:b/>
        </w:rPr>
      </w:pPr>
    </w:p>
    <w:p w:rsidR="004C6EDB" w:rsidP="004C6EDB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>
          <w:rPr>
            <w:rFonts w:ascii="Arial" w:hAnsi="Arial" w:cs="Arial"/>
            <w:b/>
          </w:rPr>
          <w:t xml:space="preserve">Július  </w:t>
        </w:r>
        <w:r>
          <w:rPr>
            <w:rFonts w:ascii="Arial" w:hAnsi="Arial" w:cs="Arial"/>
            <w:b/>
            <w:spacing w:val="50"/>
          </w:rPr>
          <w:t>Brocka</w:t>
        </w:r>
      </w:smartTag>
    </w:p>
    <w:p w:rsidR="004C6EDB" w:rsidP="004C6EDB">
      <w:pPr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predseda výboru</w:t>
      </w:r>
    </w:p>
    <w:p w:rsidR="004C6EDB" w:rsidP="004C6EDB">
      <w:pPr>
        <w:rPr>
          <w:rFonts w:ascii="Arial" w:hAnsi="Arial" w:cs="Arial"/>
        </w:rPr>
      </w:pPr>
    </w:p>
    <w:p w:rsidR="00C432C3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EDB"/>
    <w:rsid w:val="003E682C"/>
    <w:rsid w:val="004C6EDB"/>
    <w:rsid w:val="00C432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EDB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4C6ED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</cp:revision>
  <dcterms:created xsi:type="dcterms:W3CDTF">2011-08-30T11:24:00Z</dcterms:created>
  <dcterms:modified xsi:type="dcterms:W3CDTF">2011-08-30T11:24:00Z</dcterms:modified>
</cp:coreProperties>
</file>