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</w:t>
      </w:r>
      <w:r w:rsidR="00B33DE6">
        <w:rPr>
          <w:rFonts w:ascii="AT*Toronto" w:hAnsi="AT*Toronto"/>
          <w:b/>
          <w:sz w:val="32"/>
        </w:rPr>
        <w:t>5</w:t>
      </w:r>
      <w:r w:rsidR="00DD1AB2">
        <w:rPr>
          <w:rFonts w:ascii="AT*Toronto" w:hAnsi="AT*Toronto"/>
          <w:b/>
          <w:sz w:val="32"/>
        </w:rPr>
        <w:t>5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18086A">
        <w:t>2</w:t>
      </w:r>
      <w:r w:rsidR="00DD1AB2">
        <w:t>5</w:t>
      </w:r>
      <w:r w:rsidR="00AA3D71">
        <w:t xml:space="preserve">/11/K voči verejnému funkcionárovi </w:t>
      </w:r>
      <w:r w:rsidR="00DD1AB2">
        <w:t>Ondrejovi Patarákovi, bývalému členovi Rady Slovenského rozhlasu.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</w:t>
      </w:r>
      <w:r w:rsidRPr="00447232">
        <w:rPr>
          <w:b/>
          <w:bCs/>
        </w:rPr>
        <w:t>lovenskej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</w:t>
      </w:r>
      <w:r w:rsidR="005D2788">
        <w:rPr>
          <w:rFonts w:ascii="Times New Roman" w:hAnsi="Times New Roman"/>
          <w:b w:val="0"/>
          <w:szCs w:val="24"/>
        </w:rPr>
        <w:t>3</w:t>
      </w:r>
      <w:r w:rsidR="00DD1AB2">
        <w:rPr>
          <w:rFonts w:ascii="Times New Roman" w:hAnsi="Times New Roman"/>
          <w:b w:val="0"/>
          <w:szCs w:val="24"/>
        </w:rPr>
        <w:t>2</w:t>
      </w:r>
      <w:r w:rsidR="005D2788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</w:t>
      </w:r>
      <w:r w:rsidR="00DD1AB2">
        <w:t>Ondrej Patarák, býval</w:t>
      </w:r>
      <w:r w:rsidR="00515EF9">
        <w:t>ý</w:t>
      </w:r>
      <w:r w:rsidR="00DD1AB2">
        <w:t xml:space="preserve"> člen Rady Slovenského rozhla</w:t>
      </w:r>
      <w:r w:rsidR="00DD1AB2">
        <w:t>su</w:t>
      </w:r>
      <w:r w:rsidR="000A1BF9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 w:rsidR="00DD1AB2">
        <w:t>Ondrejovi Patarákovi, bývalému členovi Rady Slovenského rozhlasu</w:t>
      </w:r>
      <w:r w:rsidR="00515EF9">
        <w:t>,</w:t>
      </w:r>
      <w:r w:rsidR="00DD1AB2">
        <w:t xml:space="preserve"> </w:t>
      </w:r>
      <w:r w:rsidR="00A60A00">
        <w:t xml:space="preserve">bytom </w:t>
      </w:r>
      <w:r w:rsidR="00DD1AB2">
        <w:t>Alžbetin dvor 966, 900 42 Miloslavov</w:t>
      </w:r>
      <w:r>
        <w:t>,</w:t>
      </w:r>
      <w:r w:rsidR="00A60A00">
        <w:t xml:space="preserve"> v</w:t>
      </w:r>
      <w:r w:rsidRPr="002F37BB">
        <w:t>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</w:t>
      </w:r>
      <w:r w:rsidRPr="002F37BB">
        <w:t xml:space="preserve">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A3D71" w:rsidP="00AA3D71">
      <w:pPr>
        <w:ind w:right="-108"/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515EF9" w:rsidRPr="00F9439B" w:rsidP="00515EF9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515EF9" w:rsidP="00515EF9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5EF9" w:rsidP="00515EF9">
      <w:pPr>
        <w:spacing w:line="240" w:lineRule="atLeast"/>
        <w:jc w:val="both"/>
      </w:pPr>
    </w:p>
    <w:p w:rsidR="00515EF9" w:rsidP="00515EF9">
      <w:pPr>
        <w:spacing w:line="240" w:lineRule="atLeast"/>
        <w:jc w:val="both"/>
      </w:pPr>
    </w:p>
    <w:p w:rsidR="00515EF9" w:rsidP="00515EF9">
      <w:pPr>
        <w:spacing w:line="240" w:lineRule="atLeast"/>
        <w:jc w:val="both"/>
      </w:pPr>
    </w:p>
    <w:p w:rsidR="00515EF9" w:rsidP="00515EF9">
      <w:pPr>
        <w:spacing w:line="240" w:lineRule="atLeast"/>
        <w:jc w:val="both"/>
      </w:pPr>
    </w:p>
    <w:p w:rsidR="00515EF9" w:rsidRPr="00C443D0" w:rsidP="00515EF9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515EF9" w:rsidRPr="00C443D0" w:rsidP="00515EF9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515EF9" w:rsidRPr="0094490F" w:rsidP="00515EF9">
      <w:pPr>
        <w:spacing w:line="240" w:lineRule="atLeast"/>
        <w:jc w:val="both"/>
      </w:pPr>
      <w:r>
        <w:t>overovatelia výboru</w:t>
      </w:r>
    </w:p>
    <w:p w:rsidR="00515EF9" w:rsidP="00515EF9">
      <w:pPr>
        <w:spacing w:line="240" w:lineRule="atLeast"/>
        <w:jc w:val="both"/>
      </w:pPr>
    </w:p>
    <w:p w:rsidR="00AA3D71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1BF9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086A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52764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15EF9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28F"/>
    <w:rsid w:val="00581910"/>
    <w:rsid w:val="005A7AF6"/>
    <w:rsid w:val="005B43F0"/>
    <w:rsid w:val="005C423E"/>
    <w:rsid w:val="005C686D"/>
    <w:rsid w:val="005D2788"/>
    <w:rsid w:val="005F58D0"/>
    <w:rsid w:val="0060504E"/>
    <w:rsid w:val="00615B60"/>
    <w:rsid w:val="00644458"/>
    <w:rsid w:val="00671B2B"/>
    <w:rsid w:val="00697259"/>
    <w:rsid w:val="006A0C9B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83B00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06D4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F76C4"/>
    <w:rsid w:val="00A068A3"/>
    <w:rsid w:val="00A27B6A"/>
    <w:rsid w:val="00A3025F"/>
    <w:rsid w:val="00A336C3"/>
    <w:rsid w:val="00A53533"/>
    <w:rsid w:val="00A5486A"/>
    <w:rsid w:val="00A57FA9"/>
    <w:rsid w:val="00A60A00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33DE6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1AB2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709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246</cp:revision>
  <cp:lastPrinted>2011-05-31T14:00:00Z</cp:lastPrinted>
  <dcterms:created xsi:type="dcterms:W3CDTF">2005-12-12T07:02:00Z</dcterms:created>
  <dcterms:modified xsi:type="dcterms:W3CDTF">2011-07-04T12:36:00Z</dcterms:modified>
</cp:coreProperties>
</file>