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671B2B" w:rsidP="00334511">
      <w:pPr>
        <w:jc w:val="center"/>
        <w:rPr>
          <w:rFonts w:ascii="AT*Toronto" w:hAnsi="AT*Toronto" w:cs="Times New Roman"/>
          <w:b/>
          <w:sz w:val="32"/>
        </w:rPr>
      </w:pPr>
    </w:p>
    <w:p w:rsidR="009019F4" w:rsidP="009019F4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457</w:t>
      </w:r>
    </w:p>
    <w:p w:rsidR="00DF5A7D" w:rsidRPr="00797B1C" w:rsidP="009019F4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671B2B">
        <w:rPr>
          <w:rFonts w:ascii="Times New Roman" w:hAnsi="Times New Roman" w:cs="Times New Roman"/>
        </w:rPr>
        <w:t>5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671B2B">
        <w:rPr>
          <w:rFonts w:ascii="Times New Roman" w:hAnsi="Times New Roman" w:cs="Times New Roman"/>
        </w:rPr>
        <w:t>Jánovi Golianovi</w:t>
      </w:r>
      <w:r w:rsidR="00966C7C">
        <w:rPr>
          <w:rFonts w:ascii="Times New Roman" w:hAnsi="Times New Roman" w:cs="Times New Roman"/>
        </w:rPr>
        <w:t xml:space="preserve">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 xml:space="preserve">ému </w:t>
      </w:r>
      <w:r w:rsidR="00270248">
        <w:rPr>
          <w:rFonts w:ascii="Times New Roman" w:hAnsi="Times New Roman" w:cs="Times New Roman"/>
        </w:rPr>
        <w:t xml:space="preserve">štátnemu tajomníkovi Ministerstva </w:t>
      </w:r>
      <w:r w:rsidR="00671B2B">
        <w:rPr>
          <w:rFonts w:ascii="Times New Roman" w:hAnsi="Times New Roman" w:cs="Times New Roman"/>
        </w:rPr>
        <w:t xml:space="preserve">pôdohospodárstva </w:t>
      </w:r>
      <w:r w:rsidR="00290E95">
        <w:rPr>
          <w:rFonts w:ascii="Times New Roman" w:hAnsi="Times New Roman" w:cs="Times New Roman"/>
        </w:rPr>
        <w:t xml:space="preserve">Slovenskej republiky.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</w:t>
      </w:r>
      <w:r w:rsidRPr="00447232">
        <w:rPr>
          <w:rFonts w:ascii="Times New Roman" w:hAnsi="Times New Roman" w:cs="Times New Roman"/>
          <w:b/>
          <w:bCs/>
        </w:rPr>
        <w:t>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671B2B">
        <w:rPr>
          <w:rFonts w:cs="Times New Roman"/>
          <w:b w:val="0"/>
        </w:rPr>
        <w:t>80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671B2B">
        <w:rPr>
          <w:rFonts w:ascii="Times New Roman" w:hAnsi="Times New Roman" w:cs="Times New Roman"/>
        </w:rPr>
        <w:t>Ján Golian, bývalý štátny tajomník Minis</w:t>
      </w:r>
      <w:r w:rsidR="00671B2B">
        <w:rPr>
          <w:rFonts w:ascii="Times New Roman" w:hAnsi="Times New Roman" w:cs="Times New Roman"/>
        </w:rPr>
        <w:t xml:space="preserve">terstva pôdohospodárstva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671B2B">
        <w:rPr>
          <w:rFonts w:ascii="Times New Roman" w:hAnsi="Times New Roman" w:cs="Times New Roman"/>
        </w:rPr>
        <w:t>Jánovi Gol</w:t>
      </w:r>
      <w:r w:rsidR="00671B2B">
        <w:rPr>
          <w:rFonts w:ascii="Times New Roman" w:hAnsi="Times New Roman" w:cs="Times New Roman"/>
        </w:rPr>
        <w:t xml:space="preserve">ianovi, bývalému štátnemu tajomníkovi Ministerstva pôdohospodárstva Slovenskej republiky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248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71B2B"/>
    <w:rsid w:val="00697259"/>
    <w:rsid w:val="00774347"/>
    <w:rsid w:val="00797B1C"/>
    <w:rsid w:val="007E2F84"/>
    <w:rsid w:val="00821346"/>
    <w:rsid w:val="0086389C"/>
    <w:rsid w:val="009009EC"/>
    <w:rsid w:val="009019F4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Pages>1</Pages>
  <Words>435</Words>
  <Characters>2486</Characters>
  <Application>Microsoft Office Word</Application>
  <DocSecurity>0</DocSecurity>
  <Lines>0</Lines>
  <Paragraphs>0</Paragraphs>
  <ScaleCrop>false</ScaleCrop>
  <Company>Kancelaria NR SR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99</cp:revision>
  <cp:lastPrinted>2007-09-19T14:55:00Z</cp:lastPrinted>
  <dcterms:created xsi:type="dcterms:W3CDTF">2005-12-12T07:02:00Z</dcterms:created>
  <dcterms:modified xsi:type="dcterms:W3CDTF">2009-10-20T10:05:00Z</dcterms:modified>
</cp:coreProperties>
</file>