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78F3" w:rsidP="003F78F3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3F78F3" w:rsidP="003F78F3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3F78F3" w:rsidP="003F78F3">
      <w:pPr>
        <w:rPr>
          <w:rFonts w:ascii="Times New Roman" w:hAnsi="Times New Roman" w:cs="Times New Roman"/>
        </w:rPr>
      </w:pPr>
    </w:p>
    <w:p w:rsidR="003F78F3" w:rsidP="003F78F3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24. schôdza výboru</w:t>
      </w:r>
    </w:p>
    <w:p w:rsidR="003F78F3" w:rsidP="003F78F3">
      <w:pPr>
        <w:jc w:val="center"/>
        <w:rPr>
          <w:rFonts w:ascii="Times New Roman" w:hAnsi="Times New Roman" w:cs="Times New Roman"/>
          <w:b/>
          <w:sz w:val="28"/>
        </w:rPr>
      </w:pPr>
    </w:p>
    <w:p w:rsidR="003F78F3" w:rsidP="003F78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83</w:t>
      </w:r>
    </w:p>
    <w:p w:rsidR="003F78F3" w:rsidP="003F78F3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3F78F3" w:rsidP="003F78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3F78F3" w:rsidP="003F78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3F78F3" w:rsidRPr="002A6DF3" w:rsidP="003F78F3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 w:rsidR="00E66AE7">
        <w:rPr>
          <w:rFonts w:ascii="Times New Roman" w:hAnsi="Times New Roman" w:cs="Times New Roman"/>
        </w:rPr>
        <w:t xml:space="preserve"> 11. </w:t>
      </w:r>
      <w:r>
        <w:rPr>
          <w:rFonts w:ascii="Times New Roman" w:hAnsi="Times New Roman" w:cs="Times New Roman"/>
        </w:rPr>
        <w:t>októbra 2007</w:t>
      </w:r>
      <w:r w:rsidRPr="002A6DF3">
        <w:rPr>
          <w:rFonts w:ascii="Times New Roman" w:hAnsi="Times New Roman" w:cs="Times New Roman"/>
        </w:rPr>
        <w:t xml:space="preserve"> </w:t>
      </w:r>
    </w:p>
    <w:p w:rsidR="003F78F3" w:rsidP="003F78F3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3F78F3" w:rsidP="003F78F3">
      <w:pPr>
        <w:pStyle w:val="BodyText"/>
        <w:rPr>
          <w:rFonts w:ascii="Times New Roman" w:hAnsi="Times New Roman" w:cs="Times New Roman"/>
        </w:rPr>
      </w:pPr>
    </w:p>
    <w:p w:rsidR="003F78F3" w:rsidRPr="00DE45D1" w:rsidP="003F78F3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prerokoval </w:t>
      </w:r>
      <w:r>
        <w:rPr>
          <w:rFonts w:ascii="Times New Roman" w:hAnsi="Times New Roman" w:cs="Times New Roman"/>
          <w:bCs/>
        </w:rPr>
        <w:t>vládny návrh zákona, ktorým sa mení a dopĺňa zákon č. 73/1998 Z. z. o štátnej službe príslušníkov Policajného zboru, Slovenskej informačnej služby, Zboru väzenskej a justičnej stráže Slovenskej republiky a Železničnej polície v znen</w:t>
      </w:r>
      <w:r>
        <w:rPr>
          <w:rFonts w:ascii="Times New Roman" w:hAnsi="Times New Roman" w:cs="Times New Roman"/>
          <w:bCs/>
        </w:rPr>
        <w:t xml:space="preserve">í neskorších predpisov </w:t>
      </w:r>
      <w:r w:rsidRPr="005D23D1">
        <w:rPr>
          <w:rFonts w:ascii="Times New Roman" w:hAnsi="Times New Roman" w:cs="Times New Roman"/>
          <w:b/>
          <w:bCs/>
        </w:rPr>
        <w:t>(tlač 368)</w:t>
      </w:r>
      <w:r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 xml:space="preserve">druhé </w:t>
      </w:r>
      <w:r w:rsidRPr="00A0007E">
        <w:rPr>
          <w:rFonts w:ascii="Times New Roman" w:hAnsi="Times New Roman" w:cs="Times New Roman"/>
          <w:b/>
          <w:bCs/>
        </w:rPr>
        <w:t>čítanie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3F78F3" w:rsidRPr="00737325" w:rsidP="003F78F3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3F78F3" w:rsidP="003F78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3F78F3" w:rsidP="003F78F3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3F78F3" w:rsidP="003F78F3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s</w:t>
      </w:r>
      <w:r>
        <w:rPr>
          <w:rFonts w:ascii="Times New Roman" w:hAnsi="Times New Roman" w:cs="Times New Roman"/>
          <w:bCs/>
        </w:rPr>
        <w:t> vládnym návrhom zákona, ktorým sa mení a dopĺňa zákon č. 73/1998 Z. z. o štátnej službe príslušníkov Policajného zboru, Slovenskej informačnej služby, Zboru väzenskej a justičnej stráže Slovenskej republiky a Železničnej polície v znení neskorších predpisov;</w:t>
      </w:r>
    </w:p>
    <w:p w:rsidR="003F78F3" w:rsidRPr="009E37E2" w:rsidP="003F78F3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3F78F3" w:rsidP="003F78F3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3F78F3" w:rsidP="003F78F3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3F78F3" w:rsidP="003F78F3">
      <w:pPr>
        <w:pStyle w:val="BodyText"/>
        <w:rPr>
          <w:rFonts w:ascii="Times New Roman" w:hAnsi="Times New Roman" w:cs="Times New Roman"/>
        </w:rPr>
      </w:pPr>
    </w:p>
    <w:p w:rsidR="003F78F3" w:rsidRPr="00DE45D1" w:rsidP="003F78F3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v</w:t>
      </w:r>
      <w:r>
        <w:rPr>
          <w:rFonts w:ascii="Times New Roman" w:hAnsi="Times New Roman" w:cs="Times New Roman"/>
          <w:bCs/>
        </w:rPr>
        <w:t xml:space="preserve">ládny návrh zákona,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3F78F3" w:rsidP="003F78F3">
      <w:pPr>
        <w:pStyle w:val="BodyText"/>
        <w:rPr>
          <w:rFonts w:ascii="Times New Roman" w:hAnsi="Times New Roman" w:cs="Times New Roman"/>
        </w:rPr>
      </w:pPr>
    </w:p>
    <w:p w:rsidR="003F78F3" w:rsidP="003F78F3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3F78F3" w:rsidP="003F78F3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3F78F3" w:rsidP="003F78F3">
      <w:pPr>
        <w:pStyle w:val="BodyText"/>
        <w:ind w:firstLine="708"/>
        <w:rPr>
          <w:rFonts w:ascii="Times New Roman" w:hAnsi="Times New Roman" w:cs="Times New Roman"/>
        </w:rPr>
      </w:pPr>
    </w:p>
    <w:p w:rsidR="003F78F3" w:rsidP="003F78F3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v spolupráci s ostatnými predsedami výborov Národnej rady Slovenskej republiky, ktorí predmetný návrh zákona prerokovali, predložiť Národnej rade Slovenskej republiky spoločnú správu o výsledku prerokovania. </w:t>
      </w:r>
    </w:p>
    <w:p w:rsidR="003F78F3" w:rsidP="003F78F3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3F78F3" w:rsidP="003F78F3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3F78F3" w:rsidP="003F78F3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3F78F3" w:rsidRPr="00E4774A" w:rsidP="003F78F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Rudolf PUČ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ÍK</w:t>
      </w:r>
    </w:p>
    <w:p w:rsidR="003F78F3" w:rsidP="003F7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3F78F3" w:rsidP="003F78F3">
      <w:pPr>
        <w:rPr>
          <w:rFonts w:ascii="Times New Roman" w:hAnsi="Times New Roman" w:cs="Times New Roman"/>
          <w:b/>
          <w:i/>
        </w:rPr>
      </w:pPr>
    </w:p>
    <w:p w:rsidR="003F78F3" w:rsidP="003F78F3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FEDOR</w:t>
      </w:r>
    </w:p>
    <w:p w:rsidR="003F78F3" w:rsidRPr="009A71C9" w:rsidP="003F78F3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3F78F3" w:rsidP="003F78F3">
      <w:pPr>
        <w:rPr>
          <w:rFonts w:ascii="Times New Roman" w:hAnsi="Times New Roman" w:cs="Times New Roman"/>
        </w:rPr>
      </w:pPr>
    </w:p>
    <w:p w:rsidR="003F78F3" w:rsidP="003F78F3">
      <w:pPr>
        <w:rPr>
          <w:rFonts w:ascii="Times New Roman" w:hAnsi="Times New Roman" w:cs="Times New Roman"/>
        </w:rPr>
      </w:pPr>
    </w:p>
    <w:p w:rsidR="003F78F3" w:rsidP="003F78F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83</w:t>
      </w:r>
    </w:p>
    <w:p w:rsidR="003F78F3" w:rsidP="003F78F3">
      <w:pPr>
        <w:jc w:val="right"/>
        <w:rPr>
          <w:rFonts w:ascii="Times New Roman" w:hAnsi="Times New Roman" w:cs="Times New Roman"/>
        </w:rPr>
      </w:pPr>
    </w:p>
    <w:p w:rsidR="003F78F3" w:rsidRPr="00C70DF3" w:rsidP="003F78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F3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3F78F3" w:rsidP="003F78F3">
      <w:pPr>
        <w:jc w:val="center"/>
        <w:rPr>
          <w:rFonts w:ascii="Times New Roman" w:hAnsi="Times New Roman" w:cs="Times New Roman"/>
        </w:rPr>
      </w:pPr>
    </w:p>
    <w:p w:rsidR="003F78F3" w:rsidP="003F78F3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  <w:bCs/>
        </w:rPr>
        <w:t xml:space="preserve">vládnemu návrhu zákona,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 w:rsidRPr="005D23D1">
        <w:rPr>
          <w:rFonts w:ascii="Times New Roman" w:hAnsi="Times New Roman" w:cs="Times New Roman"/>
          <w:b/>
          <w:bCs/>
        </w:rPr>
        <w:t>(tlač 368)</w:t>
      </w:r>
      <w:r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 xml:space="preserve">druhé </w:t>
      </w:r>
      <w:r w:rsidRPr="00A0007E">
        <w:rPr>
          <w:rFonts w:ascii="Times New Roman" w:hAnsi="Times New Roman" w:cs="Times New Roman"/>
          <w:b/>
          <w:bCs/>
        </w:rPr>
        <w:t>čítanie</w:t>
      </w:r>
    </w:p>
    <w:p w:rsidR="003F78F3" w:rsidP="003F78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</w:t>
      </w:r>
    </w:p>
    <w:p w:rsidR="003F78F3" w:rsidP="003F78F3">
      <w:pPr>
        <w:rPr>
          <w:rFonts w:ascii="Times New Roman" w:hAnsi="Times New Roman" w:cs="Times New Roman"/>
        </w:rPr>
      </w:pPr>
    </w:p>
    <w:p w:rsidR="00604A87" w:rsidRPr="00063597" w:rsidP="00604A87">
      <w:pPr>
        <w:rPr>
          <w:rFonts w:ascii="Times New Roman" w:hAnsi="Times New Roman" w:cs="Times New Roman"/>
        </w:rPr>
      </w:pPr>
      <w:r w:rsidRPr="00063597">
        <w:rPr>
          <w:rFonts w:ascii="Times New Roman" w:hAnsi="Times New Roman" w:cs="Times New Roman"/>
        </w:rPr>
        <w:t>K čl. I</w:t>
      </w:r>
    </w:p>
    <w:p w:rsidR="00604A87" w:rsidRPr="00063597" w:rsidP="00604A87">
      <w:pPr>
        <w:rPr>
          <w:rFonts w:ascii="Times New Roman" w:hAnsi="Times New Roman" w:cs="Times New Roman"/>
        </w:rPr>
      </w:pPr>
    </w:p>
    <w:p w:rsidR="00604A87" w:rsidRPr="00063597" w:rsidP="00604A87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</w:rPr>
      </w:pPr>
      <w:r w:rsidRPr="00063597">
        <w:rPr>
          <w:rFonts w:ascii="Times New Roman" w:hAnsi="Times New Roman" w:cs="Times New Roman"/>
        </w:rPr>
        <w:t>Body 41 a 168 sa vypúšťajú.</w:t>
      </w:r>
    </w:p>
    <w:p w:rsidR="00604A87" w:rsidRPr="00063597" w:rsidP="00604A87">
      <w:pPr>
        <w:rPr>
          <w:rFonts w:ascii="Times New Roman" w:hAnsi="Times New Roman" w:cs="Times New Roman"/>
        </w:rPr>
      </w:pPr>
    </w:p>
    <w:p w:rsidR="00604A87" w:rsidRPr="00063597" w:rsidP="00604A87">
      <w:pPr>
        <w:ind w:firstLine="708"/>
        <w:rPr>
          <w:rFonts w:ascii="Times New Roman" w:hAnsi="Times New Roman" w:cs="Times New Roman"/>
        </w:rPr>
      </w:pPr>
      <w:r w:rsidRPr="00063597">
        <w:rPr>
          <w:rFonts w:ascii="Times New Roman" w:hAnsi="Times New Roman" w:cs="Times New Roman"/>
        </w:rPr>
        <w:t>Ďalšie body sa následne prečíslujú.</w:t>
      </w:r>
    </w:p>
    <w:p w:rsidR="00604A87" w:rsidRPr="00063597" w:rsidP="00604A87">
      <w:pPr>
        <w:rPr>
          <w:rFonts w:ascii="Times New Roman" w:hAnsi="Times New Roman" w:cs="Times New Roman"/>
        </w:rPr>
      </w:pPr>
      <w:r w:rsidRPr="00063597">
        <w:rPr>
          <w:rFonts w:ascii="Times New Roman" w:hAnsi="Times New Roman" w:cs="Times New Roman"/>
        </w:rPr>
        <w:t xml:space="preserve"> </w:t>
      </w:r>
    </w:p>
    <w:p w:rsidR="00604A87" w:rsidRPr="00063597" w:rsidP="00604A87">
      <w:pPr>
        <w:rPr>
          <w:rFonts w:ascii="Times New Roman" w:hAnsi="Times New Roman" w:cs="Times New Roman"/>
        </w:rPr>
      </w:pPr>
    </w:p>
    <w:p w:rsidR="00604A87" w:rsidRPr="00063597" w:rsidP="00604A87">
      <w:pPr>
        <w:ind w:left="4248"/>
        <w:jc w:val="both"/>
        <w:rPr>
          <w:rFonts w:ascii="Times New Roman" w:hAnsi="Times New Roman" w:cs="Times New Roman"/>
        </w:rPr>
      </w:pPr>
      <w:r w:rsidRPr="00063597">
        <w:rPr>
          <w:rFonts w:ascii="Times New Roman" w:hAnsi="Times New Roman" w:cs="Times New Roman"/>
        </w:rPr>
        <w:t>Novonavrhovaný odsek 3 v § 35 v 41. bode dáva možnosť ministrovi previesť alebo preložiť na inú funkciu policajta, ktorému bola určená zdravotná klasifikácia D (nespôsobilý na výkon štátnej služby policajta) v dôsledku služobného úrazu alebo choroby z povolania, na jeho vlastnú žiadosť na funkciu, ktorej výkon nebude na ujmu jeho zdravia. Navrhované ustanovenie dáva možnosť ministrovi rozhodovať o tom, či policajt je spôsobilý na výkon štátnej služby alebo nie. Navrhované ustanovenie nezaručuje objektivitu v rozhodovaní, pretože v takýchto situáciách je závislé na vôli ministra.</w:t>
      </w:r>
    </w:p>
    <w:p w:rsidR="00604A87" w:rsidRPr="00063597" w:rsidP="00A8267F">
      <w:pPr>
        <w:ind w:left="4245"/>
        <w:jc w:val="both"/>
        <w:rPr>
          <w:rFonts w:ascii="Times New Roman" w:hAnsi="Times New Roman" w:cs="Times New Roman"/>
        </w:rPr>
      </w:pPr>
      <w:r w:rsidRPr="00063597">
        <w:rPr>
          <w:rFonts w:ascii="Times New Roman" w:hAnsi="Times New Roman" w:cs="Times New Roman"/>
        </w:rPr>
        <w:t xml:space="preserve">Policajt, ktorý je v dôsledku služobného úrazu alebo choroby z povolania prepustený zo služobného pomeru, je podľa zákona č. 328/2002 Z. z. sociálne zabezpečený dávkami úrazového zabezpečenia a dávkami výsluhového zabezpečenia. </w:t>
      </w:r>
    </w:p>
    <w:p w:rsidR="00604A87" w:rsidRPr="00063597" w:rsidP="00604A87">
      <w:pPr>
        <w:jc w:val="both"/>
        <w:rPr>
          <w:rFonts w:ascii="Times New Roman" w:hAnsi="Times New Roman" w:cs="Times New Roman"/>
        </w:rPr>
      </w:pPr>
    </w:p>
    <w:p w:rsidR="00604A87" w:rsidRPr="00063597" w:rsidP="00604A87">
      <w:pPr>
        <w:jc w:val="both"/>
        <w:rPr>
          <w:rFonts w:ascii="Times New Roman" w:hAnsi="Times New Roman" w:cs="Times New Roman"/>
        </w:rPr>
      </w:pPr>
      <w:r w:rsidRPr="00063597">
        <w:rPr>
          <w:rFonts w:ascii="Times New Roman" w:hAnsi="Times New Roman" w:cs="Times New Roman"/>
        </w:rPr>
        <w:tab/>
        <w:t xml:space="preserve"> </w:t>
      </w:r>
    </w:p>
    <w:p w:rsidR="00604A87" w:rsidRPr="00063597" w:rsidP="00604A87">
      <w:pPr>
        <w:rPr>
          <w:rFonts w:ascii="Times New Roman" w:hAnsi="Times New Roman" w:cs="Times New Roman"/>
        </w:rPr>
      </w:pPr>
    </w:p>
    <w:p w:rsidR="00604A87" w:rsidP="003F78F3">
      <w:pPr>
        <w:rPr>
          <w:rFonts w:ascii="Times New Roman" w:hAnsi="Times New Roman" w:cs="Times New Roman"/>
        </w:rPr>
      </w:pPr>
    </w:p>
    <w:p w:rsidR="00604A87" w:rsidP="00604A87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čl. I vypustiť bod 81.</w:t>
      </w:r>
    </w:p>
    <w:p w:rsidR="00A8267F" w:rsidRPr="00604A87" w:rsidP="00A8267F">
      <w:pPr>
        <w:spacing w:before="120"/>
        <w:ind w:left="3540"/>
        <w:jc w:val="both"/>
        <w:rPr>
          <w:rFonts w:ascii="Times New Roman" w:hAnsi="Times New Roman" w:cs="Times New Roman"/>
        </w:rPr>
      </w:pPr>
      <w:r w:rsidRPr="00604A87">
        <w:rPr>
          <w:rFonts w:ascii="Times New Roman" w:hAnsi="Times New Roman" w:cs="Times New Roman"/>
        </w:rPr>
        <w:t>Zúženie možnosti poskytnúť náhradu za nevyčerpanú dov</w:t>
      </w:r>
      <w:r w:rsidRPr="00604A87">
        <w:rPr>
          <w:rFonts w:ascii="Times New Roman" w:hAnsi="Times New Roman" w:cs="Times New Roman"/>
        </w:rPr>
        <w:t>olenku je neprimeraný zásah, ktorý môže poškodiť policajtov, ktorí si nemohli z objektívnych príčin vyčerpať dovolenku a je dokonca reštriktívnejšie ako je tomu v Zákonníku práce. Zúženie možnosti poskytnúť náhradu za nevyčerpanú dovolenku nie je potrebné aj z dôvodu, že podľa § 73 ods.4 zákona je nadriadený povinný zabezpečiť čerpanie dovolenky podriadených policajtov tak, aby ju policajt vyčerpal spravidla do konca kalendárneho roka, najneskôr však  do konca budúceho kalendárneho roka.</w:t>
      </w:r>
    </w:p>
    <w:p w:rsidR="00A8267F" w:rsidP="00A8267F">
      <w:pPr>
        <w:spacing w:before="120"/>
        <w:ind w:firstLine="709"/>
        <w:jc w:val="both"/>
        <w:rPr>
          <w:rFonts w:ascii="Bookman Old Style" w:hAnsi="Bookman Old Style" w:cs="MV Boli"/>
          <w:i/>
        </w:rPr>
      </w:pPr>
    </w:p>
    <w:p w:rsidR="00604A87" w:rsidP="00604A87">
      <w:pPr>
        <w:spacing w:before="120"/>
        <w:ind w:firstLine="709"/>
        <w:jc w:val="both"/>
        <w:rPr>
          <w:rFonts w:ascii="Times New Roman" w:hAnsi="Times New Roman" w:cs="Times New Roman"/>
        </w:rPr>
      </w:pPr>
    </w:p>
    <w:p w:rsidR="00604A87" w:rsidP="00604A87">
      <w:pPr>
        <w:numPr>
          <w:ilvl w:val="0"/>
          <w:numId w:val="4"/>
        </w:numPr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I bode 82  v § 75 ods. 3 vypustiť prvú vetu a v druhej vete za slová „Za posledný služobný plat“ vložiť slová „podľa odseku 2“. </w:t>
      </w:r>
    </w:p>
    <w:p w:rsidR="00604A87" w:rsidP="00604A87">
      <w:pPr>
        <w:spacing w:before="120"/>
        <w:ind w:firstLine="709"/>
        <w:jc w:val="both"/>
        <w:rPr>
          <w:rFonts w:ascii="Times New Roman" w:hAnsi="Times New Roman" w:cs="Times New Roman"/>
        </w:rPr>
      </w:pPr>
    </w:p>
    <w:p w:rsidR="00604A87" w:rsidRPr="00604A87" w:rsidP="00604A87">
      <w:pPr>
        <w:spacing w:before="120"/>
        <w:ind w:left="3540"/>
        <w:jc w:val="both"/>
        <w:rPr>
          <w:rFonts w:ascii="Times New Roman" w:hAnsi="Times New Roman" w:cs="Times New Roman"/>
        </w:rPr>
      </w:pPr>
      <w:r w:rsidRPr="00604A87">
        <w:rPr>
          <w:rFonts w:ascii="Times New Roman" w:hAnsi="Times New Roman" w:cs="Times New Roman"/>
        </w:rPr>
        <w:t>Zúženie možnosti poskytnúť náhradu za nevyčerpanú dovolenku je neprimeraný zásah, ktorý môže poškodiť policajtov, ktorí si nemohli z objektívnych príčin vyčerpať dovolenku a je dokonca reštriktívnejšie ako je tomu v Zákonníku práce. Zúženie možnosti poskytnúť náhradu za nevyčerpanú dovolenku nie je potrebné aj z dôvodu, že podľa § 73 ods.4 zákona je nadriadený povinný zabezpečiť čerpanie dovolenky podriadených policajtov tak, aby ju policajt vyčerpal spravidla do konca kalendárneho roka, najneskôr však  do konca budúceho kalendárneho roka.</w:t>
      </w:r>
    </w:p>
    <w:p w:rsidR="00604A87" w:rsidP="00604A87">
      <w:pPr>
        <w:spacing w:before="120"/>
        <w:ind w:firstLine="709"/>
        <w:jc w:val="both"/>
        <w:rPr>
          <w:rFonts w:ascii="Bookman Old Style" w:hAnsi="Bookman Old Style" w:cs="MV Boli"/>
          <w:i/>
        </w:rPr>
      </w:pPr>
    </w:p>
    <w:p w:rsidR="00604A87" w:rsidP="00604A87">
      <w:pPr>
        <w:spacing w:before="120"/>
        <w:ind w:firstLine="709"/>
        <w:jc w:val="both"/>
        <w:rPr>
          <w:rFonts w:ascii="Times New Roman" w:hAnsi="Times New Roman" w:cs="Times New Roman"/>
          <w:i/>
        </w:rPr>
      </w:pPr>
    </w:p>
    <w:p w:rsidR="00604A87" w:rsidP="00604A87">
      <w:pPr>
        <w:spacing w:before="120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604A87" w:rsidP="00604A87">
      <w:pPr>
        <w:spacing w:before="120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</w:p>
    <w:p w:rsidR="00604A87" w:rsidP="003F78F3">
      <w:pPr>
        <w:rPr>
          <w:rFonts w:ascii="Times New Roman" w:hAnsi="Times New Roman" w:cs="Times New Roman"/>
        </w:rPr>
      </w:pPr>
    </w:p>
    <w:p w:rsidR="003F78F3" w:rsidP="003F78F3">
      <w:pPr>
        <w:rPr>
          <w:rFonts w:ascii="Times New Roman" w:hAnsi="Times New Roman" w:cs="Times New Roman"/>
        </w:rPr>
      </w:pPr>
    </w:p>
    <w:p w:rsidR="00F278D9" w:rsidP="00604A87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99. bode v § 92 odsek 1 sa slovo „exponovaný“ nahrádza slovom „vystavený“.</w:t>
      </w:r>
    </w:p>
    <w:p w:rsidR="00F278D9" w:rsidP="00F278D9">
      <w:pPr>
        <w:spacing w:line="360" w:lineRule="auto"/>
        <w:jc w:val="both"/>
        <w:rPr>
          <w:rFonts w:ascii="Times New Roman" w:hAnsi="Times New Roman" w:cs="Times New Roman"/>
        </w:rPr>
      </w:pPr>
    </w:p>
    <w:p w:rsidR="00F278D9" w:rsidP="00F278D9">
      <w:pPr>
        <w:spacing w:line="36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Odporúčame zosúladiť s terminológiou v § 78 (84. bod návrhu). </w:t>
      </w:r>
    </w:p>
    <w:p w:rsidR="00F278D9" w:rsidP="00F278D9">
      <w:pPr>
        <w:spacing w:line="360" w:lineRule="auto"/>
        <w:jc w:val="both"/>
        <w:rPr>
          <w:rFonts w:ascii="Times New Roman" w:hAnsi="Times New Roman" w:cs="Times New Roman"/>
        </w:rPr>
      </w:pPr>
    </w:p>
    <w:p w:rsidR="00604A87" w:rsidP="00F278D9">
      <w:pPr>
        <w:spacing w:line="360" w:lineRule="auto"/>
        <w:jc w:val="both"/>
        <w:rPr>
          <w:rFonts w:ascii="Times New Roman" w:hAnsi="Times New Roman" w:cs="Times New Roman"/>
        </w:rPr>
      </w:pPr>
    </w:p>
    <w:p w:rsidR="00604A87" w:rsidRPr="00063597" w:rsidP="00604A87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</w:rPr>
      </w:pPr>
      <w:r w:rsidRPr="00063597">
        <w:rPr>
          <w:rFonts w:ascii="Times New Roman" w:hAnsi="Times New Roman" w:cs="Times New Roman"/>
        </w:rPr>
        <w:t xml:space="preserve">V 143. bode v § 141a sa slová „Príslušníkovi Policajného zboru“ nahrádzajú slovom „Policajtovi“ v príslušnom gramatickom tvare. </w:t>
      </w:r>
    </w:p>
    <w:p w:rsidR="00604A87" w:rsidRPr="00063597" w:rsidP="00604A87">
      <w:pPr>
        <w:rPr>
          <w:rFonts w:ascii="Times New Roman" w:hAnsi="Times New Roman" w:cs="Times New Roman"/>
        </w:rPr>
      </w:pPr>
    </w:p>
    <w:p w:rsidR="00604A87" w:rsidRPr="00063597" w:rsidP="00604A87">
      <w:pPr>
        <w:rPr>
          <w:rFonts w:ascii="Times New Roman" w:hAnsi="Times New Roman" w:cs="Times New Roman"/>
        </w:rPr>
      </w:pPr>
    </w:p>
    <w:p w:rsidR="00604A87" w:rsidRPr="00063597" w:rsidP="00604A87">
      <w:pPr>
        <w:ind w:left="4248"/>
        <w:jc w:val="both"/>
        <w:rPr>
          <w:rFonts w:ascii="Times New Roman" w:hAnsi="Times New Roman" w:cs="Times New Roman"/>
        </w:rPr>
      </w:pPr>
      <w:r w:rsidRPr="00063597">
        <w:rPr>
          <w:rFonts w:ascii="Times New Roman" w:hAnsi="Times New Roman" w:cs="Times New Roman"/>
        </w:rPr>
        <w:t>Navrhované znenie § 141a sa po zapracovaní pripomienok z rokovania vlády SR vzťahuje len na príslušníkov Policajného zboru, pričom v medzirezortnom pripomienkovom konaní boli v tomto ustanovení zahrnuté aj ostatné zložky, ktoré vo veciach služobného pomeru aplikujú zákon č. 73/1998 Z. z. Znenie navrhovaného ustanovenia § 141a považujeme vo vzťahu k príslušníkom ostatných zložiek za di</w:t>
      </w:r>
      <w:smartTag w:uri="urn:schemas-microsoft-com:office:smarttags" w:element="PersonName">
        <w:r w:rsidRPr="00063597">
          <w:rPr>
            <w:rFonts w:ascii="Times New Roman" w:hAnsi="Times New Roman" w:cs="Times New Roman"/>
          </w:rPr>
          <w:t>sk</w:t>
        </w:r>
      </w:smartTag>
      <w:r w:rsidRPr="00063597">
        <w:rPr>
          <w:rFonts w:ascii="Times New Roman" w:hAnsi="Times New Roman" w:cs="Times New Roman"/>
        </w:rPr>
        <w:t>riminačné, pretože právne nároky vyplývajúce zo služobného pomeru musia byť garantované zákonom pre príslušníkov všetkých zložiek (§ 1 ods. 1 zák. č. 73/1998 Z. z.) rovnoprávne a rovnocenne. V rámci starostlivosti o príslušníkov ostatných zložiek, uvedený finančný príspevok taktiež, ako u príslušníkov Policajného zboru, aj u príslušníkov ostatných zložiek bude pôsobiť ako výrazný stabilizačný a motivačný faktor vo výkone štátnej služby. Preto navrhujem aby sa ustanovenie § 141a  vzťahovalo na všetkých príslušníkov vymedzených v § 1 ods. 1 platného zákona.</w:t>
      </w:r>
    </w:p>
    <w:p w:rsidR="00604A87" w:rsidRPr="00063597" w:rsidP="00604A87">
      <w:pPr>
        <w:rPr>
          <w:rFonts w:ascii="Times New Roman" w:hAnsi="Times New Roman" w:cs="Times New Roman"/>
        </w:rPr>
      </w:pPr>
    </w:p>
    <w:p w:rsidR="00604A87" w:rsidRPr="00063597" w:rsidP="00604A87">
      <w:pPr>
        <w:rPr>
          <w:rFonts w:ascii="Times New Roman" w:hAnsi="Times New Roman" w:cs="Times New Roman"/>
        </w:rPr>
      </w:pPr>
    </w:p>
    <w:p w:rsidR="00604A87" w:rsidRPr="00063597" w:rsidP="00604A87">
      <w:pPr>
        <w:ind w:left="540" w:hanging="540"/>
        <w:jc w:val="center"/>
        <w:rPr>
          <w:rFonts w:ascii="Times New Roman" w:hAnsi="Times New Roman" w:cs="Times New Roman"/>
        </w:rPr>
      </w:pPr>
      <w:r w:rsidRPr="00063597">
        <w:rPr>
          <w:rFonts w:ascii="Times New Roman" w:hAnsi="Times New Roman" w:cs="Times New Roman"/>
        </w:rPr>
        <w:t xml:space="preserve"> </w:t>
      </w:r>
    </w:p>
    <w:p w:rsidR="00604A87" w:rsidRPr="00063597" w:rsidP="00604A87">
      <w:pPr>
        <w:jc w:val="both"/>
        <w:rPr>
          <w:rFonts w:ascii="Times New Roman" w:hAnsi="Times New Roman" w:cs="Times New Roman"/>
        </w:rPr>
      </w:pPr>
    </w:p>
    <w:p w:rsidR="00604A87" w:rsidP="00604A87">
      <w:pPr>
        <w:rPr>
          <w:rFonts w:ascii="Times New Roman" w:hAnsi="Times New Roman" w:cs="Times New Roman"/>
        </w:rPr>
      </w:pPr>
    </w:p>
    <w:p w:rsidR="00604A87" w:rsidP="00F278D9">
      <w:pPr>
        <w:spacing w:line="360" w:lineRule="auto"/>
        <w:jc w:val="both"/>
        <w:rPr>
          <w:rFonts w:ascii="Times New Roman" w:hAnsi="Times New Roman" w:cs="Times New Roman"/>
        </w:rPr>
      </w:pPr>
    </w:p>
    <w:p w:rsidR="00F278D9" w:rsidP="00604A87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189. bode v § 247a sa vypúšťa slovo „predpis</w:t>
      </w:r>
      <w:r>
        <w:rPr>
          <w:rFonts w:ascii="Times New Roman" w:hAnsi="Times New Roman" w:cs="Times New Roman"/>
          <w:vertAlign w:val="superscript"/>
        </w:rPr>
        <w:t>52)</w:t>
      </w:r>
      <w:r>
        <w:rPr>
          <w:rFonts w:ascii="Times New Roman" w:hAnsi="Times New Roman" w:cs="Times New Roman"/>
        </w:rPr>
        <w:t>“ a odkaz č. 52 sa umiestňuje nad slovo „konaní“.</w:t>
      </w:r>
    </w:p>
    <w:p w:rsidR="00F278D9" w:rsidP="00F278D9">
      <w:pPr>
        <w:spacing w:line="360" w:lineRule="auto"/>
        <w:jc w:val="both"/>
        <w:rPr>
          <w:rFonts w:ascii="Times New Roman" w:hAnsi="Times New Roman" w:cs="Times New Roman"/>
        </w:rPr>
      </w:pPr>
    </w:p>
    <w:p w:rsidR="00F278D9" w:rsidP="00F278D9">
      <w:pPr>
        <w:spacing w:line="36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Navrhujeme vypustiť nadbytočné slovo.</w:t>
      </w:r>
    </w:p>
    <w:p w:rsidR="00F278D9" w:rsidP="00F278D9">
      <w:pPr>
        <w:spacing w:line="360" w:lineRule="auto"/>
        <w:jc w:val="both"/>
        <w:rPr>
          <w:rFonts w:ascii="Times New Roman" w:hAnsi="Times New Roman" w:cs="Times New Roman"/>
        </w:rPr>
      </w:pPr>
    </w:p>
    <w:p w:rsidR="00604A87" w:rsidP="00604A87">
      <w:pPr>
        <w:numPr>
          <w:ilvl w:val="0"/>
          <w:numId w:val="4"/>
        </w:numPr>
        <w:tabs>
          <w:tab w:val="left" w:pos="720"/>
          <w:tab w:val="left" w:pos="306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čl I za bod 192 vložiť nový bod 193, ktorý znie:</w:t>
      </w:r>
    </w:p>
    <w:p w:rsidR="00604A87" w:rsidP="00604A87">
      <w:pPr>
        <w:tabs>
          <w:tab w:val="left" w:pos="3060"/>
        </w:tabs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„193. § 262 sa dopĺňa odsekom 4, ktorý znie:</w:t>
      </w:r>
    </w:p>
    <w:p w:rsidR="00604A87" w:rsidP="00604A87">
      <w:pPr>
        <w:tabs>
          <w:tab w:val="left" w:pos="306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„(4) Lehota je zachovaná, ak sa posledný deň lehoty podanie podá oprávnenému orgánu alebo ak sa podanie odovzdá orgánu, ktorý má povinnosť ho doručiť.“</w:t>
      </w:r>
    </w:p>
    <w:p w:rsidR="00604A87" w:rsidP="00604A87">
      <w:pPr>
        <w:spacing w:before="120"/>
        <w:jc w:val="both"/>
        <w:rPr>
          <w:rFonts w:ascii="Times New Roman" w:hAnsi="Times New Roman" w:cs="Times New Roman"/>
          <w:i/>
        </w:rPr>
      </w:pPr>
    </w:p>
    <w:p w:rsidR="00604A87" w:rsidRPr="00604A87" w:rsidP="00604A87">
      <w:pPr>
        <w:spacing w:before="120"/>
        <w:ind w:left="3540"/>
        <w:jc w:val="both"/>
        <w:rPr>
          <w:rFonts w:ascii="Times New Roman" w:hAnsi="Times New Roman" w:cs="Times New Roman"/>
        </w:rPr>
      </w:pPr>
      <w:r w:rsidRPr="00604A87">
        <w:rPr>
          <w:rFonts w:ascii="Times New Roman" w:hAnsi="Times New Roman" w:cs="Times New Roman"/>
        </w:rPr>
        <w:t>S ohľadom na úpravu v bode 189 je potrebné zakotviť do zákona možnosť zachovania účinkov podania aj v prípade, ak sa podanie podá v posledný deň lehoty orgánu povinnému ho doručiť, obdobne ako je tomu v správnom poriadku resp. Občianskom súdnom poriadku.</w:t>
      </w:r>
    </w:p>
    <w:p w:rsidR="00604A87" w:rsidRPr="00604A87" w:rsidP="00604A87">
      <w:pPr>
        <w:spacing w:before="120"/>
        <w:jc w:val="both"/>
        <w:rPr>
          <w:rFonts w:ascii="Times New Roman" w:hAnsi="Times New Roman" w:cs="Times New Roman"/>
        </w:rPr>
      </w:pPr>
      <w:r w:rsidRPr="00604A87">
        <w:rPr>
          <w:rFonts w:ascii="Times New Roman" w:hAnsi="Times New Roman" w:cs="Times New Roman"/>
        </w:rPr>
        <w:t xml:space="preserve">    </w:t>
      </w: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000" w:usb1="00000000" w:usb2="00000000" w:usb3="00000000" w:csb0="00000001" w:csb1="00000000"/>
  </w:font>
  <w:font w:name="MV Boli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7E9"/>
    <w:multiLevelType w:val="hybridMultilevel"/>
    <w:tmpl w:val="318E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864E97"/>
    <w:multiLevelType w:val="hybridMultilevel"/>
    <w:tmpl w:val="4556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2E17DB"/>
    <w:multiLevelType w:val="hybridMultilevel"/>
    <w:tmpl w:val="A850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822C16"/>
    <w:multiLevelType w:val="hybridMultilevel"/>
    <w:tmpl w:val="ADCE388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63597"/>
    <w:rsid w:val="00242609"/>
    <w:rsid w:val="002A6DF3"/>
    <w:rsid w:val="003F78F3"/>
    <w:rsid w:val="005D23D1"/>
    <w:rsid w:val="00604A87"/>
    <w:rsid w:val="00737325"/>
    <w:rsid w:val="009A71C9"/>
    <w:rsid w:val="009E37E2"/>
    <w:rsid w:val="00A0007E"/>
    <w:rsid w:val="00A8267F"/>
    <w:rsid w:val="00B868BA"/>
    <w:rsid w:val="00C70DF3"/>
    <w:rsid w:val="00DE45D1"/>
    <w:rsid w:val="00E4774A"/>
    <w:rsid w:val="00E66AE7"/>
    <w:rsid w:val="00F278D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8F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F78F3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3F78F3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3F78F3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3F78F3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F78F3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905</Words>
  <Characters>5161</Characters>
  <Application>Microsoft Office Word</Application>
  <DocSecurity>0</DocSecurity>
  <Lines>0</Lines>
  <Paragraphs>0</Paragraphs>
  <ScaleCrop>false</ScaleCrop>
  <Company>Kancelaria NR SR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PZ, SIS, (tlač 368)</dc:title>
  <dc:subject>2. čítanie- M. KOVAČÓCY</dc:subject>
  <dc:creator>mazuvlad</dc:creator>
  <cp:lastModifiedBy>mazuvlad</cp:lastModifiedBy>
  <cp:revision>5</cp:revision>
  <dcterms:created xsi:type="dcterms:W3CDTF">2007-09-07T09:12:00Z</dcterms:created>
  <dcterms:modified xsi:type="dcterms:W3CDTF">2007-10-11T11:45:00Z</dcterms:modified>
</cp:coreProperties>
</file>