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left="0"/>
        <w:jc w:val="both"/>
        <w:rPr>
          <w:rFonts w:ascii="Times New Roman" w:hAnsi="Times New Roman" w:cs="Times New Roman"/>
          <w:b/>
          <w:bCs/>
          <w:sz w:val="28"/>
          <w:u w:val="none"/>
        </w:rPr>
      </w:pPr>
      <w:r>
        <w:rPr>
          <w:rFonts w:ascii="Times New Roman" w:hAnsi="Times New Roman" w:cs="Times New Roman"/>
          <w:sz w:val="28"/>
          <w:u w:val="none"/>
        </w:rPr>
        <w:t xml:space="preserve">               </w:t>
      </w:r>
      <w:r>
        <w:rPr>
          <w:rFonts w:ascii="Times New Roman" w:hAnsi="Times New Roman" w:cs="Times New Roman"/>
          <w:b/>
          <w:bCs/>
          <w:sz w:val="28"/>
          <w:u w:val="none"/>
        </w:rPr>
        <w:t xml:space="preserve">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both"/>
        <w:rPr>
          <w:rFonts w:ascii="Times New Roman" w:hAnsi="Times New Roman" w:cs="Times New Roman"/>
          <w:b/>
          <w:sz w:val="28"/>
        </w:rPr>
      </w:pPr>
    </w:p>
    <w:p>
      <w:pPr>
        <w:pStyle w:val="Heading3"/>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9. schôdze Ústavnoprávneho výboru Národnej rady Slovenskej republiky konanej 9. decembra 2002 v budove Národnej rady Slovenskej republiky, Námestie Alexandra D</w:t>
      </w:r>
      <w:r>
        <w:rPr>
          <w:rFonts w:ascii="Times New Roman" w:hAnsi="Times New Roman" w:cs="Times New Roman"/>
          <w:b/>
          <w:sz w:val="28"/>
        </w:rPr>
        <w:t>ubčeka 1, Bratislava (v  rokovacej miestnosti Ústavnoprávneho výboru Národnej rady Slovenskej republiky na 1. poschodí č. dv. 150)</w:t>
      </w:r>
    </w:p>
    <w:p>
      <w:pPr>
        <w:pStyle w:val="BodyText"/>
        <w:spacing w:line="360" w:lineRule="auto"/>
        <w:jc w:val="both"/>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left="180" w:hanging="180"/>
        <w:jc w:val="both"/>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tab/>
        <w:t>9 poslanci  (podľa prezenčnej listiny);</w:t>
      </w:r>
    </w:p>
    <w:p>
      <w:pPr>
        <w:pStyle w:val="BodyText"/>
        <w:spacing w:line="360" w:lineRule="auto"/>
        <w:jc w:val="both"/>
        <w:rPr>
          <w:rFonts w:ascii="Times New Roman" w:hAnsi="Times New Roman" w:cs="Times New Roman"/>
          <w:b/>
          <w:bCs/>
          <w:sz w:val="28"/>
        </w:rPr>
      </w:pPr>
      <w:r>
        <w:rPr>
          <w:rFonts w:ascii="Times New Roman" w:hAnsi="Times New Roman" w:cs="Times New Roman"/>
          <w:b/>
          <w:bCs/>
          <w:sz w:val="28"/>
        </w:rPr>
        <w:t>Ospravedlnení:   J. Elsner</w:t>
      </w:r>
    </w:p>
    <w:p>
      <w:pPr>
        <w:pStyle w:val="BodyText"/>
        <w:numPr>
          <w:ilvl w:val="0"/>
          <w:numId w:val="15"/>
        </w:numPr>
        <w:tabs>
          <w:tab w:val="left" w:pos="2415"/>
        </w:tabs>
        <w:spacing w:line="360" w:lineRule="auto"/>
        <w:jc w:val="both"/>
        <w:rPr>
          <w:rFonts w:ascii="Times New Roman" w:hAnsi="Times New Roman" w:cs="Times New Roman"/>
          <w:b/>
          <w:bCs/>
          <w:sz w:val="28"/>
        </w:rPr>
      </w:pPr>
      <w:r>
        <w:rPr>
          <w:rFonts w:ascii="Times New Roman" w:hAnsi="Times New Roman" w:cs="Times New Roman"/>
          <w:b/>
          <w:bCs/>
          <w:sz w:val="28"/>
        </w:rPr>
        <w:t>Ivanko.</w:t>
      </w:r>
    </w:p>
    <w:p>
      <w:pPr>
        <w:pStyle w:val="BodyText"/>
        <w:spacing w:line="360" w:lineRule="auto"/>
        <w:ind w:left="2055"/>
        <w:jc w:val="both"/>
        <w:rPr>
          <w:rFonts w:ascii="Times New Roman" w:hAnsi="Times New Roman" w:cs="Times New Roman"/>
          <w:b/>
          <w:bCs/>
          <w:sz w:val="28"/>
        </w:rPr>
      </w:pPr>
    </w:p>
    <w:p>
      <w:pPr>
        <w:pStyle w:val="BodyText"/>
        <w:spacing w:line="360" w:lineRule="auto"/>
        <w:jc w:val="both"/>
        <w:rPr>
          <w:rFonts w:ascii="Times New Roman" w:hAnsi="Times New Roman" w:cs="Times New Roman"/>
          <w:b/>
          <w:sz w:val="28"/>
        </w:rPr>
      </w:pPr>
      <w:r>
        <w:rPr>
          <w:rFonts w:ascii="Times New Roman" w:hAnsi="Times New Roman" w:cs="Times New Roman"/>
          <w:b/>
          <w:bCs/>
          <w:sz w:val="28"/>
        </w:rPr>
        <w:tab/>
        <w:tab/>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bCs/>
          <w:sz w:val="28"/>
        </w:rPr>
        <w:t>J.</w:t>
      </w:r>
      <w:r>
        <w:rPr>
          <w:rFonts w:ascii="Times New Roman" w:hAnsi="Times New Roman" w:cs="Times New Roman"/>
          <w:b/>
          <w:bCs/>
          <w:sz w:val="28"/>
        </w:rPr>
        <w:t xml:space="preserve"> Drgonec</w:t>
      </w:r>
      <w:r>
        <w:rPr>
          <w:rFonts w:ascii="Times New Roman" w:hAnsi="Times New Roman" w:cs="Times New Roman"/>
          <w:sz w:val="28"/>
        </w:rPr>
        <w:t xml:space="preserve"> otvoril </w:t>
      </w:r>
      <w:r>
        <w:rPr>
          <w:rFonts w:ascii="Times New Roman" w:hAnsi="Times New Roman" w:cs="Times New Roman"/>
          <w:bCs/>
          <w:sz w:val="28"/>
        </w:rPr>
        <w:t xml:space="preserve">schôdzu a navrhol schváliť program rokovania.  </w:t>
      </w:r>
      <w:r>
        <w:rPr>
          <w:rFonts w:ascii="Times New Roman" w:hAnsi="Times New Roman" w:cs="Times New Roman"/>
          <w:b/>
          <w:sz w:val="28"/>
        </w:rPr>
        <w:t xml:space="preserve"> </w:t>
      </w:r>
    </w:p>
    <w:p>
      <w:pPr>
        <w:pStyle w:val="BodyText"/>
        <w:jc w:val="both"/>
        <w:rPr>
          <w:rFonts w:ascii="Times New Roman" w:hAnsi="Times New Roman" w:cs="Times New Roman"/>
          <w:b/>
          <w:bCs/>
          <w:sz w:val="28"/>
        </w:rPr>
      </w:pPr>
    </w:p>
    <w:p>
      <w:pPr>
        <w:pStyle w:val="TxBrp9"/>
        <w:spacing w:line="240" w:lineRule="auto"/>
        <w:ind w:left="360" w:hanging="360"/>
        <w:rPr>
          <w:rFonts w:ascii="Times New Roman" w:hAnsi="Times New Roman" w:cs="Times New Roman"/>
          <w:b/>
          <w:sz w:val="28"/>
          <w:lang w:val="sk-SK"/>
        </w:rPr>
      </w:pPr>
      <w:r>
        <w:rPr>
          <w:rFonts w:ascii="Times New Roman" w:hAnsi="Times New Roman" w:cs="Times New Roman"/>
          <w:b/>
          <w:sz w:val="28"/>
          <w:lang w:val="sk-SK"/>
        </w:rPr>
        <w:t>Program:</w:t>
      </w:r>
    </w:p>
    <w:p>
      <w:pPr>
        <w:ind w:left="5400" w:hanging="1080"/>
        <w:jc w:val="both"/>
        <w:rPr>
          <w:rFonts w:ascii="Times New Roman" w:hAnsi="Times New Roman" w:cs="Times New Roman"/>
        </w:rPr>
      </w:pPr>
    </w:p>
    <w:p>
      <w:pPr>
        <w:pStyle w:val="BodyTextIndent"/>
        <w:jc w:val="both"/>
        <w:rPr>
          <w:rFonts w:ascii="Times New Roman" w:hAnsi="Times New Roman" w:cs="Times New Roman"/>
          <w:sz w:val="28"/>
        </w:rPr>
      </w:pPr>
      <w:r>
        <w:rPr>
          <w:rFonts w:ascii="Times New Roman" w:hAnsi="Times New Roman" w:cs="Times New Roman"/>
          <w:sz w:val="28"/>
        </w:rPr>
        <w:t xml:space="preserve">1.   Zákon z. 15. novembra 2002, ktorým sa mení a dopĺňa zákon č. 313/2001 Z. z. </w:t>
      </w:r>
      <w:r>
        <w:rPr>
          <w:rFonts w:ascii="Times New Roman" w:hAnsi="Times New Roman" w:cs="Times New Roman"/>
          <w:b/>
          <w:bCs/>
          <w:sz w:val="28"/>
        </w:rPr>
        <w:t>o verejnej službe</w:t>
      </w:r>
      <w:r>
        <w:rPr>
          <w:rFonts w:ascii="Times New Roman" w:hAnsi="Times New Roman" w:cs="Times New Roman"/>
          <w:sz w:val="28"/>
        </w:rPr>
        <w:t xml:space="preserve"> v znení neskorších predpisov, </w:t>
      </w:r>
      <w:r>
        <w:rPr>
          <w:rFonts w:ascii="Times New Roman" w:hAnsi="Times New Roman" w:cs="Times New Roman"/>
          <w:b/>
          <w:bCs/>
          <w:sz w:val="28"/>
        </w:rPr>
        <w:t>vrátený prezidentom Slovenskej republiky</w:t>
      </w:r>
      <w:r>
        <w:rPr>
          <w:rFonts w:ascii="Times New Roman" w:hAnsi="Times New Roman" w:cs="Times New Roman"/>
          <w:sz w:val="28"/>
        </w:rPr>
        <w:t xml:space="preserve"> na  opätovné prerokovanie Národnou radou Slovenskej republiky (tlač 113)</w:t>
      </w:r>
    </w:p>
    <w:p>
      <w:pPr>
        <w:ind w:left="397"/>
        <w:jc w:val="both"/>
        <w:rPr>
          <w:rFonts w:ascii="Times New Roman" w:hAnsi="Times New Roman" w:cs="Times New Roman"/>
          <w:sz w:val="28"/>
        </w:rPr>
      </w:pPr>
      <w:r>
        <w:rPr>
          <w:rFonts w:ascii="Times New Roman" w:hAnsi="Times New Roman" w:cs="Times New Roman"/>
          <w:sz w:val="28"/>
        </w:rPr>
        <w:tab/>
        <w:tab/>
        <w:tab/>
        <w:tab/>
      </w:r>
    </w:p>
    <w:p>
      <w:pPr>
        <w:jc w:val="both"/>
        <w:rPr>
          <w:rFonts w:ascii="Times New Roman" w:hAnsi="Times New Roman" w:cs="Times New Roman"/>
          <w:sz w:val="28"/>
        </w:rPr>
      </w:pPr>
      <w:r>
        <w:rPr>
          <w:rFonts w:ascii="Times New Roman" w:hAnsi="Times New Roman" w:cs="Times New Roman"/>
          <w:sz w:val="28"/>
        </w:rPr>
        <w:t>2.   Rôzne</w:t>
      </w:r>
    </w:p>
    <w:p>
      <w:pPr>
        <w:ind w:left="708" w:firstLine="12"/>
        <w:jc w:val="both"/>
        <w:rPr>
          <w:rFonts w:ascii="Times New Roman" w:hAnsi="Times New Roman" w:cs="Times New Roman"/>
          <w:sz w:val="28"/>
        </w:rPr>
      </w:pPr>
    </w:p>
    <w:p>
      <w:pPr>
        <w:ind w:left="708" w:firstLine="12"/>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9/0/0</w:t>
      </w:r>
      <w:r>
        <w:rPr>
          <w:rFonts w:ascii="Times New Roman" w:hAnsi="Times New Roman" w:cs="Times New Roman"/>
          <w:sz w:val="28"/>
        </w:rPr>
        <w:t xml:space="preserve">. </w:t>
      </w:r>
    </w:p>
    <w:p>
      <w:pPr>
        <w:pStyle w:val="BodyText2"/>
        <w:tabs>
          <w:tab w:val="left" w:pos="0"/>
        </w:tabs>
        <w:rPr>
          <w:rFonts w:ascii="Times New Roman" w:hAnsi="Times New Roman" w:cs="Times New Roman"/>
          <w:b w:val="0"/>
          <w:bCs/>
          <w:sz w:val="28"/>
        </w:rPr>
      </w:pPr>
    </w:p>
    <w:p>
      <w:pPr>
        <w:pStyle w:val="BodyText2"/>
        <w:tabs>
          <w:tab w:val="left" w:pos="0"/>
        </w:tabs>
        <w:rPr>
          <w:rFonts w:ascii="Times New Roman" w:hAnsi="Times New Roman" w:cs="Times New Roman"/>
          <w:b w:val="0"/>
          <w:bCs/>
          <w:sz w:val="28"/>
        </w:rPr>
      </w:pPr>
    </w:p>
    <w:p>
      <w:pPr>
        <w:pStyle w:val="BodyText2"/>
        <w:rPr>
          <w:rFonts w:ascii="Times New Roman" w:hAnsi="Times New Roman" w:cs="Times New Roman"/>
          <w:b w:val="0"/>
          <w:bCs/>
          <w:sz w:val="28"/>
        </w:rPr>
      </w:pPr>
      <w:r>
        <w:rPr>
          <w:rFonts w:ascii="Times New Roman" w:hAnsi="Times New Roman" w:cs="Times New Roman"/>
          <w:sz w:val="28"/>
          <w:u w:val="single"/>
        </w:rPr>
        <w:t>K bodu 1</w:t>
      </w:r>
      <w:r>
        <w:rPr>
          <w:rFonts w:ascii="Times New Roman" w:hAnsi="Times New Roman" w:cs="Times New Roman"/>
          <w:sz w:val="28"/>
        </w:rPr>
        <w:t xml:space="preserve"> </w:t>
      </w:r>
      <w:r>
        <w:rPr>
          <w:rFonts w:ascii="Times New Roman" w:hAnsi="Times New Roman" w:cs="Times New Roman"/>
          <w:b w:val="0"/>
          <w:bCs/>
          <w:sz w:val="28"/>
        </w:rPr>
        <w:t>(tlač 113)</w:t>
      </w:r>
    </w:p>
    <w:p>
      <w:pPr>
        <w:pStyle w:val="BodyText2"/>
        <w:rPr>
          <w:rFonts w:ascii="Times New Roman" w:hAnsi="Times New Roman" w:cs="Times New Roman"/>
          <w:sz w:val="28"/>
          <w:u w:val="single"/>
        </w:rPr>
      </w:pPr>
    </w:p>
    <w:p>
      <w:pPr>
        <w:ind w:firstLine="708"/>
        <w:jc w:val="both"/>
        <w:rPr>
          <w:rFonts w:ascii="Times New Roman" w:hAnsi="Times New Roman" w:cs="Times New Roman"/>
          <w:sz w:val="28"/>
        </w:rPr>
      </w:pPr>
      <w:r>
        <w:rPr>
          <w:rFonts w:ascii="Times New Roman" w:hAnsi="Times New Roman" w:cs="Times New Roman"/>
          <w:sz w:val="28"/>
        </w:rPr>
        <w:t xml:space="preserve">Zákon z. 15. novembra 2002, ktorým sa mení a dopĺňa </w:t>
      </w:r>
      <w:r>
        <w:rPr>
          <w:rFonts w:ascii="Times New Roman" w:hAnsi="Times New Roman" w:cs="Times New Roman"/>
          <w:b/>
          <w:bCs/>
          <w:sz w:val="28"/>
        </w:rPr>
        <w:t>zákon č. 313/2001 Z. z. o verejnej službe</w:t>
      </w:r>
      <w:r>
        <w:rPr>
          <w:rFonts w:ascii="Times New Roman" w:hAnsi="Times New Roman" w:cs="Times New Roman"/>
          <w:sz w:val="28"/>
        </w:rPr>
        <w:t xml:space="preserve"> v znení neskorších predpisov, </w:t>
      </w:r>
      <w:r>
        <w:rPr>
          <w:rFonts w:ascii="Times New Roman" w:hAnsi="Times New Roman" w:cs="Times New Roman"/>
          <w:b/>
          <w:bCs/>
          <w:sz w:val="28"/>
        </w:rPr>
        <w:t xml:space="preserve">vrátený </w:t>
      </w:r>
      <w:r>
        <w:rPr>
          <w:rFonts w:ascii="Times New Roman" w:hAnsi="Times New Roman" w:cs="Times New Roman"/>
          <w:b/>
          <w:bCs/>
          <w:sz w:val="28"/>
        </w:rPr>
        <w:t>prezidentom Slovenskej republiky</w:t>
      </w:r>
      <w:r>
        <w:rPr>
          <w:rFonts w:ascii="Times New Roman" w:hAnsi="Times New Roman" w:cs="Times New Roman"/>
          <w:sz w:val="28"/>
        </w:rPr>
        <w:t xml:space="preserve"> na  opätovné prerokovanie Národnou radou Slovenskej republiky (tlač 113) uviedla generálna riaditeľka legislatívnej sekcie Kancelárie prezidenta Slovenskej republiky </w:t>
      </w:r>
      <w:r>
        <w:rPr>
          <w:rFonts w:ascii="Times New Roman" w:hAnsi="Times New Roman" w:cs="Times New Roman"/>
          <w:b/>
          <w:bCs/>
          <w:sz w:val="28"/>
        </w:rPr>
        <w:t>M. Dreninová</w:t>
      </w:r>
      <w:r>
        <w:rPr>
          <w:rFonts w:ascii="Times New Roman" w:hAnsi="Times New Roman" w:cs="Times New Roman"/>
          <w:sz w:val="28"/>
        </w:rPr>
        <w:t>. Do pozornosti dala list prezidenta Slovenskej republiky zo 6. decembra 2002, č. KP 1054/2002, ktorý v záujme jednoznačného výkladu pojmu „plat“ v § 56a ods. 6 pre aplikáciu  vráteného zákona, navrhuje za slovo „určenia“ vložiť slovo „funkčného“ a za slovo „subjektivity“ vložiť slovo „funkčný“.</w:t>
      </w:r>
    </w:p>
    <w:p>
      <w:pPr>
        <w:ind w:firstLine="708"/>
        <w:jc w:val="both"/>
        <w:rPr>
          <w:rFonts w:ascii="Times New Roman" w:hAnsi="Times New Roman" w:cs="Times New Roman"/>
          <w:sz w:val="28"/>
        </w:rPr>
      </w:pPr>
      <w:r>
        <w:rPr>
          <w:rFonts w:ascii="Times New Roman" w:hAnsi="Times New Roman" w:cs="Times New Roman"/>
          <w:sz w:val="28"/>
        </w:rPr>
        <w:t xml:space="preserve">    </w:t>
      </w:r>
    </w:p>
    <w:p>
      <w:pPr>
        <w:tabs>
          <w:tab w:val="left" w:pos="360"/>
        </w:tabs>
        <w:jc w:val="both"/>
        <w:rPr>
          <w:rFonts w:ascii="Times New Roman" w:hAnsi="Times New Roman" w:cs="Times New Roman"/>
          <w:bCs/>
          <w:sz w:val="28"/>
        </w:rPr>
      </w:pPr>
      <w:r>
        <w:rPr>
          <w:rFonts w:ascii="Times New Roman" w:hAnsi="Times New Roman" w:cs="Times New Roman"/>
          <w:bCs/>
          <w:sz w:val="28"/>
        </w:rPr>
        <w:tab/>
        <w:tab/>
        <w:t xml:space="preserve">Spravodajca podpredseda výboru </w:t>
      </w:r>
      <w:r>
        <w:rPr>
          <w:rFonts w:ascii="Times New Roman" w:hAnsi="Times New Roman" w:cs="Times New Roman"/>
          <w:b/>
          <w:sz w:val="28"/>
        </w:rPr>
        <w:t>P. Miššík</w:t>
      </w:r>
      <w:r>
        <w:rPr>
          <w:rFonts w:ascii="Times New Roman" w:hAnsi="Times New Roman" w:cs="Times New Roman"/>
          <w:bCs/>
          <w:sz w:val="28"/>
        </w:rPr>
        <w:t xml:space="preserve">, konštatoval že mu neboli doručené právne relevantné dokumenty, vrátane stanoviska tunajšieho odboru legislatívy a aproximácie práva. Požiadal generálnu riaditeľku o informáciu, ktorá alternatívu by ona odporúčala. Číslo 2, reagovala. </w:t>
      </w:r>
    </w:p>
    <w:p>
      <w:pPr>
        <w:tabs>
          <w:tab w:val="left" w:pos="360"/>
        </w:tabs>
        <w:jc w:val="both"/>
        <w:rPr>
          <w:rFonts w:ascii="Times New Roman" w:hAnsi="Times New Roman" w:cs="Times New Roman"/>
          <w:bCs/>
          <w:sz w:val="28"/>
        </w:rPr>
      </w:pPr>
    </w:p>
    <w:p>
      <w:pPr>
        <w:tabs>
          <w:tab w:val="left" w:pos="360"/>
        </w:tabs>
        <w:jc w:val="both"/>
        <w:rPr>
          <w:rFonts w:ascii="Times New Roman" w:hAnsi="Times New Roman" w:cs="Times New Roman"/>
          <w:b/>
          <w:sz w:val="28"/>
        </w:rPr>
      </w:pPr>
      <w:r>
        <w:rPr>
          <w:rFonts w:ascii="Times New Roman" w:hAnsi="Times New Roman" w:cs="Times New Roman"/>
          <w:bCs/>
          <w:sz w:val="28"/>
        </w:rPr>
        <w:tab/>
        <w:tab/>
        <w:t xml:space="preserve">Predseda výboru </w:t>
      </w:r>
      <w:r>
        <w:rPr>
          <w:rFonts w:ascii="Times New Roman" w:hAnsi="Times New Roman" w:cs="Times New Roman"/>
          <w:b/>
          <w:sz w:val="28"/>
        </w:rPr>
        <w:t xml:space="preserve">J. Drgonec </w:t>
      </w:r>
      <w:r>
        <w:rPr>
          <w:rFonts w:ascii="Times New Roman" w:hAnsi="Times New Roman" w:cs="Times New Roman"/>
          <w:bCs/>
          <w:sz w:val="28"/>
        </w:rPr>
        <w:t>sa v rozprave obrátil na zástupkyňu Kancelárie prezidenta s otázkou ohľadne dôvodov, ktoré prezidenta republiky viedli k vráteniu zákona. Boli právneho charakteru, alebo iné?</w:t>
      </w:r>
      <w:r>
        <w:rPr>
          <w:rFonts w:ascii="Times New Roman" w:hAnsi="Times New Roman" w:cs="Times New Roman"/>
          <w:b/>
          <w:sz w:val="28"/>
        </w:rPr>
        <w:t xml:space="preserve"> </w:t>
      </w:r>
    </w:p>
    <w:p>
      <w:pPr>
        <w:tabs>
          <w:tab w:val="left" w:pos="360"/>
        </w:tabs>
        <w:jc w:val="both"/>
        <w:rPr>
          <w:rFonts w:ascii="Times New Roman" w:hAnsi="Times New Roman" w:cs="Times New Roman"/>
          <w:bCs/>
          <w:sz w:val="28"/>
        </w:rPr>
      </w:pPr>
    </w:p>
    <w:p>
      <w:pPr>
        <w:tabs>
          <w:tab w:val="left" w:pos="360"/>
        </w:tabs>
        <w:jc w:val="both"/>
        <w:rPr>
          <w:rFonts w:ascii="Times New Roman" w:hAnsi="Times New Roman" w:cs="Times New Roman"/>
          <w:bCs/>
          <w:sz w:val="28"/>
        </w:rPr>
      </w:pPr>
      <w:r>
        <w:rPr>
          <w:rFonts w:ascii="Times New Roman" w:hAnsi="Times New Roman" w:cs="Times New Roman"/>
          <w:b/>
          <w:sz w:val="28"/>
        </w:rPr>
        <w:tab/>
        <w:tab/>
        <w:t>M. Dreninová</w:t>
      </w:r>
      <w:r>
        <w:rPr>
          <w:rFonts w:ascii="Times New Roman" w:hAnsi="Times New Roman" w:cs="Times New Roman"/>
          <w:bCs/>
          <w:sz w:val="28"/>
        </w:rPr>
        <w:t xml:space="preserve"> uviedla, že ide predovšetkým o právne dôvody. V napadnutej novele chýba spôsob určovania (kritéria) platu dotknutých zamestnancov. Účelom navrhovaného doplnenia § 43 odsekom 2 je splnomocniť zamestnávateľa, aby v kolektívnej zmluve alebo vo vnútornom predpise upravil podmienky určovania tarifného platu zamestnancov, na ktorých sa zákon vzťahuje. </w:t>
      </w:r>
    </w:p>
    <w:p>
      <w:pPr>
        <w:tabs>
          <w:tab w:val="left" w:pos="360"/>
        </w:tabs>
        <w:jc w:val="both"/>
        <w:rPr>
          <w:rFonts w:ascii="Times New Roman" w:hAnsi="Times New Roman" w:cs="Times New Roman"/>
          <w:bCs/>
          <w:sz w:val="28"/>
        </w:rPr>
      </w:pPr>
      <w:r>
        <w:rPr>
          <w:rFonts w:ascii="Times New Roman" w:hAnsi="Times New Roman" w:cs="Times New Roman"/>
          <w:bCs/>
          <w:sz w:val="28"/>
        </w:rPr>
        <w:tab/>
        <w:tab/>
        <w:t xml:space="preserve">Predseda ústavnoprávneho výboru prijal vysvetlenie o dôvodoch ako spôsob zvýšenia právnej istoty daného okruhu zamestnancov. Považoval by za jednoznačnejšie, keby spôsob určovania platu rámcovo upravoval zákon.  </w:t>
      </w:r>
      <w:r>
        <w:rPr>
          <w:rFonts w:ascii="Times New Roman" w:hAnsi="Times New Roman" w:cs="Times New Roman"/>
          <w:b/>
          <w:sz w:val="28"/>
        </w:rPr>
        <w:t>M. Dreninová</w:t>
      </w:r>
      <w:r>
        <w:rPr>
          <w:rFonts w:ascii="Times New Roman" w:hAnsi="Times New Roman" w:cs="Times New Roman"/>
          <w:bCs/>
          <w:sz w:val="28"/>
        </w:rPr>
        <w:t xml:space="preserve"> s vysloveným v podstate súhlasila. Za prekážku však považovala čas. Tento spôsob riešenia vyžaduje väčší časový priestor. </w:t>
      </w:r>
    </w:p>
    <w:p>
      <w:pPr>
        <w:tabs>
          <w:tab w:val="left" w:pos="360"/>
        </w:tabs>
        <w:jc w:val="both"/>
        <w:rPr>
          <w:rFonts w:ascii="Times New Roman" w:hAnsi="Times New Roman" w:cs="Times New Roman"/>
          <w:bCs/>
          <w:sz w:val="28"/>
        </w:rPr>
      </w:pPr>
    </w:p>
    <w:p>
      <w:pPr>
        <w:tabs>
          <w:tab w:val="left" w:pos="360"/>
        </w:tabs>
        <w:jc w:val="both"/>
        <w:rPr>
          <w:rFonts w:ascii="Times New Roman" w:hAnsi="Times New Roman" w:cs="Times New Roman"/>
          <w:bCs/>
          <w:sz w:val="28"/>
        </w:rPr>
      </w:pPr>
      <w:r>
        <w:rPr>
          <w:rFonts w:ascii="Times New Roman" w:hAnsi="Times New Roman" w:cs="Times New Roman"/>
          <w:bCs/>
          <w:sz w:val="28"/>
        </w:rPr>
        <w:tab/>
        <w:tab/>
        <w:t xml:space="preserve">Podpredseda výboru </w:t>
      </w:r>
      <w:r>
        <w:rPr>
          <w:rFonts w:ascii="Times New Roman" w:hAnsi="Times New Roman" w:cs="Times New Roman"/>
          <w:b/>
          <w:sz w:val="28"/>
        </w:rPr>
        <w:t>M. Abelovský</w:t>
      </w:r>
      <w:r>
        <w:rPr>
          <w:rFonts w:ascii="Times New Roman" w:hAnsi="Times New Roman" w:cs="Times New Roman"/>
          <w:bCs/>
          <w:sz w:val="28"/>
        </w:rPr>
        <w:t xml:space="preserve"> považuje zákon za prelom v odmeňovaní zdravotníckych zamestnancov. Dôvody, ktoré viedli prezidenta k vráteniu zákona, považuje za opodstatnené. Žiadny zamestnanec vo verejnej správe nemôže mať menej  práv ako pracovník v súkromnej sfére. Pripomienky treba prijať, ináč sú títo zamestnanci ukrátení na svojich právach na súdnu ochranu pred svojvôľou zdravotníckych zamestnávateľov.</w:t>
      </w:r>
    </w:p>
    <w:p>
      <w:pPr>
        <w:tabs>
          <w:tab w:val="left" w:pos="360"/>
        </w:tabs>
        <w:jc w:val="both"/>
        <w:rPr>
          <w:rFonts w:ascii="Times New Roman" w:hAnsi="Times New Roman" w:cs="Times New Roman"/>
          <w:bCs/>
          <w:sz w:val="28"/>
        </w:rPr>
      </w:pPr>
    </w:p>
    <w:p>
      <w:pPr>
        <w:tabs>
          <w:tab w:val="left" w:pos="360"/>
        </w:tabs>
        <w:jc w:val="both"/>
        <w:rPr>
          <w:rFonts w:ascii="Times New Roman" w:hAnsi="Times New Roman" w:cs="Times New Roman"/>
          <w:bCs/>
          <w:sz w:val="28"/>
        </w:rPr>
      </w:pPr>
      <w:r>
        <w:rPr>
          <w:rFonts w:ascii="Times New Roman" w:hAnsi="Times New Roman" w:cs="Times New Roman"/>
          <w:bCs/>
          <w:sz w:val="28"/>
        </w:rPr>
        <w:tab/>
        <w:tab/>
        <w:t xml:space="preserve">Spravodajca </w:t>
      </w:r>
      <w:r>
        <w:rPr>
          <w:rFonts w:ascii="Times New Roman" w:hAnsi="Times New Roman" w:cs="Times New Roman"/>
          <w:b/>
          <w:sz w:val="28"/>
        </w:rPr>
        <w:t>P. Miššík</w:t>
      </w:r>
      <w:r>
        <w:rPr>
          <w:rFonts w:ascii="Times New Roman" w:hAnsi="Times New Roman" w:cs="Times New Roman"/>
          <w:bCs/>
          <w:sz w:val="28"/>
        </w:rPr>
        <w:t xml:space="preserve"> položil p. </w:t>
      </w:r>
      <w:r>
        <w:rPr>
          <w:rFonts w:ascii="Times New Roman" w:hAnsi="Times New Roman" w:cs="Times New Roman"/>
          <w:b/>
          <w:sz w:val="28"/>
        </w:rPr>
        <w:t>M. Dreninovej</w:t>
      </w:r>
      <w:r>
        <w:rPr>
          <w:rFonts w:ascii="Times New Roman" w:hAnsi="Times New Roman" w:cs="Times New Roman"/>
          <w:bCs/>
          <w:sz w:val="28"/>
        </w:rPr>
        <w:t xml:space="preserve"> otázku, či vypúšťa alternatívu 1. Reagovala negatívne. Následne navrhol  hlasovať o každej pripomienke osobitne, čo poslanci </w:t>
      </w:r>
      <w:r>
        <w:rPr>
          <w:rFonts w:ascii="Times New Roman" w:hAnsi="Times New Roman" w:cs="Times New Roman"/>
          <w:bCs/>
          <w:sz w:val="28"/>
        </w:rPr>
        <w:t xml:space="preserve">podporili kvórom  </w:t>
      </w:r>
      <w:r>
        <w:rPr>
          <w:rFonts w:ascii="Times New Roman" w:hAnsi="Times New Roman" w:cs="Times New Roman"/>
          <w:b/>
          <w:sz w:val="28"/>
        </w:rPr>
        <w:t>9/0/0.</w:t>
      </w:r>
    </w:p>
    <w:p>
      <w:pPr>
        <w:jc w:val="both"/>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Alternatíva 1:</w:t>
      </w:r>
    </w:p>
    <w:p>
      <w:pPr>
        <w:jc w:val="both"/>
        <w:rPr>
          <w:rFonts w:ascii="Times New Roman" w:hAnsi="Times New Roman" w:cs="Times New Roman"/>
          <w:sz w:val="28"/>
        </w:rPr>
      </w:pPr>
    </w:p>
    <w:p>
      <w:pPr>
        <w:ind w:left="720"/>
        <w:jc w:val="both"/>
        <w:rPr>
          <w:rFonts w:ascii="Times New Roman" w:hAnsi="Times New Roman" w:cs="Times New Roman"/>
          <w:sz w:val="28"/>
        </w:rPr>
      </w:pPr>
      <w:r>
        <w:rPr>
          <w:rFonts w:ascii="Times New Roman" w:hAnsi="Times New Roman" w:cs="Times New Roman"/>
          <w:sz w:val="28"/>
        </w:rPr>
        <w:t>V čl. 1 sa vypúšťajú body 1, 2, 5 až 9 a bod 10.</w:t>
      </w:r>
    </w:p>
    <w:p>
      <w:pPr>
        <w:ind w:left="720"/>
        <w:jc w:val="both"/>
        <w:rPr>
          <w:rFonts w:ascii="Times New Roman" w:hAnsi="Times New Roman" w:cs="Times New Roman"/>
          <w:sz w:val="28"/>
        </w:rPr>
      </w:pPr>
      <w:r>
        <w:rPr>
          <w:rFonts w:ascii="Times New Roman" w:hAnsi="Times New Roman" w:cs="Times New Roman"/>
          <w:sz w:val="28"/>
        </w:rPr>
        <w:t>Doterajšie body 3 a 4 a body 11 až 13 sa označujú ako body 1 až 5.</w:t>
      </w:r>
    </w:p>
    <w:p>
      <w:pPr>
        <w:tabs>
          <w:tab w:val="left" w:pos="360"/>
        </w:tabs>
        <w:ind w:left="705"/>
        <w:jc w:val="both"/>
        <w:rPr>
          <w:rFonts w:ascii="Times New Roman" w:hAnsi="Times New Roman" w:cs="Times New Roman"/>
          <w:bCs/>
          <w:sz w:val="28"/>
        </w:rPr>
      </w:pPr>
    </w:p>
    <w:p>
      <w:pPr>
        <w:tabs>
          <w:tab w:val="left" w:pos="360"/>
        </w:tabs>
        <w:ind w:left="705"/>
        <w:jc w:val="both"/>
        <w:rPr>
          <w:rFonts w:ascii="Times New Roman" w:hAnsi="Times New Roman" w:cs="Times New Roman"/>
          <w:bCs/>
          <w:sz w:val="28"/>
        </w:rPr>
      </w:pPr>
      <w:r>
        <w:rPr>
          <w:rFonts w:ascii="Times New Roman" w:hAnsi="Times New Roman" w:cs="Times New Roman"/>
          <w:bCs/>
          <w:sz w:val="28"/>
        </w:rPr>
        <w:t xml:space="preserve">Hlasovanie: </w:t>
      </w:r>
      <w:r>
        <w:rPr>
          <w:rFonts w:ascii="Times New Roman" w:hAnsi="Times New Roman" w:cs="Times New Roman"/>
          <w:b/>
          <w:sz w:val="28"/>
        </w:rPr>
        <w:t>3/5/1</w:t>
      </w:r>
      <w:r>
        <w:rPr>
          <w:rFonts w:ascii="Times New Roman" w:hAnsi="Times New Roman" w:cs="Times New Roman"/>
          <w:bCs/>
          <w:sz w:val="28"/>
        </w:rPr>
        <w:t>.</w:t>
      </w: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Alternatíva 2:</w:t>
      </w:r>
    </w:p>
    <w:p>
      <w:pPr>
        <w:jc w:val="both"/>
        <w:rPr>
          <w:rFonts w:ascii="Times New Roman" w:hAnsi="Times New Roman" w:cs="Times New Roman"/>
          <w:sz w:val="28"/>
        </w:rPr>
      </w:pPr>
    </w:p>
    <w:p>
      <w:pPr>
        <w:numPr>
          <w:ilvl w:val="0"/>
          <w:numId w:val="19"/>
        </w:numPr>
        <w:tabs>
          <w:tab w:val="left" w:pos="720"/>
        </w:tabs>
        <w:jc w:val="both"/>
        <w:rPr>
          <w:rFonts w:ascii="Times New Roman" w:hAnsi="Times New Roman" w:cs="Times New Roman"/>
          <w:sz w:val="28"/>
        </w:rPr>
      </w:pPr>
      <w:r>
        <w:rPr>
          <w:rFonts w:ascii="Times New Roman" w:hAnsi="Times New Roman" w:cs="Times New Roman"/>
          <w:sz w:val="28"/>
        </w:rPr>
        <w:t>V čl. I sa za desiaty bod vkladá nový jedenásty bod, ktorý zn</w:t>
      </w:r>
      <w:r>
        <w:rPr>
          <w:rFonts w:ascii="Times New Roman" w:hAnsi="Times New Roman" w:cs="Times New Roman"/>
          <w:sz w:val="28"/>
        </w:rPr>
        <w:t>ie:</w:t>
      </w:r>
    </w:p>
    <w:p>
      <w:pPr>
        <w:ind w:left="708"/>
        <w:jc w:val="both"/>
        <w:rPr>
          <w:rFonts w:ascii="Times New Roman" w:hAnsi="Times New Roman" w:cs="Times New Roman"/>
          <w:sz w:val="28"/>
        </w:rPr>
      </w:pPr>
      <w:r>
        <w:rPr>
          <w:rFonts w:ascii="Times New Roman" w:hAnsi="Times New Roman" w:cs="Times New Roman"/>
          <w:sz w:val="28"/>
        </w:rPr>
        <w:t>„11. Doterajší text § 43 sa označuje ako odsek 1 a dopĺňa sa odsekom 2, ktorý znie:</w:t>
      </w:r>
    </w:p>
    <w:p>
      <w:pPr>
        <w:ind w:left="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ab/>
        <w:t>„(2) V kolektívnej zmluve alebo vo vnútornom predpise sa upravia podmienky a pravidlá na určenie tarifného platu zamestnanca zamestnávateľa uvedeného v § 1 ods.1 písm. m) a zamestnanca obce alebo vyššieho územného celku, ktorý je zdravotníckym zamestnancom v neštátnom zdravotníckom zariadení bez právnej subjektivity, a to najmä so zreteľom na mimoriadne osobné schopnosti a dosahované pracovné výsledky.“.“.</w:t>
      </w:r>
    </w:p>
    <w:p>
      <w:pPr>
        <w:ind w:left="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Doterajší dvanásty bod a trinásty bod sa označujú ako trinásty bod a štrnásty bod.</w:t>
      </w:r>
    </w:p>
    <w:p>
      <w:pPr>
        <w:ind w:left="708"/>
        <w:jc w:val="both"/>
        <w:rPr>
          <w:rFonts w:ascii="Times New Roman" w:hAnsi="Times New Roman" w:cs="Times New Roman"/>
          <w:sz w:val="28"/>
        </w:rPr>
      </w:pPr>
    </w:p>
    <w:p>
      <w:pPr>
        <w:pStyle w:val="BodyTextIndent2"/>
        <w:rPr>
          <w:rFonts w:ascii="Times New Roman" w:hAnsi="Times New Roman" w:cs="Times New Roman"/>
          <w:bCs w:val="0"/>
        </w:rPr>
      </w:pPr>
      <w:r>
        <w:rPr>
          <w:rFonts w:ascii="Times New Roman" w:hAnsi="Times New Roman" w:cs="Times New Roman"/>
          <w:bCs w:val="0"/>
        </w:rPr>
        <w:t xml:space="preserve">Hlasovanie: </w:t>
      </w:r>
      <w:r>
        <w:rPr>
          <w:rFonts w:ascii="Times New Roman" w:hAnsi="Times New Roman" w:cs="Times New Roman"/>
          <w:b/>
        </w:rPr>
        <w:t>4/5/0</w:t>
      </w:r>
      <w:r>
        <w:rPr>
          <w:rFonts w:ascii="Times New Roman" w:hAnsi="Times New Roman" w:cs="Times New Roman"/>
          <w:bCs w:val="0"/>
        </w:rPr>
        <w:t>.</w:t>
      </w:r>
    </w:p>
    <w:p>
      <w:pPr>
        <w:pStyle w:val="BodyTextIndent2"/>
        <w:rPr>
          <w:rFonts w:ascii="Times New Roman" w:hAnsi="Times New Roman" w:cs="Times New Roman"/>
          <w:bCs w:val="0"/>
        </w:rPr>
      </w:pPr>
    </w:p>
    <w:p>
      <w:pPr>
        <w:numPr>
          <w:ilvl w:val="0"/>
          <w:numId w:val="19"/>
        </w:numPr>
        <w:tabs>
          <w:tab w:val="left" w:pos="720"/>
        </w:tabs>
        <w:jc w:val="both"/>
        <w:rPr>
          <w:rFonts w:ascii="Times New Roman" w:hAnsi="Times New Roman" w:cs="Times New Roman"/>
          <w:sz w:val="28"/>
        </w:rPr>
      </w:pPr>
      <w:r>
        <w:rPr>
          <w:rFonts w:ascii="Times New Roman" w:hAnsi="Times New Roman" w:cs="Times New Roman"/>
          <w:sz w:val="28"/>
        </w:rPr>
        <w:t>V čl. I doterajšom trinástom bode v § 56a sa dopĺňa odsek 6, ktorý znie:</w:t>
      </w:r>
    </w:p>
    <w:p>
      <w:pPr>
        <w:ind w:left="1416"/>
        <w:jc w:val="both"/>
        <w:rPr>
          <w:rFonts w:ascii="Times New Roman" w:hAnsi="Times New Roman" w:cs="Times New Roman"/>
          <w:sz w:val="28"/>
        </w:rPr>
      </w:pPr>
    </w:p>
    <w:p>
      <w:pPr>
        <w:ind w:left="720" w:firstLine="696"/>
        <w:jc w:val="both"/>
        <w:rPr>
          <w:rFonts w:ascii="Times New Roman" w:hAnsi="Times New Roman" w:cs="Times New Roman"/>
          <w:sz w:val="28"/>
        </w:rPr>
      </w:pPr>
      <w:r>
        <w:rPr>
          <w:rFonts w:ascii="Times New Roman" w:hAnsi="Times New Roman" w:cs="Times New Roman"/>
          <w:sz w:val="28"/>
        </w:rPr>
        <w:t>„(6) Do určenia funkčného platu podľa zákona účinného od 1. januára 2003 patrí zamestnancovi zamestnávateľa uvedeného v § 1 ods. 1 písm. m) a zamestnancovi obce alebo vyššieho územného celku, ktorý je zdravotníckym zamestnancom v neštátnom zdravotníckom zariadení bez právnej subjektivity, funkčný plat podľa predpisov platných do 31. decembra 2</w:t>
      </w:r>
      <w:r>
        <w:rPr>
          <w:rFonts w:ascii="Times New Roman" w:hAnsi="Times New Roman" w:cs="Times New Roman"/>
          <w:sz w:val="28"/>
        </w:rPr>
        <w:t>002.“.</w:t>
      </w:r>
    </w:p>
    <w:p>
      <w:pPr>
        <w:ind w:left="720" w:firstLine="696"/>
        <w:jc w:val="both"/>
        <w:rPr>
          <w:rFonts w:ascii="Times New Roman" w:hAnsi="Times New Roman" w:cs="Times New Roman"/>
        </w:rPr>
      </w:pPr>
    </w:p>
    <w:p>
      <w:pPr>
        <w:tabs>
          <w:tab w:val="left" w:pos="360"/>
        </w:tabs>
        <w:ind w:left="705"/>
        <w:jc w:val="both"/>
        <w:rPr>
          <w:rFonts w:ascii="Times New Roman" w:hAnsi="Times New Roman" w:cs="Times New Roman"/>
          <w:bCs/>
          <w:sz w:val="28"/>
        </w:rPr>
      </w:pPr>
      <w:r>
        <w:rPr>
          <w:rFonts w:ascii="Times New Roman" w:hAnsi="Times New Roman" w:cs="Times New Roman"/>
          <w:bCs/>
          <w:sz w:val="28"/>
        </w:rPr>
        <w:t xml:space="preserve">Hlasovanie </w:t>
      </w:r>
      <w:r>
        <w:rPr>
          <w:rFonts w:ascii="Times New Roman" w:hAnsi="Times New Roman" w:cs="Times New Roman"/>
          <w:b/>
          <w:sz w:val="28"/>
        </w:rPr>
        <w:t>4/4/1</w:t>
      </w:r>
      <w:r>
        <w:rPr>
          <w:rFonts w:ascii="Times New Roman" w:hAnsi="Times New Roman" w:cs="Times New Roman"/>
          <w:bCs/>
          <w:sz w:val="28"/>
        </w:rPr>
        <w:t>.</w:t>
      </w:r>
    </w:p>
    <w:p>
      <w:pPr>
        <w:ind w:firstLine="705"/>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Z  celkového počtu 11 poslancov Ústavnoprávneho výboru Národnej rady Slovenskej republiky bolo prítomných 9. Za návrh predneseného uznesenia hlasovali 5 poslanci a 4 hlasovali proti návrhu. Ústavnoprávny výbor Národnej rady Slove</w:t>
      </w:r>
      <w:r>
        <w:rPr>
          <w:rFonts w:ascii="Times New Roman" w:hAnsi="Times New Roman" w:cs="Times New Roman"/>
          <w:sz w:val="28"/>
        </w:rPr>
        <w:t xml:space="preserve">nskej republiky </w:t>
      </w:r>
      <w:r>
        <w:rPr>
          <w:rFonts w:ascii="Times New Roman" w:hAnsi="Times New Roman" w:cs="Times New Roman"/>
          <w:b/>
          <w:bCs/>
          <w:sz w:val="28"/>
        </w:rPr>
        <w:t xml:space="preserve">neprijal </w:t>
      </w:r>
      <w:r>
        <w:rPr>
          <w:rFonts w:ascii="Times New Roman" w:hAnsi="Times New Roman" w:cs="Times New Roman"/>
          <w:sz w:val="28"/>
        </w:rPr>
        <w:t xml:space="preserve">uznesenie, nakoľko návrh uznesenia (schváliť zákon z 15. novembra 2002) </w:t>
      </w:r>
      <w:r>
        <w:rPr>
          <w:rFonts w:ascii="Times New Roman" w:hAnsi="Times New Roman" w:cs="Times New Roman"/>
          <w:b/>
          <w:bCs/>
          <w:sz w:val="28"/>
        </w:rPr>
        <w:t>nezískal</w:t>
      </w:r>
      <w:r>
        <w:rPr>
          <w:rFonts w:ascii="Times New Roman" w:hAnsi="Times New Roman" w:cs="Times New Roman"/>
          <w:sz w:val="28"/>
        </w:rPr>
        <w:t xml:space="preserve"> </w:t>
      </w:r>
      <w:r>
        <w:rPr>
          <w:rFonts w:ascii="Times New Roman" w:hAnsi="Times New Roman" w:cs="Times New Roman"/>
          <w:b/>
          <w:bCs/>
          <w:sz w:val="28"/>
        </w:rPr>
        <w:t xml:space="preserve">podporu potrebnej nadpolovičnej väčšiny všetkých poslancov </w:t>
      </w:r>
      <w:r>
        <w:rPr>
          <w:rFonts w:ascii="Times New Roman" w:hAnsi="Times New Roman" w:cs="Times New Roman"/>
          <w:sz w:val="28"/>
        </w:rPr>
        <w:t>v súlade s § 52 ods. 4 zákona Národnej rady Slovenskej republiky č.  350/1996 Z. z. o rokovacom poriadku Národnej rady Slovenskej republiky v znení neskorších predpisov a  čl. 84 ods. 3 Ústavy Slovenskej republiky v znení neskorších predpisov.</w:t>
      </w:r>
      <w:r>
        <w:rPr>
          <w:rFonts w:ascii="Times New Roman" w:hAnsi="Times New Roman" w:cs="Times New Roman"/>
          <w:b/>
          <w:bCs/>
          <w:sz w:val="28"/>
        </w:rPr>
        <w:t xml:space="preserve"> </w:t>
      </w:r>
    </w:p>
    <w:p>
      <w:pPr>
        <w:tabs>
          <w:tab w:val="left" w:pos="360"/>
        </w:tabs>
        <w:jc w:val="both"/>
        <w:rPr>
          <w:rFonts w:ascii="Times New Roman" w:hAnsi="Times New Roman" w:cs="Times New Roman"/>
          <w:bCs/>
          <w:sz w:val="28"/>
        </w:rPr>
      </w:pPr>
    </w:p>
    <w:p>
      <w:pPr>
        <w:pStyle w:val="BodyText2"/>
        <w:rPr>
          <w:rFonts w:ascii="Times New Roman" w:hAnsi="Times New Roman" w:cs="Times New Roman"/>
          <w:b w:val="0"/>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2</w:t>
      </w:r>
      <w:r>
        <w:rPr>
          <w:rFonts w:ascii="Times New Roman" w:hAnsi="Times New Roman" w:cs="Times New Roman"/>
          <w:b/>
          <w:bCs/>
          <w:sz w:val="28"/>
        </w:rPr>
        <w:t xml:space="preserve"> </w:t>
      </w:r>
    </w:p>
    <w:p>
      <w:pPr>
        <w:pStyle w:val="BodyText2"/>
        <w:rPr>
          <w:rFonts w:ascii="Times New Roman" w:hAnsi="Times New Roman" w:cs="Times New Roman"/>
          <w:sz w:val="28"/>
          <w:u w:val="single"/>
        </w:rPr>
      </w:pPr>
    </w:p>
    <w:p>
      <w:pPr>
        <w:pStyle w:val="Heading4"/>
        <w:rPr>
          <w:rFonts w:ascii="Times New Roman" w:hAnsi="Times New Roman" w:cs="Times New Roman"/>
        </w:rPr>
      </w:pPr>
      <w:r>
        <w:rPr>
          <w:rFonts w:ascii="Times New Roman" w:hAnsi="Times New Roman" w:cs="Times New Roman"/>
        </w:rPr>
        <w:t>Rôzne</w:t>
      </w:r>
    </w:p>
    <w:p>
      <w:pPr>
        <w:jc w:val="both"/>
        <w:rPr>
          <w:rFonts w:ascii="Times New Roman" w:hAnsi="Times New Roman" w:cs="Times New Roman"/>
        </w:rPr>
      </w:pPr>
    </w:p>
    <w:p>
      <w:pPr>
        <w:jc w:val="both"/>
        <w:rPr>
          <w:rFonts w:ascii="Times New Roman" w:hAnsi="Times New Roman" w:cs="Times New Roman"/>
          <w:sz w:val="28"/>
        </w:rPr>
      </w:pPr>
      <w:r>
        <w:rPr>
          <w:rFonts w:ascii="Times New Roman" w:hAnsi="Times New Roman" w:cs="Times New Roman"/>
          <w:sz w:val="28"/>
        </w:rPr>
        <w:t>A)</w:t>
      </w: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 xml:space="preserve">sa vo svojom úvodnom vystúpení venoval téme - </w:t>
      </w:r>
      <w:r>
        <w:rPr>
          <w:rFonts w:ascii="Times New Roman" w:hAnsi="Times New Roman" w:cs="Times New Roman"/>
          <w:b/>
          <w:bCs/>
          <w:sz w:val="28"/>
        </w:rPr>
        <w:t>právomoc Legislatívnej rady vlády Slovenskej republiky prerokúvať poslanecké návrhy zákonov a účasť poslancov na jej rokovaní.</w:t>
      </w:r>
      <w:r>
        <w:rPr>
          <w:rFonts w:ascii="Times New Roman" w:hAnsi="Times New Roman" w:cs="Times New Roman"/>
          <w:sz w:val="28"/>
        </w:rPr>
        <w:t xml:space="preserve"> Konštatoval, že ide o poradný orgán vlády kreovaný na základe § 2 ods. 3 zákona č. 575/2001 Z. z. o organizácii činnosti vlády a organizácii ústrednej štátnej správy v znení neskorších predpisov. Ani tento zákon, ani zákon č. 350/1996 Z.z. o rokovacom poriadku Národnej rady Slovenskej republiky v znení neskorších predpisov nezakotvuje povinnosť poslancov (predkladateľa návrhu) dostaviť sa na rokovanie legislatívnej rady ani právo legislatívnej rady predvolávať poslancov na svoje zasadnutia. Stanovisko tohto poradného orgánu nie je právne záväzné pre vládu, ani pre zákonodarný zbor. Zo strany tohto orgánu ide o vymáhanie nezákonného plnenia</w:t>
      </w:r>
      <w:r>
        <w:rPr>
          <w:rFonts w:ascii="Times New Roman" w:hAnsi="Times New Roman" w:cs="Times New Roman"/>
          <w:sz w:val="28"/>
        </w:rPr>
        <w:t>. V uvedenom zmysle sa obrátil listom i na predsedu Legislatívnej rady vlády Slovenskej republiky D. Lipšica.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 vysloveným názorom vyjadrili prítomní poslanci súhlas (M. Abelovský, J. Laššáková).  </w:t>
      </w:r>
    </w:p>
    <w:p>
      <w:pPr>
        <w:pStyle w:val="BodyText3"/>
        <w:tabs>
          <w:tab w:val="clear" w:pos="360"/>
        </w:tabs>
        <w:rPr>
          <w:rFonts w:ascii="Times New Roman" w:hAnsi="Times New Roman" w:cs="Times New Roman"/>
          <w:bCs w:val="0"/>
        </w:rPr>
      </w:pPr>
      <w:r>
        <w:rPr>
          <w:rFonts w:ascii="Times New Roman" w:hAnsi="Times New Roman" w:cs="Times New Roman"/>
          <w:bCs w:val="0"/>
        </w:rPr>
        <w:t xml:space="preserve">B) </w:t>
      </w: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R. Madej</w:t>
      </w:r>
      <w:r>
        <w:rPr>
          <w:rFonts w:ascii="Times New Roman" w:hAnsi="Times New Roman" w:cs="Times New Roman"/>
          <w:sz w:val="28"/>
        </w:rPr>
        <w:t xml:space="preserve"> informoval o zahraničnej ceste do Bruselu v dňoch 4. – 5. 12. 2002, ktorú vykonal na základe pozvania TAIEXu (Úrad pre výmenu informácií o technickej pomoci so sídlom v Bruseli) ako jediný z parlamentu. Pôvodne bol členom trojčlennej delegácie Národnej rady SR (poslanci S.  Kozlík, I. Béreš). Jeho účasť odporučil Ústavnoprávny výbor Národnej rady Slovenskej republiky na 2. schôdzi 5. 11. 2002. </w:t>
      </w:r>
      <w:r>
        <w:rPr>
          <w:rFonts w:ascii="Times New Roman" w:hAnsi="Times New Roman" w:cs="Times New Roman"/>
        </w:rPr>
        <w:t xml:space="preserve"> </w:t>
      </w:r>
      <w:r>
        <w:rPr>
          <w:rFonts w:ascii="Times New Roman" w:hAnsi="Times New Roman" w:cs="Times New Roman"/>
          <w:sz w:val="28"/>
        </w:rPr>
        <w:t xml:space="preserve"> Zahraničná pracovná cesta sa uskutočnila na náklady zahraničného pozývateľa (asi 60 tis. Sk na osobu). Národná rada mala hradiť vreckové a zabezpečiť dopravu na letisko Schwechat (spolu asi 3 tis. Sk). Deň pred odchodom sa dozvedel, že podpredseda Národnej rady B. Bugár cestu nepodpísal. Dopravu na letisko nakoniec zabezpečila politická strana Smer a cestu teda vykonal ako poslanec i ako súkromná osoba.  Považoval za potrebné informovať o veci výbor, nakoľko postup vedenia Národnej rady nepovažuje v tomto prípade ani za racionálny ani za úsporný. Naopak považuje ho za  neférový voči zahraničnému partnerovi.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konštatoval, že úsporné opatrenia a spôsob ich realizácie sú v právomoci vedenia parlamentu. Treba však postupovať zároveň efektívne a posudzovať akcie i z hľadiska ich prínosu pre Slovenskú republiku, zákonodarný orgán, poslancov.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 xml:space="preserve">P. Miššík </w:t>
      </w:r>
      <w:r>
        <w:rPr>
          <w:rFonts w:ascii="Times New Roman" w:hAnsi="Times New Roman" w:cs="Times New Roman"/>
          <w:sz w:val="28"/>
        </w:rPr>
        <w:t>označil danú situáciu za  dôsledok neexistujúcich jednoznačných pravidiel pre akcie tohto druhu. Považuje za potrebné, aby Národná rada prijala v tomto smere pravidlá s presne stanovenými kritériami.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navrhol, aby výbor k veci prijal uzne</w:t>
      </w:r>
      <w:r>
        <w:rPr>
          <w:rFonts w:ascii="Times New Roman" w:hAnsi="Times New Roman" w:cs="Times New Roman"/>
          <w:sz w:val="28"/>
        </w:rPr>
        <w:t xml:space="preserve">senie. </w:t>
      </w:r>
      <w:r>
        <w:rPr>
          <w:rFonts w:ascii="Times New Roman" w:hAnsi="Times New Roman" w:cs="Times New Roman"/>
          <w:b/>
          <w:bCs/>
          <w:sz w:val="28"/>
        </w:rPr>
        <w:t xml:space="preserve">Poveril </w:t>
      </w:r>
      <w:r>
        <w:rPr>
          <w:rFonts w:ascii="Times New Roman" w:hAnsi="Times New Roman" w:cs="Times New Roman"/>
          <w:sz w:val="28"/>
        </w:rPr>
        <w:t xml:space="preserve">poslanca </w:t>
      </w:r>
      <w:r>
        <w:rPr>
          <w:rFonts w:ascii="Times New Roman" w:hAnsi="Times New Roman" w:cs="Times New Roman"/>
          <w:b/>
          <w:bCs/>
          <w:sz w:val="28"/>
        </w:rPr>
        <w:t>R. Madeja</w:t>
      </w:r>
      <w:r>
        <w:rPr>
          <w:rFonts w:ascii="Times New Roman" w:hAnsi="Times New Roman" w:cs="Times New Roman"/>
          <w:sz w:val="28"/>
        </w:rPr>
        <w:t xml:space="preserve">, aby do najbližšej schôdze pripravil jeho návrh, čo poslanci akceptovali. </w:t>
      </w:r>
    </w:p>
    <w:p>
      <w:pPr>
        <w:ind w:firstLine="708"/>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C)</w:t>
      </w: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upriamil pozornosť prítomných  na </w:t>
      </w:r>
      <w:r>
        <w:rPr>
          <w:rFonts w:ascii="Times New Roman" w:hAnsi="Times New Roman" w:cs="Times New Roman"/>
          <w:b/>
          <w:bCs/>
          <w:sz w:val="28"/>
        </w:rPr>
        <w:t>uznesenie vlády</w:t>
      </w:r>
      <w:r>
        <w:rPr>
          <w:rFonts w:ascii="Times New Roman" w:hAnsi="Times New Roman" w:cs="Times New Roman"/>
          <w:sz w:val="28"/>
        </w:rPr>
        <w:t xml:space="preserve"> Slovenskej republiky </w:t>
      </w:r>
      <w:r>
        <w:rPr>
          <w:rFonts w:ascii="Times New Roman" w:hAnsi="Times New Roman" w:cs="Times New Roman"/>
          <w:b/>
          <w:bCs/>
          <w:sz w:val="28"/>
        </w:rPr>
        <w:t>zo 14. novembra 2002 č. 1249,</w:t>
      </w:r>
      <w:r>
        <w:rPr>
          <w:rFonts w:ascii="Times New Roman" w:hAnsi="Times New Roman" w:cs="Times New Roman"/>
          <w:sz w:val="28"/>
        </w:rPr>
        <w:t xml:space="preserve"> ktoré </w:t>
      </w:r>
      <w:r>
        <w:rPr>
          <w:rFonts w:ascii="Times New Roman" w:hAnsi="Times New Roman" w:cs="Times New Roman"/>
          <w:b/>
          <w:bCs/>
          <w:sz w:val="28"/>
        </w:rPr>
        <w:t xml:space="preserve">splnomocňuje členov vlády poverených uviesť vládne návrhy zákonov v Národnej rade SR vyjadriť súhlas alebo nevyjadriť súhlas v mene vlády SR podľa § 94 ods. 2 zákona NR SR č. 350/1996 Z.z. v znení neskorších predpisov, ak boli pri prerokúvaní vládneho návrhu zákona podané návrhy, ktoré vládny návrh zákona rozširujú, okrem prípadu, ak čo len jeden člen vlády navrhne prerokovanie návrhov rozširujúcich zákon priamo na rokovaní vlády. Ide o nerealizovateľné uznesenie. </w:t>
      </w:r>
      <w:r>
        <w:rPr>
          <w:rFonts w:ascii="Times New Roman" w:hAnsi="Times New Roman" w:cs="Times New Roman"/>
          <w:sz w:val="28"/>
        </w:rPr>
        <w:t xml:space="preserve"> Problém je v tom, ako bude člen vlády, predkladateľ komunikovať s inými členmi vlády, aby zistil, či niektorý z nich sa chce k rozširujúcim, či pozmeňujúcim návrhom vyjadriť, najmä či aspoň jeden člen vlády navrhne prerokovanie návrhov, rozširujúcich zákon, priamo na  rokovaní vlády. Rozhodnutie vlády je naviac v </w:t>
      </w:r>
      <w:r>
        <w:rPr>
          <w:rFonts w:ascii="Times New Roman" w:hAnsi="Times New Roman" w:cs="Times New Roman"/>
          <w:sz w:val="28"/>
        </w:rPr>
        <w:t xml:space="preserve">rozpore s čl. 119 písm. a) Ústavy SR (vláda rozhoduje v zbore) a § 94 ods. 2 rokovacieho poriadku Národnej rady. S uvedeným vyjadril svoj jednoznačný súhlas a podporu predseda výboru a odporučil prijať uznesenie, ktorým by sa stanovisko tlmočilo vláde. </w:t>
      </w:r>
    </w:p>
    <w:p>
      <w:pPr>
        <w:pStyle w:val="Footer"/>
        <w:tabs>
          <w:tab w:val="clear" w:pos="4536"/>
          <w:tab w:val="clear" w:pos="9072"/>
        </w:tabs>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P</w:t>
      </w:r>
      <w:r>
        <w:rPr>
          <w:rFonts w:ascii="Times New Roman" w:hAnsi="Times New Roman" w:cs="Times New Roman"/>
          <w:sz w:val="28"/>
        </w:rPr>
        <w:t xml:space="preserve">odpredseda výboru </w:t>
      </w:r>
      <w:r>
        <w:rPr>
          <w:rFonts w:ascii="Times New Roman" w:hAnsi="Times New Roman" w:cs="Times New Roman"/>
          <w:b/>
          <w:bCs/>
          <w:sz w:val="28"/>
        </w:rPr>
        <w:t>M. Abelovský</w:t>
      </w:r>
      <w:r>
        <w:rPr>
          <w:rFonts w:ascii="Times New Roman" w:hAnsi="Times New Roman" w:cs="Times New Roman"/>
          <w:sz w:val="28"/>
        </w:rPr>
        <w:t xml:space="preserve"> upozornil, že ide o „bianco“ splnomocnenie – na neurčitú dobu, neurčitý obsah  a neurčitý počet opatrení, a preto takýto postup vlády nemožno akceptovať.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 sú to vážne pripomienky, s ktorými možno súhlasiť a treba sa nimi zaoberať. Odporučil tlmočiť vláde, že prijala nevykonateľné rozhodnutie. Navrhol poveriť poslancov </w:t>
      </w:r>
      <w:r>
        <w:rPr>
          <w:rFonts w:ascii="Times New Roman" w:hAnsi="Times New Roman" w:cs="Times New Roman"/>
          <w:b/>
          <w:bCs/>
          <w:sz w:val="28"/>
        </w:rPr>
        <w:t>A. Ivanka</w:t>
      </w:r>
      <w:r>
        <w:rPr>
          <w:rFonts w:ascii="Times New Roman" w:hAnsi="Times New Roman" w:cs="Times New Roman"/>
          <w:sz w:val="28"/>
        </w:rPr>
        <w:t xml:space="preserve"> a </w:t>
      </w:r>
      <w:r>
        <w:rPr>
          <w:rFonts w:ascii="Times New Roman" w:hAnsi="Times New Roman" w:cs="Times New Roman"/>
          <w:b/>
          <w:bCs/>
          <w:sz w:val="28"/>
        </w:rPr>
        <w:t>S. Husára</w:t>
      </w:r>
      <w:r>
        <w:rPr>
          <w:rFonts w:ascii="Times New Roman" w:hAnsi="Times New Roman" w:cs="Times New Roman"/>
          <w:sz w:val="28"/>
        </w:rPr>
        <w:t xml:space="preserve">  vypracovaním návrhu uznesenia, čo prítomní všeobecným súhlasom podporili. </w:t>
      </w:r>
    </w:p>
    <w:p>
      <w:pPr>
        <w:pStyle w:val="Footer"/>
        <w:tabs>
          <w:tab w:val="clear" w:pos="4536"/>
          <w:tab w:val="clear" w:pos="9072"/>
        </w:tabs>
        <w:jc w:val="both"/>
        <w:rPr>
          <w:rFonts w:ascii="Times New Roman" w:hAnsi="Times New Roman" w:cs="Times New Roman"/>
        </w:rPr>
      </w:pPr>
      <w:r>
        <w:rPr>
          <w:rFonts w:ascii="Times New Roman" w:hAnsi="Times New Roman" w:cs="Times New Roman"/>
        </w:rPr>
        <w:tab/>
      </w:r>
    </w:p>
    <w:p>
      <w:pPr>
        <w:pStyle w:val="Footer"/>
        <w:tabs>
          <w:tab w:val="clear" w:pos="4536"/>
          <w:tab w:val="clear" w:pos="9072"/>
        </w:tabs>
        <w:jc w:val="both"/>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 xml:space="preserve">Všetky písomnosti, na ktoré </w:t>
      </w:r>
      <w:r>
        <w:rPr>
          <w:rFonts w:ascii="Times New Roman" w:hAnsi="Times New Roman" w:cs="Times New Roman"/>
          <w:sz w:val="28"/>
        </w:rPr>
        <w:t>sa zápisnica odvoláva, sú jej súčasťou.</w:t>
      </w: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pStyle w:val="BodyTextIndent3"/>
        <w:rPr>
          <w:rFonts w:ascii="Times New Roman" w:hAnsi="Times New Roman" w:cs="Times New Roman"/>
        </w:rPr>
      </w:pPr>
    </w:p>
    <w:p>
      <w:pPr>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 xml:space="preserve"> Gábor Gál</w:t>
      </w:r>
    </w:p>
    <w:p>
      <w:pPr>
        <w:tabs>
          <w:tab w:val="left" w:pos="1021"/>
        </w:tabs>
        <w:jc w:val="both"/>
        <w:rPr>
          <w:rFonts w:ascii="Times New Roman" w:hAnsi="Times New Roman" w:cs="Times New Roman"/>
          <w:sz w:val="28"/>
        </w:rPr>
      </w:pPr>
      <w:r>
        <w:rPr>
          <w:rFonts w:ascii="Times New Roman" w:hAnsi="Times New Roman" w:cs="Times New Roman"/>
          <w:sz w:val="28"/>
        </w:rPr>
        <w:t>overovateľ</w:t>
      </w:r>
    </w:p>
    <w:p>
      <w:pPr>
        <w:tabs>
          <w:tab w:val="left" w:pos="1021"/>
        </w:tabs>
        <w:jc w:val="both"/>
        <w:rPr>
          <w:rFonts w:ascii="Times New Roman" w:hAnsi="Times New Roman" w:cs="Times New Roman"/>
          <w:sz w:val="28"/>
        </w:rPr>
      </w:pPr>
    </w:p>
    <w:p>
      <w:pPr>
        <w:pStyle w:val="Heading5"/>
        <w:ind w:left="6371" w:firstLine="709"/>
        <w:rPr>
          <w:rFonts w:ascii="Times New Roman" w:hAnsi="Times New Roman" w:cs="Times New Roman"/>
          <w:i/>
          <w:iCs/>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lang w:val="cs-CZ"/>
        </w:rPr>
      </w:pPr>
    </w:p>
    <w:p>
      <w:pPr>
        <w:ind w:firstLine="708"/>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sz w:val="28"/>
        </w:rPr>
        <w:t xml:space="preserve">  </w:t>
      </w:r>
    </w:p>
    <w:p>
      <w:pPr>
        <w:jc w:val="both"/>
        <w:rPr>
          <w:rFonts w:ascii="Times New Roman" w:hAnsi="Times New Roman" w:cs="Times New Roman"/>
          <w:b/>
          <w:bCs/>
          <w:sz w:val="28"/>
        </w:rPr>
      </w:pPr>
    </w:p>
    <w:p>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7614C35"/>
    <w:multiLevelType w:val="hybridMultilevel"/>
    <w:tmpl w:val="4D16D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191CD9"/>
    <w:multiLevelType w:val="hybridMultilevel"/>
    <w:tmpl w:val="AFD4EF52"/>
    <w:lvl w:ilvl="0">
      <w:start w:val="1"/>
      <w:numFmt w:val="decimal"/>
      <w:lvlText w:val="%1."/>
      <w:lvlJc w:val="left"/>
      <w:pPr>
        <w:tabs>
          <w:tab w:val="num" w:pos="397"/>
        </w:tabs>
        <w:ind w:left="397" w:hanging="397"/>
      </w:pPr>
      <w:rPr>
        <w:b w:val="0"/>
        <w:i w:val="0"/>
        <w:rtl w:val="0"/>
      </w:rPr>
    </w:lvl>
    <w:lvl w:ilvl="1">
      <w:start w:val="1"/>
      <w:numFmt w:val="bullet"/>
      <w:lvlText w:val="-"/>
      <w:lvlJc w:val="left"/>
      <w:pPr>
        <w:tabs>
          <w:tab w:val="num" w:pos="360"/>
        </w:tabs>
        <w:ind w:left="340" w:hanging="340"/>
      </w:pPr>
      <w:rPr>
        <w:rFonts w:ascii="Times New Roman" w:hAnsi="Times New Roman" w:cs="Times New Roman"/>
        <w:b w:val="0"/>
        <w:rtl w:val="0"/>
      </w:rPr>
    </w:lvl>
    <w:lvl w:ilvl="2">
      <w:start w:val="1"/>
      <w:numFmt w:val="lowerLetter"/>
      <w:lvlText w:val="%3)"/>
      <w:lvlJc w:val="left"/>
      <w:pPr>
        <w:tabs>
          <w:tab w:val="num" w:pos="360"/>
        </w:tabs>
        <w:ind w:left="340" w:hanging="340"/>
      </w:pPr>
      <w:rPr>
        <w:b w:val="0"/>
        <w:rtl w:val="0"/>
      </w:rPr>
    </w:lvl>
    <w:lvl w:ilvl="3">
      <w:start w:val="1"/>
      <w:numFmt w:val="decimal"/>
      <w:lvlText w:val="%4."/>
      <w:lvlJc w:val="left"/>
      <w:pPr>
        <w:tabs>
          <w:tab w:val="num" w:pos="360"/>
        </w:tabs>
        <w:ind w:left="340" w:hanging="340"/>
      </w:pPr>
      <w:rPr>
        <w:b w:val="0"/>
        <w:i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0F0529"/>
    <w:multiLevelType w:val="hybridMultilevel"/>
    <w:tmpl w:val="3354AD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nsid w:val="2232000C"/>
    <w:multiLevelType w:val="hybridMultilevel"/>
    <w:tmpl w:val="F574235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26FE22A6"/>
    <w:multiLevelType w:val="hybridMultilevel"/>
    <w:tmpl w:val="5EB4BA3C"/>
    <w:lvl w:ilvl="0">
      <w:start w:val="1"/>
      <w:numFmt w:val="lowerLetter"/>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8">
    <w:nsid w:val="2B453F39"/>
    <w:multiLevelType w:val="hybridMultilevel"/>
    <w:tmpl w:val="712C0DF8"/>
    <w:lvl w:ilvl="0">
      <w:start w:val="1"/>
      <w:numFmt w:val="decimal"/>
      <w:lvlText w:val="%1."/>
      <w:lvlJc w:val="left"/>
      <w:pPr>
        <w:tabs>
          <w:tab w:val="num" w:pos="397"/>
        </w:tabs>
        <w:ind w:left="397" w:hanging="397"/>
      </w:pPr>
    </w:lvl>
    <w:lvl w:ilvl="1">
      <w:start w:val="1"/>
      <w:numFmt w:val="decimal"/>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9">
    <w:nsid w:val="322F66A1"/>
    <w:multiLevelType w:val="hybridMultilevel"/>
    <w:tmpl w:val="7960FC08"/>
    <w:lvl w:ilvl="0">
      <w:start w:val="1"/>
      <w:numFmt w:val="upperLetter"/>
      <w:lvlText w:val="%1."/>
      <w:lvlJc w:val="left"/>
      <w:pPr>
        <w:tabs>
          <w:tab w:val="num" w:pos="1110"/>
        </w:tabs>
        <w:ind w:left="1110" w:hanging="4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
    <w:nsid w:val="3319127B"/>
    <w:multiLevelType w:val="hybridMultilevel"/>
    <w:tmpl w:val="9216B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74290E"/>
    <w:multiLevelType w:val="hybridMultilevel"/>
    <w:tmpl w:val="68D64C1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EC7953"/>
    <w:multiLevelType w:val="hybridMultilevel"/>
    <w:tmpl w:val="65BAFC1A"/>
    <w:lvl w:ilvl="0">
      <w:start w:val="1"/>
      <w:numFmt w:val="decimal"/>
      <w:lvlText w:val="%1."/>
      <w:lvlJc w:val="left"/>
      <w:pPr>
        <w:tabs>
          <w:tab w:val="num" w:pos="1778"/>
        </w:tabs>
        <w:ind w:left="1701" w:hanging="283"/>
      </w:pPr>
      <w:rPr>
        <w:b w:val="0"/>
        <w:i w:val="0"/>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
    <w:nsid w:val="50230E72"/>
    <w:multiLevelType w:val="hybridMultilevel"/>
    <w:tmpl w:val="8BB88828"/>
    <w:lvl w:ilvl="0">
      <w:start w:val="1"/>
      <w:numFmt w:val="upperLetter"/>
      <w:lvlText w:val="%1."/>
      <w:lvlJc w:val="left"/>
      <w:pPr>
        <w:tabs>
          <w:tab w:val="num" w:pos="2415"/>
        </w:tabs>
        <w:ind w:left="2415" w:hanging="360"/>
      </w:pPr>
    </w:lvl>
    <w:lvl w:ilvl="1">
      <w:start w:val="1"/>
      <w:numFmt w:val="lowerLetter"/>
      <w:lvlText w:val="%2."/>
      <w:lvlJc w:val="left"/>
      <w:pPr>
        <w:tabs>
          <w:tab w:val="num" w:pos="3135"/>
        </w:tabs>
        <w:ind w:left="3135" w:hanging="360"/>
      </w:pPr>
    </w:lvl>
    <w:lvl w:ilvl="2">
      <w:start w:val="1"/>
      <w:numFmt w:val="lowerRoman"/>
      <w:lvlText w:val="%3."/>
      <w:lvlJc w:val="right"/>
      <w:pPr>
        <w:tabs>
          <w:tab w:val="num" w:pos="3855"/>
        </w:tabs>
        <w:ind w:left="3855" w:hanging="180"/>
      </w:pPr>
    </w:lvl>
    <w:lvl w:ilvl="3">
      <w:start w:val="1"/>
      <w:numFmt w:val="decimal"/>
      <w:lvlText w:val="%4."/>
      <w:lvlJc w:val="left"/>
      <w:pPr>
        <w:tabs>
          <w:tab w:val="num" w:pos="4575"/>
        </w:tabs>
        <w:ind w:left="4575" w:hanging="360"/>
      </w:pPr>
    </w:lvl>
    <w:lvl w:ilvl="4">
      <w:start w:val="1"/>
      <w:numFmt w:val="lowerLetter"/>
      <w:lvlText w:val="%5."/>
      <w:lvlJc w:val="left"/>
      <w:pPr>
        <w:tabs>
          <w:tab w:val="num" w:pos="5295"/>
        </w:tabs>
        <w:ind w:left="5295" w:hanging="360"/>
      </w:pPr>
    </w:lvl>
    <w:lvl w:ilvl="5">
      <w:start w:val="1"/>
      <w:numFmt w:val="lowerRoman"/>
      <w:lvlText w:val="%6."/>
      <w:lvlJc w:val="right"/>
      <w:pPr>
        <w:tabs>
          <w:tab w:val="num" w:pos="6015"/>
        </w:tabs>
        <w:ind w:left="6015" w:hanging="180"/>
      </w:pPr>
    </w:lvl>
    <w:lvl w:ilvl="6">
      <w:start w:val="1"/>
      <w:numFmt w:val="decimal"/>
      <w:lvlText w:val="%7."/>
      <w:lvlJc w:val="left"/>
      <w:pPr>
        <w:tabs>
          <w:tab w:val="num" w:pos="6735"/>
        </w:tabs>
        <w:ind w:left="6735" w:hanging="360"/>
      </w:pPr>
    </w:lvl>
    <w:lvl w:ilvl="7">
      <w:start w:val="1"/>
      <w:numFmt w:val="lowerLetter"/>
      <w:lvlText w:val="%8."/>
      <w:lvlJc w:val="left"/>
      <w:pPr>
        <w:tabs>
          <w:tab w:val="num" w:pos="7455"/>
        </w:tabs>
        <w:ind w:left="7455" w:hanging="360"/>
      </w:pPr>
    </w:lvl>
    <w:lvl w:ilvl="8">
      <w:start w:val="1"/>
      <w:numFmt w:val="lowerRoman"/>
      <w:lvlText w:val="%9."/>
      <w:lvlJc w:val="right"/>
      <w:pPr>
        <w:tabs>
          <w:tab w:val="num" w:pos="8175"/>
        </w:tabs>
        <w:ind w:left="8175" w:hanging="180"/>
      </w:pPr>
    </w:lvl>
  </w:abstractNum>
  <w:abstractNum w:abstractNumId="14">
    <w:nsid w:val="538C7425"/>
    <w:multiLevelType w:val="hybridMultilevel"/>
    <w:tmpl w:val="F4027724"/>
    <w:lvl w:ilvl="0">
      <w:start w:val="1"/>
      <w:numFmt w:val="decimal"/>
      <w:lvlText w:val="%1."/>
      <w:lvlJc w:val="left"/>
      <w:pPr>
        <w:tabs>
          <w:tab w:val="num" w:pos="1800"/>
        </w:tabs>
        <w:ind w:left="1800" w:hanging="360"/>
      </w:pPr>
      <w:rPr>
        <w:b w:val="0"/>
        <w:i w:val="0"/>
        <w:rtl w:val="0"/>
      </w:r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5">
    <w:nsid w:val="687355E2"/>
    <w:multiLevelType w:val="hybridMultilevel"/>
    <w:tmpl w:val="9E68A8E8"/>
    <w:lvl w:ilvl="0">
      <w:start w:val="1"/>
      <w:numFmt w:val="bullet"/>
      <w:lvlText w:val="-"/>
      <w:lvlJc w:val="left"/>
      <w:pPr>
        <w:tabs>
          <w:tab w:val="num" w:pos="1485"/>
        </w:tabs>
        <w:ind w:left="1485" w:hanging="360"/>
      </w:pPr>
      <w:rPr>
        <w:rFonts w:ascii="Times New Roman" w:hAnsi="Times New Roman" w:cs="Times New Roman"/>
        <w:rtl w:val="0"/>
      </w:rPr>
    </w:lvl>
    <w:lvl w:ilvl="1">
      <w:start w:val="1"/>
      <w:numFmt w:val="bullet"/>
      <w:lvlText w:val="o"/>
      <w:lvlJc w:val="left"/>
      <w:pPr>
        <w:tabs>
          <w:tab w:val="num" w:pos="2205"/>
        </w:tabs>
        <w:ind w:left="2205" w:hanging="360"/>
      </w:pPr>
      <w:rPr>
        <w:rFonts w:ascii="Courier New" w:hAnsi="Courier New"/>
        <w:rtl w:val="0"/>
      </w:rPr>
    </w:lvl>
    <w:lvl w:ilvl="2">
      <w:start w:val="1"/>
      <w:numFmt w:val="bullet"/>
      <w:lvlText w:val=""/>
      <w:lvlJc w:val="left"/>
      <w:pPr>
        <w:tabs>
          <w:tab w:val="num" w:pos="2925"/>
        </w:tabs>
        <w:ind w:left="2925" w:hanging="360"/>
      </w:pPr>
      <w:rPr>
        <w:rFonts w:ascii="Wingdings" w:hAnsi="Wingdings"/>
        <w:rtl w:val="0"/>
      </w:rPr>
    </w:lvl>
    <w:lvl w:ilvl="3">
      <w:start w:val="1"/>
      <w:numFmt w:val="bullet"/>
      <w:lvlText w:val=""/>
      <w:lvlJc w:val="left"/>
      <w:pPr>
        <w:tabs>
          <w:tab w:val="num" w:pos="3645"/>
        </w:tabs>
        <w:ind w:left="3645" w:hanging="360"/>
      </w:pPr>
      <w:rPr>
        <w:rFonts w:ascii="Symbol" w:hAnsi="Symbol"/>
        <w:rtl w:val="0"/>
      </w:rPr>
    </w:lvl>
    <w:lvl w:ilvl="4">
      <w:start w:val="1"/>
      <w:numFmt w:val="bullet"/>
      <w:lvlText w:val="o"/>
      <w:lvlJc w:val="left"/>
      <w:pPr>
        <w:tabs>
          <w:tab w:val="num" w:pos="4365"/>
        </w:tabs>
        <w:ind w:left="4365" w:hanging="360"/>
      </w:pPr>
      <w:rPr>
        <w:rFonts w:ascii="Courier New" w:hAnsi="Courier New"/>
        <w:rtl w:val="0"/>
      </w:rPr>
    </w:lvl>
    <w:lvl w:ilvl="5">
      <w:start w:val="1"/>
      <w:numFmt w:val="bullet"/>
      <w:lvlText w:val=""/>
      <w:lvlJc w:val="left"/>
      <w:pPr>
        <w:tabs>
          <w:tab w:val="num" w:pos="5085"/>
        </w:tabs>
        <w:ind w:left="5085" w:hanging="360"/>
      </w:pPr>
      <w:rPr>
        <w:rFonts w:ascii="Wingdings" w:hAnsi="Wingdings"/>
        <w:rtl w:val="0"/>
      </w:rPr>
    </w:lvl>
    <w:lvl w:ilvl="6">
      <w:start w:val="1"/>
      <w:numFmt w:val="bullet"/>
      <w:lvlText w:val=""/>
      <w:lvlJc w:val="left"/>
      <w:pPr>
        <w:tabs>
          <w:tab w:val="num" w:pos="5805"/>
        </w:tabs>
        <w:ind w:left="5805" w:hanging="360"/>
      </w:pPr>
      <w:rPr>
        <w:rFonts w:ascii="Symbol" w:hAnsi="Symbol"/>
        <w:rtl w:val="0"/>
      </w:rPr>
    </w:lvl>
    <w:lvl w:ilvl="7">
      <w:start w:val="1"/>
      <w:numFmt w:val="bullet"/>
      <w:lvlText w:val="o"/>
      <w:lvlJc w:val="left"/>
      <w:pPr>
        <w:tabs>
          <w:tab w:val="num" w:pos="6525"/>
        </w:tabs>
        <w:ind w:left="6525" w:hanging="360"/>
      </w:pPr>
      <w:rPr>
        <w:rFonts w:ascii="Courier New" w:hAnsi="Courier New"/>
        <w:rtl w:val="0"/>
      </w:rPr>
    </w:lvl>
    <w:lvl w:ilvl="8">
      <w:start w:val="1"/>
      <w:numFmt w:val="bullet"/>
      <w:lvlText w:val=""/>
      <w:lvlJc w:val="left"/>
      <w:pPr>
        <w:tabs>
          <w:tab w:val="num" w:pos="7245"/>
        </w:tabs>
        <w:ind w:left="7245" w:hanging="360"/>
      </w:pPr>
      <w:rPr>
        <w:rFonts w:ascii="Wingdings" w:hAnsi="Wingdings"/>
        <w:rtl w:val="0"/>
      </w:rPr>
    </w:lvl>
  </w:abstractNum>
  <w:abstractNum w:abstractNumId="16">
    <w:nsid w:val="7573151C"/>
    <w:multiLevelType w:val="hybridMultilevel"/>
    <w:tmpl w:val="83DC282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7">
    <w:nsid w:val="77217409"/>
    <w:multiLevelType w:val="hybridMultilevel"/>
    <w:tmpl w:val="FB92B6B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num w:numId="1">
    <w:abstractNumId w:val="11"/>
  </w:num>
  <w:num w:numId="2">
    <w:abstractNumId w:val="2"/>
  </w:num>
  <w:num w:numId="3">
    <w:abstractNumId w:val="3"/>
  </w:num>
  <w:num w:numId="4">
    <w:abstractNumId w:val="4"/>
  </w:num>
  <w:num w:numId="5">
    <w:abstractNumId w:val="0"/>
  </w:num>
  <w:num w:numId="6">
    <w:abstractNumId w:val="15"/>
  </w:num>
  <w:num w:numId="7">
    <w:abstractNumId w:val="17"/>
  </w:num>
  <w:num w:numId="8">
    <w:abstractNumId w:val="6"/>
  </w:num>
  <w:num w:numId="9">
    <w:abstractNumId w:val="18"/>
  </w:num>
  <w:num w:numId="10">
    <w:abstractNumId w:val="12"/>
  </w:num>
  <w:num w:numId="11">
    <w:abstractNumId w:val="14"/>
  </w:num>
  <w:num w:numId="12">
    <w:abstractNumId w:val="8"/>
  </w:num>
  <w:num w:numId="13">
    <w:abstractNumId w:val="1"/>
  </w:num>
  <w:num w:numId="14">
    <w:abstractNumId w:val="7"/>
  </w:num>
  <w:num w:numId="15">
    <w:abstractNumId w:val="13"/>
  </w:num>
  <w:num w:numId="16">
    <w:abstractNumId w:val="9"/>
  </w:num>
  <w:num w:numId="17">
    <w:abstractNumId w:val="16"/>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left="360"/>
      <w:jc w:val="left"/>
      <w:outlineLvl w:val="0"/>
    </w:pPr>
    <w:rPr>
      <w:u w:val="single"/>
    </w:rPr>
  </w:style>
  <w:style w:type="paragraph" w:styleId="Heading2">
    <w:name w:val="heading 2"/>
    <w:basedOn w:val="Normal"/>
    <w:next w:val="Normal"/>
    <w:uiPriority w:val="9"/>
    <w:qFormat/>
    <w:pPr>
      <w:keepNext/>
      <w:jc w:val="left"/>
      <w:outlineLvl w:val="1"/>
    </w:pPr>
    <w:rPr>
      <w:b/>
      <w:bCs/>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708"/>
      <w:jc w:val="both"/>
      <w:outlineLvl w:val="3"/>
    </w:pPr>
    <w:rPr>
      <w:b/>
      <w:bCs/>
      <w:sz w:val="28"/>
    </w:rPr>
  </w:style>
  <w:style w:type="paragraph" w:styleId="Heading5">
    <w:name w:val="heading 5"/>
    <w:basedOn w:val="Normal"/>
    <w:next w:val="Normal"/>
    <w:uiPriority w:val="9"/>
    <w:qFormat/>
    <w:pPr>
      <w:keepNext/>
      <w:jc w:val="both"/>
      <w:outlineLvl w:val="4"/>
    </w:pPr>
    <w:rPr>
      <w:b/>
      <w:bCs/>
      <w:sz w:val="28"/>
    </w:rPr>
  </w:style>
  <w:style w:type="paragraph" w:styleId="Heading8">
    <w:name w:val="heading 8"/>
    <w:basedOn w:val="Normal"/>
    <w:next w:val="Normal"/>
    <w:uiPriority w:val="9"/>
    <w:qFormat/>
    <w:pPr>
      <w:keepNext/>
      <w:numPr>
        <w:ilvl w:val="0"/>
        <w:numId w:val="4"/>
      </w:numPr>
      <w:tabs>
        <w:tab w:val="left" w:pos="1065"/>
      </w:tabs>
      <w:spacing w:before="120"/>
      <w:ind w:left="1065" w:hanging="360"/>
      <w:jc w:val="left"/>
      <w:outlineLvl w:val="7"/>
    </w:pPr>
    <w:rPr>
      <w:b/>
      <w:bCs/>
    </w:rPr>
  </w:style>
  <w:style w:type="paragraph" w:styleId="Heading9">
    <w:name w:val="heading 9"/>
    <w:basedOn w:val="Normal"/>
    <w:next w:val="Normal"/>
    <w:uiPriority w:val="9"/>
    <w:qFormat/>
    <w:pPr>
      <w:keepNext/>
      <w:ind w:firstLine="708"/>
      <w:jc w:val="both"/>
      <w:outlineLvl w:val="8"/>
    </w:pPr>
    <w:rPr>
      <w:b/>
      <w:bCs/>
    </w:rPr>
  </w:style>
  <w:style w:type="character" w:default="1" w:styleId="DefaultParagraphFont">
    <w:name w:val="Default Paragraph Font"/>
  </w:style>
  <w:style w:type="paragraph" w:styleId="BodyTextIndent">
    <w:name w:val="Body Text Indent"/>
    <w:basedOn w:val="Normal"/>
    <w:pPr>
      <w:ind w:left="360" w:hanging="360"/>
      <w:jc w:val="left"/>
    </w:p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styleId="BodyText2">
    <w:name w:val="Body Text 2"/>
    <w:basedOn w:val="Normal"/>
    <w:pPr>
      <w:jc w:val="both"/>
    </w:pPr>
    <w:rPr>
      <w:b/>
      <w:szCs w:val="20"/>
    </w:rPr>
  </w:style>
  <w:style w:type="paragraph" w:styleId="BodyTextIndent3">
    <w:name w:val="Body Text Indent 3"/>
    <w:basedOn w:val="Normal"/>
    <w:pPr>
      <w:ind w:firstLine="708"/>
      <w:jc w:val="both"/>
    </w:pPr>
    <w:rPr>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2">
    <w:name w:val="Body Text Indent 2"/>
    <w:basedOn w:val="Normal"/>
    <w:pPr>
      <w:tabs>
        <w:tab w:val="left" w:pos="360"/>
      </w:tabs>
      <w:ind w:left="705"/>
      <w:jc w:val="both"/>
    </w:pPr>
    <w:rPr>
      <w:bCs/>
      <w:sz w:val="28"/>
    </w:rPr>
  </w:style>
  <w:style w:type="paragraph" w:styleId="BodyText3">
    <w:name w:val="Body Text 3"/>
    <w:basedOn w:val="Normal"/>
    <w:pPr>
      <w:tabs>
        <w:tab w:val="left" w:pos="360"/>
      </w:tabs>
      <w:jc w:val="both"/>
    </w:pPr>
    <w:rPr>
      <w:bCs/>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339</TotalTime>
  <Pages>1</Pages>
  <Words>1429</Words>
  <Characters>8150</Characters>
  <Application>Microsoft Office Word</Application>
  <DocSecurity>0</DocSecurity>
  <Lines>0</Lines>
  <Paragraphs>0</Paragraphs>
  <ScaleCrop>false</ScaleCrop>
  <Manager>Magdaléna Šuchaňová</Manager>
  <Company>Narodna rada Slovenskej republiky, ÚPV NR SR</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9. schôdza</dc:title>
  <dc:subject>schôdza 9, 9. december 2002</dc:subject>
  <dc:creator>Viera Ebringerová</dc:creator>
  <cp:lastModifiedBy>Viera Ebringerová</cp:lastModifiedBy>
  <cp:revision>39</cp:revision>
  <cp:lastPrinted>2002-12-11T14:43:00Z</cp:lastPrinted>
  <dcterms:created xsi:type="dcterms:W3CDTF">2002-12-09T10:17:00Z</dcterms:created>
  <dcterms:modified xsi:type="dcterms:W3CDTF">2002-12-11T14:53:00Z</dcterms:modified>
  <cp:category>zápisnica</cp:category>
</cp:coreProperties>
</file>