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21. schôdze Ústavnoprávneho výboru Národnej rady Slovenskej republiky 25. apríla 2003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    10 poslancov ústavnoprávneho výboru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(podľa prezenčnej listiny)</w:t>
      </w:r>
    </w:p>
    <w:p>
      <w:pPr>
        <w:pStyle w:val="BodyText"/>
        <w:spacing w:line="360" w:lineRule="auto"/>
        <w:ind w:left="2124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ospravedlnený: posl. </w:t>
      </w:r>
      <w:r>
        <w:rPr>
          <w:rFonts w:ascii="Times New Roman" w:hAnsi="Times New Roman" w:cs="Times New Roman"/>
          <w:b/>
          <w:sz w:val="28"/>
        </w:rPr>
        <w:t>G. Gál.</w:t>
      </w: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Schôdza č. 21 b</w:t>
      </w:r>
      <w:r>
        <w:rPr>
          <w:rFonts w:ascii="Times New Roman" w:hAnsi="Times New Roman" w:cs="Times New Roman"/>
          <w:bCs/>
          <w:sz w:val="28"/>
        </w:rPr>
        <w:t xml:space="preserve">ola zvolaná ústne na gestorskom výbore 23. apríla 2003.  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</w:t>
      </w:r>
      <w:r>
        <w:rPr>
          <w:rFonts w:ascii="Times New Roman" w:hAnsi="Times New Roman" w:cs="Times New Roman"/>
          <w:b/>
          <w:sz w:val="28"/>
        </w:rPr>
        <w:t xml:space="preserve">J. Drgonec </w:t>
      </w:r>
      <w:r>
        <w:rPr>
          <w:rFonts w:ascii="Times New Roman" w:hAnsi="Times New Roman" w:cs="Times New Roman"/>
          <w:bCs/>
          <w:sz w:val="28"/>
        </w:rPr>
        <w:t xml:space="preserve">otvoril schôdzu. Konštatoval, že výbor je uznášaniaschopný.  Navrhol schváliť program rokovania. </w:t>
      </w:r>
    </w:p>
    <w:p>
      <w:pPr>
        <w:pStyle w:val="BodyText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Program: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1.  Návrh na začatie konania pred Ústavným súdom Slovenskej re</w:t>
      </w:r>
      <w:r>
        <w:rPr>
          <w:rFonts w:ascii="Times New Roman" w:hAnsi="Times New Roman" w:cs="Times New Roman"/>
          <w:bCs/>
          <w:sz w:val="28"/>
        </w:rPr>
        <w:t xml:space="preserve">publiky 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>
        <w:rPr>
          <w:rFonts w:ascii="Times New Roman" w:hAnsi="Times New Roman" w:cs="Times New Roman"/>
          <w:b/>
          <w:sz w:val="28"/>
        </w:rPr>
        <w:t>návrh skupiny 31 poslancov</w:t>
      </w:r>
      <w:r>
        <w:rPr>
          <w:rFonts w:ascii="Times New Roman" w:hAnsi="Times New Roman" w:cs="Times New Roman"/>
          <w:bCs/>
          <w:sz w:val="28"/>
        </w:rPr>
        <w:t xml:space="preserve"> Národnej rady Slovenskej republiky na  začatie konania o súlade označených ustanovení </w:t>
      </w:r>
      <w:r>
        <w:rPr>
          <w:rFonts w:ascii="Times New Roman" w:hAnsi="Times New Roman" w:cs="Times New Roman"/>
          <w:b/>
          <w:sz w:val="28"/>
        </w:rPr>
        <w:t>zákona č. 223/2001 Z. z. o odpadoch</w:t>
      </w:r>
      <w:r>
        <w:rPr>
          <w:rFonts w:ascii="Times New Roman" w:hAnsi="Times New Roman" w:cs="Times New Roman"/>
          <w:bCs/>
          <w:sz w:val="28"/>
        </w:rPr>
        <w:t xml:space="preserve"> a o zmene a doplnení niektorých zákonov v znení neskorších predpisov </w:t>
      </w:r>
      <w:r>
        <w:rPr>
          <w:rFonts w:ascii="Times New Roman" w:hAnsi="Times New Roman" w:cs="Times New Roman"/>
          <w:b/>
          <w:sz w:val="28"/>
        </w:rPr>
        <w:t>s označenými článkami Ústavy Slovenskej republiky, Listiny základných práv a slobôd a Medzinárodného paktu o občianskych a politických právach,</w:t>
      </w:r>
      <w:r>
        <w:rPr>
          <w:rFonts w:ascii="Times New Roman" w:hAnsi="Times New Roman" w:cs="Times New Roman"/>
          <w:bCs/>
          <w:sz w:val="28"/>
        </w:rPr>
        <w:t xml:space="preserve"> o súlade vykonávacích predpisov so zákonmi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Číslo: </w:t>
      </w:r>
      <w:r>
        <w:rPr>
          <w:rFonts w:ascii="Times New Roman" w:hAnsi="Times New Roman" w:cs="Times New Roman"/>
          <w:b/>
          <w:sz w:val="28"/>
        </w:rPr>
        <w:t>PL.ÚS 3/03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2. Návrh na začatie konania pred Ústavným súdom Slovenskej republiky 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>
        <w:rPr>
          <w:rFonts w:ascii="Times New Roman" w:hAnsi="Times New Roman" w:cs="Times New Roman"/>
          <w:b/>
          <w:sz w:val="28"/>
        </w:rPr>
        <w:t>návr</w:t>
      </w:r>
      <w:r>
        <w:rPr>
          <w:rFonts w:ascii="Times New Roman" w:hAnsi="Times New Roman" w:cs="Times New Roman"/>
          <w:b/>
          <w:sz w:val="28"/>
        </w:rPr>
        <w:t>h generálneho prokurátora</w:t>
      </w:r>
      <w:r>
        <w:rPr>
          <w:rFonts w:ascii="Times New Roman" w:hAnsi="Times New Roman" w:cs="Times New Roman"/>
          <w:bCs/>
          <w:sz w:val="28"/>
        </w:rPr>
        <w:t xml:space="preserve"> Slovenskej republiky (doplnený podaním doručeným 5.  februára 2003) na začatie konania o súlade označených ustanovení </w:t>
      </w:r>
      <w:r>
        <w:rPr>
          <w:rFonts w:ascii="Times New Roman" w:hAnsi="Times New Roman" w:cs="Times New Roman"/>
          <w:b/>
          <w:sz w:val="28"/>
        </w:rPr>
        <w:t>zákona č.  311/2002 Z.z.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o povolaní sestry, o povolaní pôrodnej asistentky, o Slovenskej komore sestier a pôrodn</w:t>
      </w:r>
      <w:r>
        <w:rPr>
          <w:rFonts w:ascii="Times New Roman" w:hAnsi="Times New Roman" w:cs="Times New Roman"/>
          <w:b/>
          <w:sz w:val="28"/>
        </w:rPr>
        <w:t>ých asistentiek</w:t>
      </w:r>
      <w:r>
        <w:rPr>
          <w:rFonts w:ascii="Times New Roman" w:hAnsi="Times New Roman" w:cs="Times New Roman"/>
          <w:bCs/>
          <w:sz w:val="28"/>
        </w:rPr>
        <w:t xml:space="preserve"> a o zmene a doplnení zákona Slovenskej národnej rady č.  14/1992 Zb. </w:t>
      </w:r>
      <w:r>
        <w:rPr>
          <w:rFonts w:ascii="Times New Roman" w:hAnsi="Times New Roman" w:cs="Times New Roman"/>
          <w:b/>
          <w:sz w:val="28"/>
        </w:rPr>
        <w:t xml:space="preserve">o Slovenskej komore stredných zdravotníckych pracovníkov a o Slovenskej komore zubných technikov s Ústavou Slovenskej republiky a Dodatkovým protokolom k Dohovoru o ochrane ľudských práv a základných slobôd 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Číslo: </w:t>
      </w:r>
      <w:r>
        <w:rPr>
          <w:rFonts w:ascii="Times New Roman" w:hAnsi="Times New Roman" w:cs="Times New Roman"/>
          <w:b/>
          <w:sz w:val="28"/>
        </w:rPr>
        <w:t>PL. ÚS 16/03</w:t>
      </w:r>
      <w:r>
        <w:rPr>
          <w:rFonts w:ascii="Times New Roman" w:hAnsi="Times New Roman" w:cs="Times New Roman"/>
          <w:bCs/>
          <w:sz w:val="28"/>
        </w:rPr>
        <w:tab/>
        <w:tab/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>Hlasovanie o programe </w:t>
      </w:r>
      <w:r>
        <w:rPr>
          <w:rFonts w:ascii="Times New Roman" w:hAnsi="Times New Roman" w:cs="Times New Roman"/>
          <w:b/>
          <w:sz w:val="28"/>
        </w:rPr>
        <w:t xml:space="preserve">–  9/0/0. 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1</w:t>
      </w:r>
      <w:r>
        <w:rPr>
          <w:rFonts w:ascii="Times New Roman" w:hAnsi="Times New Roman" w:cs="Times New Roman"/>
          <w:bCs/>
          <w:sz w:val="28"/>
          <w:u w:val="single"/>
        </w:rPr>
        <w:t xml:space="preserve"> 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Návrh na začatie konania pred Ústavným súdom Slovenskej republiky 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návrh skupiny 31 poslancov Národnej rady Slovenskej republiky na  začatie konania o súlade označených ustanovení </w:t>
      </w:r>
      <w:r>
        <w:rPr>
          <w:rFonts w:ascii="Times New Roman" w:hAnsi="Times New Roman" w:cs="Times New Roman"/>
          <w:b/>
          <w:sz w:val="28"/>
        </w:rPr>
        <w:t>zákona č. 223/2001 Z. z. o odpadoch</w:t>
      </w:r>
      <w:r>
        <w:rPr>
          <w:rFonts w:ascii="Times New Roman" w:hAnsi="Times New Roman" w:cs="Times New Roman"/>
          <w:bCs/>
          <w:sz w:val="28"/>
        </w:rPr>
        <w:t xml:space="preserve"> a o zmene a doplnení niektorých zákonov v znení neskorších predpisov s označenými článkami Ústavy Slovenskej republiky, Listiny základných práv a slobôd a Medzinárodného paktu o občianskych</w:t>
      </w:r>
      <w:r>
        <w:rPr>
          <w:rFonts w:ascii="Times New Roman" w:hAnsi="Times New Roman" w:cs="Times New Roman"/>
          <w:bCs/>
          <w:sz w:val="28"/>
        </w:rPr>
        <w:t xml:space="preserve"> a politických právach, o súlade vykonávacích predpisov so zákonmi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Číslo: PL.ÚS 3/03.</w:t>
        <w:tab/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sz w:val="28"/>
        </w:rPr>
        <w:t>J. Drgonec</w:t>
      </w:r>
      <w:r>
        <w:rPr>
          <w:rFonts w:ascii="Times New Roman" w:hAnsi="Times New Roman" w:cs="Times New Roman"/>
          <w:bCs/>
          <w:sz w:val="28"/>
        </w:rPr>
        <w:t xml:space="preserve"> informoval, že k návrhu predložil stanovisko odbor legislatívy a aproximácie práva Kancelárie Národnej rady (ďalej len „stanovisko LOAP“), ktoré je značne všeobecné a akceptuje výhrady navrhovateľa.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>Následne, predložil písomný materiál, v ktorom vyvrátil výhrady skupiny poslancov.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V ústnom vystúpení sa dotkol predovšetkým súladu s čl. 59 ods. 2 (dane a poplatky na základe a v rámci zákona, teda nie podzákonnými normami), s čl. 44 ods. 4 a čl. 55 ods. 1 ústavy zriadenie a zloženie Recyklačného fondu a v súvislosti s tým vykonávanie štátneho dohľadu ako i vzájomných súvislostí niektorých ďalších ustanovení zákona. Hovoril tiež o navrhovateľom namietanej obsolentnosti niektorých ustanovení. V prípade, že Ústavný súd rozhodne o nesúlade niektorých ustanovení napadnutého zákona s ústavou, k obsolentnosti dôjde, potvrdil. Nie je však úlohou Ústavného súdu týmto sa zaoberať. Podrobná argumentácia je uvedená v pripojenom stanovisku, ktoré vychádza z prezumpcie, že zákon je v súlade s ústavou. 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Hlasovanie o uznesení č. 117: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  <w:tab/>
        <w:t>Ústavnoprávny výbor Národnej rady Slovenskej republiky</w:t>
      </w:r>
    </w:p>
    <w:p>
      <w:pPr>
        <w:pStyle w:val="Heading3"/>
        <w:ind w:left="990" w:hanging="27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o d p o r ú č a </w:t>
      </w:r>
    </w:p>
    <w:p>
      <w:pPr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ind w:left="72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predsedovi Národnej rady Slovenskej republiky</w:t>
      </w:r>
    </w:p>
    <w:p>
      <w:pPr>
        <w:ind w:left="720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Heading1"/>
        <w:numPr>
          <w:ilvl w:val="0"/>
          <w:numId w:val="217"/>
        </w:numPr>
        <w:tabs>
          <w:tab w:val="left" w:pos="540"/>
          <w:tab w:val="left" w:pos="1080"/>
          <w:tab w:val="left" w:pos="1800"/>
        </w:tabs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zaslať </w:t>
      </w:r>
      <w:r>
        <w:rPr>
          <w:rFonts w:ascii="Times New Roman" w:hAnsi="Times New Roman" w:cs="Times New Roman"/>
          <w:sz w:val="28"/>
        </w:rPr>
        <w:t>písomné stanovisko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Národnej rady Slovenskej republiky, spracované Ústavnoprávnym výborom Národnej rady Slovenskej republiky, </w:t>
      </w:r>
    </w:p>
    <w:p>
      <w:pPr>
        <w:pStyle w:val="BodyTextIndent2"/>
        <w:ind w:firstLine="720"/>
        <w:rPr>
          <w:rFonts w:ascii="Times New Roman" w:hAnsi="Times New Roman" w:cs="Times New Roman"/>
          <w:b/>
          <w:bCs w:val="0"/>
          <w:sz w:val="28"/>
        </w:rPr>
      </w:pPr>
    </w:p>
    <w:p>
      <w:pPr>
        <w:pStyle w:val="BodyTextIndent2"/>
        <w:spacing w:line="360" w:lineRule="auto"/>
        <w:ind w:left="72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  trvať </w:t>
      </w:r>
      <w:r>
        <w:rPr>
          <w:rFonts w:ascii="Times New Roman" w:hAnsi="Times New Roman" w:cs="Times New Roman"/>
          <w:b/>
          <w:bCs w:val="0"/>
          <w:sz w:val="28"/>
        </w:rPr>
        <w:t>na verejnom ústnom pojednávaní,</w:t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Indent2"/>
        <w:ind w:left="720" w:firstLine="0"/>
        <w:jc w:val="both"/>
        <w:rPr>
          <w:rFonts w:ascii="Times New Roman" w:hAnsi="Times New Roman" w:cs="Times New Roman"/>
          <w:sz w:val="28"/>
        </w:rPr>
      </w:pPr>
    </w:p>
    <w:p>
      <w:pPr>
        <w:pStyle w:val="BodyTextIndent2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b/>
          <w:bCs w:val="0"/>
          <w:sz w:val="28"/>
        </w:rPr>
        <w:t xml:space="preserve">poveriť </w:t>
      </w:r>
      <w:r>
        <w:rPr>
          <w:rFonts w:ascii="Times New Roman" w:hAnsi="Times New Roman" w:cs="Times New Roman"/>
          <w:sz w:val="28"/>
        </w:rPr>
        <w:t xml:space="preserve">poslanca </w:t>
      </w:r>
      <w:r>
        <w:rPr>
          <w:rFonts w:ascii="Times New Roman" w:hAnsi="Times New Roman" w:cs="Times New Roman"/>
          <w:b/>
          <w:bCs w:val="0"/>
          <w:sz w:val="28"/>
        </w:rPr>
        <w:t>Jána Drgonca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 w:val="0"/>
          <w:sz w:val="28"/>
        </w:rPr>
        <w:t xml:space="preserve">zastupovaním </w:t>
      </w:r>
      <w:r>
        <w:rPr>
          <w:rFonts w:ascii="Times New Roman" w:hAnsi="Times New Roman" w:cs="Times New Roman"/>
          <w:sz w:val="28"/>
        </w:rPr>
        <w:t>Národnej rady Slovenskej   republiky</w:t>
      </w:r>
      <w:r>
        <w:rPr>
          <w:rFonts w:ascii="Times New Roman" w:hAnsi="Times New Roman" w:cs="Times New Roman"/>
          <w:b/>
          <w:bCs w:val="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v konaní pred Ústavným súdom Slovenskej republiky</w:t>
      </w:r>
    </w:p>
    <w:p>
      <w:pPr>
        <w:pStyle w:val="BodyTextIndent2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– 8/0/1.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2</w:t>
      </w:r>
      <w:r>
        <w:rPr>
          <w:rFonts w:ascii="Times New Roman" w:hAnsi="Times New Roman" w:cs="Times New Roman"/>
          <w:bCs/>
          <w:sz w:val="28"/>
          <w:u w:val="single"/>
        </w:rPr>
        <w:t xml:space="preserve"> 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Návrh na začatie konania pred Ústavným súdom Slovenskej republiky 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návrh generálneho prokurátora Slovenskej republiky (doplnený podaním doručeným 5.  februára 2003) na začatie konania o súlade označených ustanovení </w:t>
      </w:r>
      <w:r>
        <w:rPr>
          <w:rFonts w:ascii="Times New Roman" w:hAnsi="Times New Roman" w:cs="Times New Roman"/>
          <w:b/>
          <w:sz w:val="28"/>
        </w:rPr>
        <w:t>zákona č.  311/2002 Z.z.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o povolaní sestry, o povolaní pôrodnej asistentky, o Slovenskej komore sestier a pôrodných asistentiek</w:t>
      </w:r>
      <w:r>
        <w:rPr>
          <w:rFonts w:ascii="Times New Roman" w:hAnsi="Times New Roman" w:cs="Times New Roman"/>
          <w:bCs/>
          <w:sz w:val="28"/>
        </w:rPr>
        <w:t xml:space="preserve"> a o zmene a doplnení zákona Slovenskej národnej rady č.  14/1992 Zb. </w:t>
      </w:r>
      <w:r>
        <w:rPr>
          <w:rFonts w:ascii="Times New Roman" w:hAnsi="Times New Roman" w:cs="Times New Roman"/>
          <w:b/>
          <w:sz w:val="28"/>
        </w:rPr>
        <w:t>o Slovenskej komore stredn</w:t>
      </w:r>
      <w:r>
        <w:rPr>
          <w:rFonts w:ascii="Times New Roman" w:hAnsi="Times New Roman" w:cs="Times New Roman"/>
          <w:b/>
          <w:sz w:val="28"/>
        </w:rPr>
        <w:t xml:space="preserve">ých zdravotníckych pracovníkov a o Slovenskej komore zubných technikov </w:t>
      </w:r>
      <w:r>
        <w:rPr>
          <w:rFonts w:ascii="Times New Roman" w:hAnsi="Times New Roman" w:cs="Times New Roman"/>
          <w:bCs/>
          <w:sz w:val="28"/>
        </w:rPr>
        <w:t xml:space="preserve">s Ústavou Slovenskej republiky a Dodatkovým protokolom k Dohovoru o ochrane ľudských práv a základných slobôd 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Číslo: PL. ÚS 16/03.</w:t>
        <w:tab/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K veci opäť informoval predseda výboru </w:t>
      </w:r>
      <w:r>
        <w:rPr>
          <w:rFonts w:ascii="Times New Roman" w:hAnsi="Times New Roman" w:cs="Times New Roman"/>
          <w:b/>
          <w:sz w:val="28"/>
        </w:rPr>
        <w:t>J. Drgonec</w:t>
      </w:r>
      <w:r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Konštatoval, že stanovisko LOAP Kancelárie Národnej rady sa zaoberá napadnutými ustanoveniami zákona analyticky, až na určité detaily možno s ním súhlasiť, tiež s prijatými tézami, že zákon nie je v súlade s ústavou. Podrobnejšie potom rozobral jednotlivé tézy prijaté v stanovisku LOAP vo vzťahu k napadnutým ustanoveniam zákona a ich súladu (nesúladu) s ústavou.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Diskusia sa sústredila na otázky povinného členstva v profesnej komore, jeho súladu s ústavou, so Zákonníkom práce (poslanci J. </w:t>
      </w:r>
      <w:r>
        <w:rPr>
          <w:rFonts w:ascii="Times New Roman" w:hAnsi="Times New Roman" w:cs="Times New Roman"/>
          <w:b/>
          <w:sz w:val="28"/>
        </w:rPr>
        <w:t>Laššáková,</w:t>
      </w:r>
      <w:r>
        <w:rPr>
          <w:rFonts w:ascii="Times New Roman" w:hAnsi="Times New Roman" w:cs="Times New Roman"/>
          <w:sz w:val="28"/>
        </w:rPr>
        <w:t xml:space="preserve"> R. </w:t>
      </w:r>
      <w:r>
        <w:rPr>
          <w:rFonts w:ascii="Times New Roman" w:hAnsi="Times New Roman" w:cs="Times New Roman"/>
          <w:b/>
          <w:sz w:val="28"/>
        </w:rPr>
        <w:t>Ma</w:t>
      </w:r>
      <w:r>
        <w:rPr>
          <w:rFonts w:ascii="Times New Roman" w:hAnsi="Times New Roman" w:cs="Times New Roman"/>
          <w:b/>
          <w:sz w:val="28"/>
        </w:rPr>
        <w:t>dej,</w:t>
      </w:r>
      <w:r>
        <w:rPr>
          <w:rFonts w:ascii="Times New Roman" w:hAnsi="Times New Roman" w:cs="Times New Roman"/>
          <w:sz w:val="28"/>
        </w:rPr>
        <w:t xml:space="preserve"> P. </w:t>
      </w:r>
      <w:r>
        <w:rPr>
          <w:rFonts w:ascii="Times New Roman" w:hAnsi="Times New Roman" w:cs="Times New Roman"/>
          <w:b/>
          <w:sz w:val="28"/>
        </w:rPr>
        <w:t>Miššík,</w:t>
      </w:r>
      <w:r>
        <w:rPr>
          <w:rFonts w:ascii="Times New Roman" w:hAnsi="Times New Roman" w:cs="Times New Roman"/>
          <w:sz w:val="28"/>
        </w:rPr>
        <w:t xml:space="preserve"> M. </w:t>
      </w:r>
      <w:r>
        <w:rPr>
          <w:rFonts w:ascii="Times New Roman" w:hAnsi="Times New Roman" w:cs="Times New Roman"/>
          <w:b/>
          <w:sz w:val="28"/>
        </w:rPr>
        <w:t xml:space="preserve">Abelovský </w:t>
      </w:r>
      <w:r>
        <w:rPr>
          <w:rFonts w:ascii="Times New Roman" w:hAnsi="Times New Roman" w:cs="Times New Roman"/>
          <w:sz w:val="28"/>
        </w:rPr>
        <w:t xml:space="preserve">a S. </w:t>
      </w:r>
      <w:r>
        <w:rPr>
          <w:rFonts w:ascii="Times New Roman" w:hAnsi="Times New Roman" w:cs="Times New Roman"/>
          <w:b/>
          <w:sz w:val="28"/>
        </w:rPr>
        <w:t>Husár</w:t>
      </w:r>
      <w:r>
        <w:rPr>
          <w:rFonts w:ascii="Times New Roman" w:hAnsi="Times New Roman" w:cs="Times New Roman"/>
          <w:sz w:val="28"/>
        </w:rPr>
        <w:t xml:space="preserve">). Poukázali na rozdiely oproti komorám združujúcim iné profesie (najmä právnické), najmä, že tieto povolania sa vykonávajú výlučne na súkromnom princípe, okrem klienta ich prácu vlastne nik nekontroluje. Sestry pôsobia aj v štátnom sektore, pričom komora im pomoc poskytuje viac-menej formálne. Napriek určitým rozdielom v názoroch, priklonili sa členovia výboru k záveru, že v povolaniach, ktoré zasahujú do života iných, je treba zabezpečiť permanentné vzdelávanie, čo musí zabezpečiť príslušná profesná komora. Je tiež treba prostredníctvom komôr zabezpečiť určitú reguláciu a kontrolu. </w:t>
      </w: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bCs/>
          <w:sz w:val="28"/>
        </w:rPr>
        <w:t xml:space="preserve">Poslanec </w:t>
      </w:r>
      <w:r>
        <w:rPr>
          <w:rFonts w:ascii="Times New Roman" w:hAnsi="Times New Roman" w:cs="Times New Roman"/>
          <w:sz w:val="28"/>
        </w:rPr>
        <w:t>J. Miklušičák</w:t>
      </w:r>
      <w:r>
        <w:rPr>
          <w:rFonts w:ascii="Times New Roman" w:hAnsi="Times New Roman" w:cs="Times New Roman"/>
          <w:b w:val="0"/>
          <w:bCs/>
          <w:sz w:val="28"/>
        </w:rPr>
        <w:t xml:space="preserve"> vo svojom vystúpení vyjadril názor, že členstvo v akejkoľvek profesnej komore by malo byť len na princípe dobrovoľnosti a ich hlavnou úlohou by mal byť záujem na ďalšom vzdelávaní združených členov. </w:t>
      </w: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bCs/>
          <w:sz w:val="28"/>
        </w:rPr>
        <w:t xml:space="preserve">V závere ešte poslanec </w:t>
      </w:r>
      <w:r>
        <w:rPr>
          <w:rFonts w:ascii="Times New Roman" w:hAnsi="Times New Roman" w:cs="Times New Roman"/>
          <w:sz w:val="28"/>
        </w:rPr>
        <w:t>R. Madej</w:t>
      </w:r>
      <w:r>
        <w:rPr>
          <w:rFonts w:ascii="Times New Roman" w:hAnsi="Times New Roman" w:cs="Times New Roman"/>
          <w:b w:val="0"/>
          <w:bCs/>
          <w:sz w:val="28"/>
        </w:rPr>
        <w:t xml:space="preserve"> poukázal na rozdiel úpravy v Rakúsku, kde komora </w:t>
      </w:r>
      <w:r>
        <w:rPr>
          <w:rFonts w:ascii="Times New Roman" w:hAnsi="Times New Roman" w:cs="Times New Roman"/>
          <w:sz w:val="28"/>
        </w:rPr>
        <w:t xml:space="preserve">zabezpečuje </w:t>
      </w:r>
      <w:r>
        <w:rPr>
          <w:rFonts w:ascii="Times New Roman" w:hAnsi="Times New Roman" w:cs="Times New Roman"/>
          <w:b w:val="0"/>
          <w:bCs/>
          <w:sz w:val="28"/>
        </w:rPr>
        <w:t xml:space="preserve">právnu pomoc, zatiaľ, čo u nás iba </w:t>
      </w:r>
      <w:r>
        <w:rPr>
          <w:rFonts w:ascii="Times New Roman" w:hAnsi="Times New Roman" w:cs="Times New Roman"/>
          <w:sz w:val="28"/>
        </w:rPr>
        <w:t>sprostredkúva</w:t>
      </w:r>
      <w:r>
        <w:rPr>
          <w:rFonts w:ascii="Times New Roman" w:hAnsi="Times New Roman" w:cs="Times New Roman"/>
          <w:b w:val="0"/>
          <w:bCs/>
          <w:sz w:val="28"/>
        </w:rPr>
        <w:t xml:space="preserve"> túto pomoc. Ustanovenie sa</w:t>
      </w:r>
      <w:r>
        <w:rPr>
          <w:rFonts w:ascii="Times New Roman" w:hAnsi="Times New Roman" w:cs="Times New Roman"/>
          <w:b w:val="0"/>
          <w:bCs/>
          <w:sz w:val="28"/>
        </w:rPr>
        <w:t xml:space="preserve"> takouto formuláciou stáva vágne.</w:t>
      </w: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navrhol </w:t>
      </w:r>
      <w:r>
        <w:rPr>
          <w:rFonts w:ascii="Times New Roman" w:hAnsi="Times New Roman" w:cs="Times New Roman"/>
          <w:b/>
          <w:sz w:val="28"/>
        </w:rPr>
        <w:t xml:space="preserve">hlasovať o uznesení č. 116: 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  <w:tab/>
        <w:t>Ústavnoprávny výbor Národnej rady Slovenskej republiky</w:t>
      </w:r>
    </w:p>
    <w:p>
      <w:pPr>
        <w:pStyle w:val="Heading3"/>
        <w:spacing w:line="360" w:lineRule="auto"/>
        <w:ind w:left="990" w:hanging="27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o d p o r ú č a </w:t>
      </w:r>
    </w:p>
    <w:p>
      <w:pPr>
        <w:ind w:left="720"/>
        <w:rPr>
          <w:rFonts w:ascii="Times New Roman" w:hAnsi="Times New Roman" w:cs="Times New Roman"/>
          <w:bCs/>
          <w:sz w:val="28"/>
        </w:rPr>
      </w:pPr>
    </w:p>
    <w:p>
      <w:pPr>
        <w:spacing w:line="360" w:lineRule="auto"/>
        <w:ind w:left="72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predsedovi Národnej rady Slovenskej republiky</w:t>
      </w:r>
    </w:p>
    <w:p>
      <w:pPr>
        <w:ind w:left="720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Heading1"/>
        <w:numPr>
          <w:ilvl w:val="0"/>
          <w:numId w:val="217"/>
        </w:numPr>
        <w:tabs>
          <w:tab w:val="left" w:pos="540"/>
          <w:tab w:val="left" w:pos="1080"/>
          <w:tab w:val="left" w:pos="1800"/>
        </w:tabs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zaslať </w:t>
      </w:r>
      <w:r>
        <w:rPr>
          <w:rFonts w:ascii="Times New Roman" w:hAnsi="Times New Roman" w:cs="Times New Roman"/>
          <w:sz w:val="28"/>
        </w:rPr>
        <w:t>písomné stanovisko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Národnej rady Sloven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skej republiky, spracované Ústavnoprávnym výborom Národnej rady Slovenskej republiky, </w:t>
      </w:r>
    </w:p>
    <w:p>
      <w:pPr>
        <w:pStyle w:val="BodyTextIndent2"/>
        <w:ind w:firstLine="720"/>
        <w:rPr>
          <w:rFonts w:ascii="Times New Roman" w:hAnsi="Times New Roman" w:cs="Times New Roman"/>
          <w:b/>
          <w:bCs w:val="0"/>
          <w:sz w:val="28"/>
        </w:rPr>
      </w:pPr>
    </w:p>
    <w:p>
      <w:pPr>
        <w:pStyle w:val="BodyTextIndent2"/>
        <w:spacing w:line="360" w:lineRule="auto"/>
        <w:ind w:left="72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  trvať </w:t>
      </w:r>
      <w:r>
        <w:rPr>
          <w:rFonts w:ascii="Times New Roman" w:hAnsi="Times New Roman" w:cs="Times New Roman"/>
          <w:b/>
          <w:bCs w:val="0"/>
          <w:sz w:val="28"/>
        </w:rPr>
        <w:t>na verejnom ústnom pojednávaní,</w:t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Indent2"/>
        <w:ind w:left="720" w:firstLine="0"/>
        <w:jc w:val="both"/>
        <w:rPr>
          <w:rFonts w:ascii="Times New Roman" w:hAnsi="Times New Roman" w:cs="Times New Roman"/>
          <w:sz w:val="28"/>
        </w:rPr>
      </w:pPr>
    </w:p>
    <w:p>
      <w:pPr>
        <w:pStyle w:val="BodyTextIndent2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b/>
          <w:bCs w:val="0"/>
          <w:sz w:val="28"/>
        </w:rPr>
        <w:t xml:space="preserve">poveriť </w:t>
      </w:r>
      <w:r>
        <w:rPr>
          <w:rFonts w:ascii="Times New Roman" w:hAnsi="Times New Roman" w:cs="Times New Roman"/>
          <w:sz w:val="28"/>
        </w:rPr>
        <w:t xml:space="preserve">poslanca </w:t>
      </w:r>
      <w:r>
        <w:rPr>
          <w:rFonts w:ascii="Times New Roman" w:hAnsi="Times New Roman" w:cs="Times New Roman"/>
          <w:b/>
          <w:bCs w:val="0"/>
          <w:sz w:val="28"/>
        </w:rPr>
        <w:t>Jána Drgonca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 w:val="0"/>
          <w:sz w:val="28"/>
        </w:rPr>
        <w:t xml:space="preserve">zastupovaním </w:t>
      </w:r>
      <w:r>
        <w:rPr>
          <w:rFonts w:ascii="Times New Roman" w:hAnsi="Times New Roman" w:cs="Times New Roman"/>
          <w:sz w:val="28"/>
        </w:rPr>
        <w:t>Národnej rady Slovenskej   republiky</w:t>
      </w:r>
      <w:r>
        <w:rPr>
          <w:rFonts w:ascii="Times New Roman" w:hAnsi="Times New Roman" w:cs="Times New Roman"/>
          <w:b/>
          <w:bCs w:val="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v konaní pred Ústavným súdom Slovenskej </w:t>
      </w:r>
      <w:r>
        <w:rPr>
          <w:rFonts w:ascii="Times New Roman" w:hAnsi="Times New Roman" w:cs="Times New Roman"/>
          <w:sz w:val="28"/>
        </w:rPr>
        <w:t>republiky</w:t>
      </w: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 10/0/0.</w:t>
      </w: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  <w:sz w:val="28"/>
        </w:rPr>
        <w:t>Všetky písomnosti, na ktoré sa zápisnica odvoláva, sú jej súčasťou</w:t>
      </w:r>
      <w:r>
        <w:rPr>
          <w:rFonts w:ascii="Times New Roman" w:hAnsi="Times New Roman" w:cs="Times New Roman"/>
          <w:b w:val="0"/>
          <w:bCs/>
        </w:rPr>
        <w:t>.</w:t>
      </w:r>
    </w:p>
    <w:p>
      <w:pPr>
        <w:spacing w:line="360" w:lineRule="auto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 xml:space="preserve">   Ján Drgonec</w:t>
      </w: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predseda výboru</w:t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Róbert Madej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overovateľ</w:t>
      </w:r>
    </w:p>
    <w:p>
      <w:pPr>
        <w:spacing w:line="360" w:lineRule="auto"/>
        <w:jc w:val="both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2C1DBA"/>
    <w:multiLevelType w:val="hybridMultilevel"/>
    <w:tmpl w:val="3800C9B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1">
    <w:nsid w:val="05786D0A"/>
    <w:multiLevelType w:val="hybridMultilevel"/>
    <w:tmpl w:val="AD68FA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737741E"/>
    <w:multiLevelType w:val="hybridMultilevel"/>
    <w:tmpl w:val="EA36D5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6">
    <w:nsid w:val="08B77BC6"/>
    <w:multiLevelType w:val="hybridMultilevel"/>
    <w:tmpl w:val="A3321F4E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8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9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0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2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33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34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6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39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41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2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4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6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7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52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3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5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6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158D01A2"/>
    <w:multiLevelType w:val="hybridMultilevel"/>
    <w:tmpl w:val="2BA8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60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7F53554"/>
    <w:multiLevelType w:val="hybridMultilevel"/>
    <w:tmpl w:val="1C2654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63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4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5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7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8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9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1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72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4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6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7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8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79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82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3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4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5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8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90">
    <w:nsid w:val="25EA42D1"/>
    <w:multiLevelType w:val="hybridMultilevel"/>
    <w:tmpl w:val="4E46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3">
    <w:nsid w:val="26C9147F"/>
    <w:multiLevelType w:val="hybridMultilevel"/>
    <w:tmpl w:val="10029F2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95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6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7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8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9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1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2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3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05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6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8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9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0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1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12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3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4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5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6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7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34474EF1"/>
    <w:multiLevelType w:val="hybridMultilevel"/>
    <w:tmpl w:val="91CA72CE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67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9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0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1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22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3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4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5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7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8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9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0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31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3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8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1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42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43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6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50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2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53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54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5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9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0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1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2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3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510505B7"/>
    <w:multiLevelType w:val="hybridMultilevel"/>
    <w:tmpl w:val="DD8A7206"/>
    <w:lvl w:ilvl="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66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7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8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70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71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2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73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75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7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9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80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1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2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83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>
    <w:nsid w:val="587D0B2F"/>
    <w:multiLevelType w:val="hybridMultilevel"/>
    <w:tmpl w:val="747894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7">
    <w:nsid w:val="59DE5819"/>
    <w:multiLevelType w:val="hybridMultilevel"/>
    <w:tmpl w:val="EA94AD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9">
    <w:nsid w:val="5B9A69EF"/>
    <w:multiLevelType w:val="hybridMultilevel"/>
    <w:tmpl w:val="6ACEC1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0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91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2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193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94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5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96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97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>
    <w:nsid w:val="61DF7D63"/>
    <w:multiLevelType w:val="hybridMultilevel"/>
    <w:tmpl w:val="9822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0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1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2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203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204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6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07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8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210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1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2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13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4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15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6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7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18">
    <w:nsid w:val="6F607688"/>
    <w:multiLevelType w:val="hybridMultilevel"/>
    <w:tmpl w:val="D98C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0">
    <w:nsid w:val="70122ADA"/>
    <w:multiLevelType w:val="hybridMultilevel"/>
    <w:tmpl w:val="7682E5A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1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22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23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4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5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7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8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9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31">
    <w:nsid w:val="76F84A77"/>
    <w:multiLevelType w:val="hybridMultilevel"/>
    <w:tmpl w:val="01B03BF0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232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4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>
    <w:nsid w:val="78DD0496"/>
    <w:multiLevelType w:val="hybridMultilevel"/>
    <w:tmpl w:val="152450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6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38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9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0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41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2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3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4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45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6">
    <w:nsid w:val="7DEB7219"/>
    <w:multiLevelType w:val="hybridMultilevel"/>
    <w:tmpl w:val="5B7AB3D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7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48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0"/>
  </w:num>
  <w:num w:numId="2">
    <w:abstractNumId w:val="247"/>
  </w:num>
  <w:num w:numId="3">
    <w:abstractNumId w:val="167"/>
  </w:num>
  <w:num w:numId="4">
    <w:abstractNumId w:val="197"/>
  </w:num>
  <w:num w:numId="5">
    <w:abstractNumId w:val="225"/>
  </w:num>
  <w:num w:numId="6">
    <w:abstractNumId w:val="135"/>
  </w:num>
  <w:num w:numId="7">
    <w:abstractNumId w:val="204"/>
  </w:num>
  <w:num w:numId="8">
    <w:abstractNumId w:val="232"/>
  </w:num>
  <w:num w:numId="9">
    <w:abstractNumId w:val="36"/>
  </w:num>
  <w:num w:numId="10">
    <w:abstractNumId w:val="155"/>
  </w:num>
  <w:num w:numId="11">
    <w:abstractNumId w:val="94"/>
  </w:num>
  <w:num w:numId="12">
    <w:abstractNumId w:val="180"/>
  </w:num>
  <w:num w:numId="13">
    <w:abstractNumId w:val="171"/>
  </w:num>
  <w:num w:numId="14">
    <w:abstractNumId w:val="83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6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24"/>
  </w:num>
  <w:num w:numId="28">
    <w:abstractNumId w:val="200"/>
  </w:num>
  <w:num w:numId="29">
    <w:abstractNumId w:val="242"/>
  </w:num>
  <w:num w:numId="30">
    <w:abstractNumId w:val="22"/>
  </w:num>
  <w:num w:numId="31">
    <w:abstractNumId w:val="228"/>
  </w:num>
  <w:num w:numId="32">
    <w:abstractNumId w:val="31"/>
  </w:num>
  <w:num w:numId="33">
    <w:abstractNumId w:val="201"/>
  </w:num>
  <w:num w:numId="34">
    <w:abstractNumId w:val="227"/>
  </w:num>
  <w:num w:numId="35">
    <w:abstractNumId w:val="199"/>
  </w:num>
  <w:num w:numId="36">
    <w:abstractNumId w:val="238"/>
  </w:num>
  <w:num w:numId="37">
    <w:abstractNumId w:val="240"/>
  </w:num>
  <w:num w:numId="38">
    <w:abstractNumId w:val="52"/>
  </w:num>
  <w:num w:numId="39">
    <w:abstractNumId w:val="221"/>
  </w:num>
  <w:num w:numId="40">
    <w:abstractNumId w:val="141"/>
  </w:num>
  <w:num w:numId="41">
    <w:abstractNumId w:val="194"/>
  </w:num>
  <w:num w:numId="42">
    <w:abstractNumId w:val="124"/>
  </w:num>
  <w:num w:numId="43">
    <w:abstractNumId w:val="40"/>
  </w:num>
  <w:num w:numId="44">
    <w:abstractNumId w:val="29"/>
  </w:num>
  <w:num w:numId="45">
    <w:abstractNumId w:val="222"/>
  </w:num>
  <w:num w:numId="46">
    <w:abstractNumId w:val="216"/>
  </w:num>
  <w:num w:numId="47">
    <w:abstractNumId w:val="193"/>
  </w:num>
  <w:num w:numId="48">
    <w:abstractNumId w:val="32"/>
  </w:num>
  <w:num w:numId="49">
    <w:abstractNumId w:val="17"/>
  </w:num>
  <w:num w:numId="50">
    <w:abstractNumId w:val="178"/>
  </w:num>
  <w:num w:numId="51">
    <w:abstractNumId w:val="84"/>
  </w:num>
  <w:num w:numId="52">
    <w:abstractNumId w:val="158"/>
  </w:num>
  <w:num w:numId="53">
    <w:abstractNumId w:val="151"/>
  </w:num>
  <w:num w:numId="54">
    <w:abstractNumId w:val="101"/>
  </w:num>
  <w:num w:numId="55">
    <w:abstractNumId w:val="116"/>
  </w:num>
  <w:num w:numId="56">
    <w:abstractNumId w:val="114"/>
  </w:num>
  <w:num w:numId="57">
    <w:abstractNumId w:val="68"/>
  </w:num>
  <w:num w:numId="58">
    <w:abstractNumId w:val="113"/>
  </w:num>
  <w:num w:numId="59">
    <w:abstractNumId w:val="209"/>
  </w:num>
  <w:num w:numId="60">
    <w:abstractNumId w:val="241"/>
  </w:num>
  <w:num w:numId="61">
    <w:abstractNumId w:val="214"/>
  </w:num>
  <w:num w:numId="62">
    <w:abstractNumId w:val="51"/>
  </w:num>
  <w:num w:numId="63">
    <w:abstractNumId w:val="186"/>
  </w:num>
  <w:num w:numId="64">
    <w:abstractNumId w:val="170"/>
  </w:num>
  <w:num w:numId="65">
    <w:abstractNumId w:val="97"/>
  </w:num>
  <w:num w:numId="66">
    <w:abstractNumId w:val="38"/>
  </w:num>
  <w:num w:numId="67">
    <w:abstractNumId w:val="153"/>
  </w:num>
  <w:num w:numId="68">
    <w:abstractNumId w:val="217"/>
  </w:num>
  <w:num w:numId="69">
    <w:abstractNumId w:val="54"/>
  </w:num>
  <w:num w:numId="70">
    <w:abstractNumId w:val="172"/>
  </w:num>
  <w:num w:numId="71">
    <w:abstractNumId w:val="27"/>
  </w:num>
  <w:num w:numId="72">
    <w:abstractNumId w:val="196"/>
  </w:num>
  <w:num w:numId="73">
    <w:abstractNumId w:val="244"/>
  </w:num>
  <w:num w:numId="74">
    <w:abstractNumId w:val="206"/>
  </w:num>
  <w:num w:numId="75">
    <w:abstractNumId w:val="145"/>
  </w:num>
  <w:num w:numId="76">
    <w:abstractNumId w:val="207"/>
  </w:num>
  <w:num w:numId="77">
    <w:abstractNumId w:val="111"/>
  </w:num>
  <w:num w:numId="78">
    <w:abstractNumId w:val="59"/>
  </w:num>
  <w:num w:numId="79">
    <w:abstractNumId w:val="89"/>
  </w:num>
  <w:num w:numId="80">
    <w:abstractNumId w:val="160"/>
  </w:num>
  <w:num w:numId="81">
    <w:abstractNumId w:val="45"/>
  </w:num>
  <w:num w:numId="82">
    <w:abstractNumId w:val="137"/>
  </w:num>
  <w:num w:numId="83">
    <w:abstractNumId w:val="13"/>
  </w:num>
  <w:num w:numId="84">
    <w:abstractNumId w:val="16"/>
  </w:num>
  <w:num w:numId="85">
    <w:abstractNumId w:val="33"/>
  </w:num>
  <w:num w:numId="86">
    <w:abstractNumId w:val="128"/>
  </w:num>
  <w:num w:numId="87">
    <w:abstractNumId w:val="100"/>
  </w:num>
  <w:num w:numId="88">
    <w:abstractNumId w:val="75"/>
  </w:num>
  <w:num w:numId="89">
    <w:abstractNumId w:val="149"/>
  </w:num>
  <w:num w:numId="90">
    <w:abstractNumId w:val="132"/>
  </w:num>
  <w:num w:numId="91">
    <w:abstractNumId w:val="98"/>
  </w:num>
  <w:num w:numId="92">
    <w:abstractNumId w:val="203"/>
  </w:num>
  <w:num w:numId="93">
    <w:abstractNumId w:val="226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09"/>
  </w:num>
  <w:num w:numId="96">
    <w:abstractNumId w:val="115"/>
  </w:num>
  <w:num w:numId="97">
    <w:abstractNumId w:val="243"/>
  </w:num>
  <w:num w:numId="98">
    <w:abstractNumId w:val="152"/>
  </w:num>
  <w:num w:numId="99">
    <w:abstractNumId w:val="122"/>
  </w:num>
  <w:num w:numId="100">
    <w:abstractNumId w:val="154"/>
  </w:num>
  <w:num w:numId="101">
    <w:abstractNumId w:val="159"/>
  </w:num>
  <w:num w:numId="102">
    <w:abstractNumId w:val="142"/>
  </w:num>
  <w:num w:numId="103">
    <w:abstractNumId w:val="119"/>
  </w:num>
  <w:num w:numId="104">
    <w:abstractNumId w:val="211"/>
  </w:num>
  <w:num w:numId="105">
    <w:abstractNumId w:val="130"/>
  </w:num>
  <w:num w:numId="106">
    <w:abstractNumId w:val="192"/>
  </w:num>
  <w:num w:numId="107">
    <w:abstractNumId w:val="20"/>
  </w:num>
  <w:num w:numId="108">
    <w:abstractNumId w:val="25"/>
  </w:num>
  <w:num w:numId="109">
    <w:abstractNumId w:val="212"/>
  </w:num>
  <w:num w:numId="110">
    <w:abstractNumId w:val="55"/>
  </w:num>
  <w:num w:numId="111">
    <w:abstractNumId w:val="126"/>
  </w:num>
  <w:num w:numId="112">
    <w:abstractNumId w:val="239"/>
  </w:num>
  <w:num w:numId="113">
    <w:abstractNumId w:val="108"/>
  </w:num>
  <w:num w:numId="114">
    <w:abstractNumId w:val="72"/>
  </w:num>
  <w:num w:numId="115">
    <w:abstractNumId w:val="188"/>
  </w:num>
  <w:num w:numId="116">
    <w:abstractNumId w:val="245"/>
  </w:num>
  <w:num w:numId="117">
    <w:abstractNumId w:val="50"/>
  </w:num>
  <w:num w:numId="118">
    <w:abstractNumId w:val="219"/>
  </w:num>
  <w:num w:numId="119">
    <w:abstractNumId w:val="65"/>
  </w:num>
  <w:num w:numId="120">
    <w:abstractNumId w:val="102"/>
  </w:num>
  <w:num w:numId="121">
    <w:abstractNumId w:val="103"/>
  </w:num>
  <w:num w:numId="122">
    <w:abstractNumId w:val="91"/>
  </w:num>
  <w:num w:numId="123">
    <w:abstractNumId w:val="191"/>
  </w:num>
  <w:num w:numId="124">
    <w:abstractNumId w:val="87"/>
  </w:num>
  <w:num w:numId="125">
    <w:abstractNumId w:val="43"/>
  </w:num>
  <w:num w:numId="126">
    <w:abstractNumId w:val="176"/>
  </w:num>
  <w:num w:numId="127">
    <w:abstractNumId w:val="28"/>
  </w:num>
  <w:num w:numId="128">
    <w:abstractNumId w:val="112"/>
  </w:num>
  <w:num w:numId="129">
    <w:abstractNumId w:val="127"/>
  </w:num>
  <w:num w:numId="130">
    <w:abstractNumId w:val="177"/>
  </w:num>
  <w:num w:numId="131">
    <w:abstractNumId w:val="12"/>
  </w:num>
  <w:num w:numId="132">
    <w:abstractNumId w:val="164"/>
  </w:num>
  <w:num w:numId="133">
    <w:abstractNumId w:val="205"/>
  </w:num>
  <w:num w:numId="134">
    <w:abstractNumId w:val="105"/>
  </w:num>
  <w:num w:numId="135">
    <w:abstractNumId w:val="148"/>
  </w:num>
  <w:num w:numId="136">
    <w:abstractNumId w:val="46"/>
  </w:num>
  <w:num w:numId="137">
    <w:abstractNumId w:val="129"/>
  </w:num>
  <w:num w:numId="138">
    <w:abstractNumId w:val="49"/>
  </w:num>
  <w:num w:numId="139">
    <w:abstractNumId w:val="48"/>
  </w:num>
  <w:num w:numId="140">
    <w:abstractNumId w:val="77"/>
  </w:num>
  <w:num w:numId="141">
    <w:abstractNumId w:val="210"/>
  </w:num>
  <w:num w:numId="142">
    <w:abstractNumId w:val="233"/>
  </w:num>
  <w:num w:numId="143">
    <w:abstractNumId w:val="183"/>
  </w:num>
  <w:num w:numId="144">
    <w:abstractNumId w:val="95"/>
  </w:num>
  <w:num w:numId="145">
    <w:abstractNumId w:val="41"/>
  </w:num>
  <w:num w:numId="146">
    <w:abstractNumId w:val="82"/>
  </w:num>
  <w:num w:numId="147">
    <w:abstractNumId w:val="181"/>
  </w:num>
  <w:num w:numId="148">
    <w:abstractNumId w:val="120"/>
  </w:num>
  <w:num w:numId="149">
    <w:abstractNumId w:val="73"/>
  </w:num>
  <w:num w:numId="150">
    <w:abstractNumId w:val="67"/>
  </w:num>
  <w:num w:numId="151">
    <w:abstractNumId w:val="166"/>
  </w:num>
  <w:num w:numId="152">
    <w:abstractNumId w:val="146"/>
  </w:num>
  <w:num w:numId="153">
    <w:abstractNumId w:val="223"/>
  </w:num>
  <w:num w:numId="154">
    <w:abstractNumId w:val="19"/>
  </w:num>
  <w:num w:numId="155">
    <w:abstractNumId w:val="190"/>
  </w:num>
  <w:num w:numId="156">
    <w:abstractNumId w:val="34"/>
  </w:num>
  <w:num w:numId="157">
    <w:abstractNumId w:val="157"/>
  </w:num>
  <w:num w:numId="158">
    <w:abstractNumId w:val="92"/>
  </w:num>
  <w:num w:numId="159">
    <w:abstractNumId w:val="215"/>
  </w:num>
  <w:num w:numId="160">
    <w:abstractNumId w:val="138"/>
  </w:num>
  <w:num w:numId="161">
    <w:abstractNumId w:val="143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17"/>
  </w:num>
  <w:num w:numId="167">
    <w:abstractNumId w:val="139"/>
  </w:num>
  <w:num w:numId="168">
    <w:abstractNumId w:val="88"/>
  </w:num>
  <w:num w:numId="169">
    <w:abstractNumId w:val="182"/>
  </w:num>
  <w:num w:numId="170">
    <w:abstractNumId w:val="71"/>
  </w:num>
  <w:num w:numId="171">
    <w:abstractNumId w:val="39"/>
  </w:num>
  <w:num w:numId="172">
    <w:abstractNumId w:val="79"/>
  </w:num>
  <w:num w:numId="173">
    <w:abstractNumId w:val="37"/>
  </w:num>
  <w:num w:numId="174">
    <w:abstractNumId w:val="64"/>
  </w:num>
  <w:num w:numId="175">
    <w:abstractNumId w:val="18"/>
  </w:num>
  <w:num w:numId="176">
    <w:abstractNumId w:val="179"/>
  </w:num>
  <w:num w:numId="177">
    <w:abstractNumId w:val="163"/>
  </w:num>
  <w:num w:numId="178">
    <w:abstractNumId w:val="173"/>
  </w:num>
  <w:num w:numId="179">
    <w:abstractNumId w:val="66"/>
  </w:num>
  <w:num w:numId="180">
    <w:abstractNumId w:val="136"/>
  </w:num>
  <w:num w:numId="181">
    <w:abstractNumId w:val="156"/>
  </w:num>
  <w:num w:numId="182">
    <w:abstractNumId w:val="60"/>
  </w:num>
  <w:num w:numId="183">
    <w:abstractNumId w:val="125"/>
  </w:num>
  <w:num w:numId="184">
    <w:abstractNumId w:val="147"/>
  </w:num>
  <w:num w:numId="185">
    <w:abstractNumId w:val="58"/>
  </w:num>
  <w:num w:numId="186">
    <w:abstractNumId w:val="134"/>
  </w:num>
  <w:num w:numId="187">
    <w:abstractNumId w:val="121"/>
  </w:num>
  <w:num w:numId="188">
    <w:abstractNumId w:val="74"/>
  </w:num>
  <w:num w:numId="189">
    <w:abstractNumId w:val="47"/>
  </w:num>
  <w:num w:numId="190">
    <w:abstractNumId w:val="213"/>
  </w:num>
  <w:num w:numId="191">
    <w:abstractNumId w:val="234"/>
  </w:num>
  <w:num w:numId="192">
    <w:abstractNumId w:val="175"/>
  </w:num>
  <w:num w:numId="193">
    <w:abstractNumId w:val="85"/>
  </w:num>
  <w:num w:numId="194">
    <w:abstractNumId w:val="184"/>
  </w:num>
  <w:num w:numId="195">
    <w:abstractNumId w:val="23"/>
  </w:num>
  <w:num w:numId="196">
    <w:abstractNumId w:val="249"/>
  </w:num>
  <w:num w:numId="197">
    <w:abstractNumId w:val="230"/>
  </w:num>
  <w:num w:numId="198">
    <w:abstractNumId w:val="168"/>
  </w:num>
  <w:num w:numId="199">
    <w:abstractNumId w:val="131"/>
  </w:num>
  <w:num w:numId="200">
    <w:abstractNumId w:val="174"/>
  </w:num>
  <w:num w:numId="201">
    <w:abstractNumId w:val="229"/>
  </w:num>
  <w:num w:numId="202">
    <w:abstractNumId w:val="44"/>
  </w:num>
  <w:num w:numId="203">
    <w:abstractNumId w:val="236"/>
  </w:num>
  <w:num w:numId="204">
    <w:abstractNumId w:val="70"/>
  </w:num>
  <w:num w:numId="205">
    <w:abstractNumId w:val="104"/>
  </w:num>
  <w:num w:numId="206">
    <w:abstractNumId w:val="14"/>
  </w:num>
  <w:num w:numId="207">
    <w:abstractNumId w:val="248"/>
  </w:num>
  <w:num w:numId="208">
    <w:abstractNumId w:val="106"/>
  </w:num>
  <w:num w:numId="209">
    <w:abstractNumId w:val="81"/>
  </w:num>
  <w:num w:numId="210">
    <w:abstractNumId w:val="53"/>
  </w:num>
  <w:num w:numId="211">
    <w:abstractNumId w:val="107"/>
  </w:num>
  <w:num w:numId="212">
    <w:abstractNumId w:val="133"/>
  </w:num>
  <w:num w:numId="213">
    <w:abstractNumId w:val="42"/>
  </w:num>
  <w:num w:numId="214">
    <w:abstractNumId w:val="80"/>
  </w:num>
  <w:num w:numId="215">
    <w:abstractNumId w:val="76"/>
  </w:num>
  <w:num w:numId="216">
    <w:abstractNumId w:val="237"/>
  </w:num>
  <w:num w:numId="217">
    <w:abstractNumId w:val="169"/>
  </w:num>
  <w:num w:numId="218">
    <w:abstractNumId w:val="86"/>
  </w:num>
  <w:num w:numId="219">
    <w:abstractNumId w:val="99"/>
  </w:num>
  <w:num w:numId="220">
    <w:abstractNumId w:val="208"/>
  </w:num>
  <w:num w:numId="221">
    <w:abstractNumId w:val="35"/>
  </w:num>
  <w:num w:numId="222">
    <w:abstractNumId w:val="162"/>
  </w:num>
  <w:num w:numId="223">
    <w:abstractNumId w:val="78"/>
  </w:num>
  <w:num w:numId="224">
    <w:abstractNumId w:val="63"/>
  </w:num>
  <w:num w:numId="225">
    <w:abstractNumId w:val="110"/>
  </w:num>
  <w:num w:numId="226">
    <w:abstractNumId w:val="140"/>
  </w:num>
  <w:num w:numId="227">
    <w:abstractNumId w:val="62"/>
  </w:num>
  <w:num w:numId="228">
    <w:abstractNumId w:val="144"/>
  </w:num>
  <w:num w:numId="229">
    <w:abstractNumId w:val="69"/>
  </w:num>
  <w:num w:numId="230">
    <w:abstractNumId w:val="56"/>
  </w:num>
  <w:num w:numId="231">
    <w:abstractNumId w:val="202"/>
  </w:num>
  <w:num w:numId="232">
    <w:abstractNumId w:val="195"/>
  </w:num>
  <w:num w:numId="233">
    <w:abstractNumId w:val="123"/>
  </w:num>
  <w:num w:numId="234">
    <w:abstractNumId w:val="96"/>
  </w:num>
  <w:num w:numId="235">
    <w:abstractNumId w:val="24"/>
  </w:num>
  <w:num w:numId="236">
    <w:abstractNumId w:val="198"/>
  </w:num>
  <w:num w:numId="237">
    <w:abstractNumId w:val="189"/>
  </w:num>
  <w:num w:numId="238">
    <w:abstractNumId w:val="15"/>
  </w:num>
  <w:num w:numId="239">
    <w:abstractNumId w:val="220"/>
  </w:num>
  <w:num w:numId="240">
    <w:abstractNumId w:val="185"/>
  </w:num>
  <w:num w:numId="241">
    <w:abstractNumId w:val="231"/>
  </w:num>
  <w:num w:numId="242">
    <w:abstractNumId w:val="218"/>
  </w:num>
  <w:num w:numId="243">
    <w:abstractNumId w:val="246"/>
  </w:num>
  <w:num w:numId="244">
    <w:abstractNumId w:val="57"/>
  </w:num>
  <w:num w:numId="245">
    <w:abstractNumId w:val="187"/>
  </w:num>
  <w:num w:numId="246">
    <w:abstractNumId w:val="30"/>
  </w:num>
  <w:num w:numId="247">
    <w:abstractNumId w:val="93"/>
  </w:num>
  <w:num w:numId="248">
    <w:abstractNumId w:val="165"/>
  </w:num>
  <w:num w:numId="249">
    <w:abstractNumId w:val="235"/>
  </w:num>
  <w:num w:numId="250">
    <w:abstractNumId w:val="21"/>
  </w:num>
  <w:num w:numId="251">
    <w:abstractNumId w:val="26"/>
  </w:num>
  <w:num w:numId="252">
    <w:abstractNumId w:val="90"/>
  </w:num>
  <w:num w:numId="253">
    <w:abstractNumId w:val="118"/>
  </w:num>
  <w:num w:numId="254">
    <w:abstractNumId w:val="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spacing w:line="360" w:lineRule="auto"/>
      <w:jc w:val="both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3">
    <w:name w:val="Body Text 3"/>
    <w:basedOn w:val="Normal"/>
    <w:pPr>
      <w:jc w:val="left"/>
    </w:pPr>
    <w:rPr>
      <w:sz w:val="28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2">
    <w:name w:val="Body Text Indent 2"/>
    <w:basedOn w:val="Normal"/>
    <w:pPr>
      <w:ind w:firstLine="1440"/>
      <w:jc w:val="left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196</TotalTime>
  <Pages>1</Pages>
  <Words>985</Words>
  <Characters>5617</Characters>
  <Application>Microsoft Office Word</Application>
  <DocSecurity>0</DocSecurity>
  <Lines>0</Lines>
  <Paragraphs>0</Paragraphs>
  <ScaleCrop>false</ScaleCrop>
  <Manager>Magdaléna Šuchaňová</Manager>
  <Company>K-NR SR, UPV NR SR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21. schôdza</dc:title>
  <dc:subject>21. schôdza, 25. apríl 2003</dc:subject>
  <dc:creator>Viera Ebringerová</dc:creator>
  <cp:lastModifiedBy>Viera Ebringerová</cp:lastModifiedBy>
  <cp:revision>63</cp:revision>
  <cp:lastPrinted>2003-05-12T08:55:00Z</cp:lastPrinted>
  <dcterms:created xsi:type="dcterms:W3CDTF">2003-04-09T08:04:00Z</dcterms:created>
  <dcterms:modified xsi:type="dcterms:W3CDTF">2003-05-12T08:57:00Z</dcterms:modified>
  <cp:category>zápisnica</cp:category>
</cp:coreProperties>
</file>