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2. schôdze Ústavnoprávneho výboru Národnej rady Slovenskej republiky   5. novembra 2002 o 11,00 h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9 (podľa prezenčnej listiny)</w:t>
      </w:r>
    </w:p>
    <w:p>
      <w:pPr>
        <w:pStyle w:val="BodyText"/>
        <w:spacing w:line="360" w:lineRule="auto"/>
        <w:ind w:left="888" w:firstLine="52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2 poslanci neboli v tom čase zvolení (za členov vlády).</w:t>
      </w: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Predseda vý</w:t>
      </w:r>
      <w:r>
        <w:rPr>
          <w:rFonts w:ascii="Times New Roman" w:hAnsi="Times New Roman" w:cs="Times New Roman"/>
          <w:bCs/>
          <w:sz w:val="28"/>
        </w:rPr>
        <w:t>boru</w:t>
      </w:r>
      <w:r>
        <w:rPr>
          <w:rFonts w:ascii="Times New Roman" w:hAnsi="Times New Roman" w:cs="Times New Roman"/>
          <w:b/>
          <w:sz w:val="28"/>
        </w:rPr>
        <w:tab/>
        <w:t>J. Drgonec otvoril</w:t>
      </w:r>
      <w:r>
        <w:rPr>
          <w:rFonts w:ascii="Times New Roman" w:hAnsi="Times New Roman" w:cs="Times New Roman"/>
          <w:bCs/>
          <w:sz w:val="28"/>
        </w:rPr>
        <w:t xml:space="preserve"> schôdzu a navrhol schváliť program rokovania </w:t>
      </w:r>
      <w:r>
        <w:rPr>
          <w:rFonts w:ascii="Times New Roman" w:hAnsi="Times New Roman" w:cs="Times New Roman"/>
          <w:b/>
          <w:sz w:val="28"/>
        </w:rPr>
        <w:t>9/0/0.</w:t>
      </w:r>
      <w:r>
        <w:rPr>
          <w:rFonts w:ascii="Times New Roman" w:hAnsi="Times New Roman" w:cs="Times New Roman"/>
          <w:bCs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>
      <w:pPr>
        <w:pStyle w:val="BodyText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Program: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numPr>
          <w:ilvl w:val="0"/>
          <w:numId w:val="218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Zriaďovanie stálych alebo dočasných komisií</w:t>
      </w:r>
      <w:r>
        <w:rPr>
          <w:rFonts w:ascii="Times New Roman" w:hAnsi="Times New Roman" w:cs="Times New Roman"/>
          <w:bCs/>
          <w:sz w:val="28"/>
        </w:rPr>
        <w:t xml:space="preserve"> výboru (§ 61 zákona Národnej rady Slovenskej republiky č. 350/1996 Z.z. o rokovacom poriadku Národnej rady Slovenskej republiky v znení neskorších predpisov, čl. 14 Pravidiel rokovania Ústavnoprávneho výboru Národnej rady Slovenskej republiky)</w:t>
      </w:r>
    </w:p>
    <w:p>
      <w:pPr>
        <w:ind w:left="4956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Heading2"/>
        <w:tabs>
          <w:tab w:val="left" w:pos="-1985"/>
          <w:tab w:val="left" w:pos="709"/>
        </w:tabs>
        <w:ind w:left="360" w:hanging="360"/>
        <w:rPr>
          <w:rFonts w:ascii="Times New Roman" w:hAnsi="Times New Roman" w:cs="Times New Roman"/>
          <w:b w:val="0"/>
          <w:bCs/>
          <w:sz w:val="28"/>
          <w:u w:val="none"/>
        </w:rPr>
      </w:pPr>
      <w:r>
        <w:rPr>
          <w:rFonts w:ascii="Times New Roman" w:hAnsi="Times New Roman" w:cs="Times New Roman"/>
          <w:b w:val="0"/>
          <w:bCs/>
          <w:sz w:val="28"/>
          <w:u w:val="none"/>
        </w:rPr>
        <w:t xml:space="preserve">2. </w:t>
      </w:r>
      <w:r>
        <w:rPr>
          <w:rFonts w:ascii="Times New Roman" w:hAnsi="Times New Roman" w:cs="Times New Roman"/>
          <w:sz w:val="28"/>
          <w:u w:val="none"/>
        </w:rPr>
        <w:t>Informácia o neukončených prípadoch  na Ústavnom súde Slovenskej  republiky</w:t>
      </w:r>
      <w:r>
        <w:rPr>
          <w:rFonts w:ascii="Times New Roman" w:hAnsi="Times New Roman" w:cs="Times New Roman"/>
          <w:b w:val="0"/>
          <w:bCs/>
          <w:sz w:val="28"/>
          <w:u w:val="none"/>
        </w:rPr>
        <w:t xml:space="preserve"> - postup  Národnej rady Slovenskej republiky – odporúč</w:t>
      </w:r>
      <w:r>
        <w:rPr>
          <w:rFonts w:ascii="Times New Roman" w:hAnsi="Times New Roman" w:cs="Times New Roman"/>
          <w:b w:val="0"/>
          <w:bCs/>
          <w:sz w:val="28"/>
          <w:u w:val="none"/>
        </w:rPr>
        <w:t xml:space="preserve">anie </w:t>
      </w:r>
    </w:p>
    <w:p>
      <w:pPr>
        <w:pStyle w:val="Heading2"/>
        <w:tabs>
          <w:tab w:val="left" w:pos="-1985"/>
          <w:tab w:val="left" w:pos="709"/>
          <w:tab w:val="left" w:pos="1077"/>
        </w:tabs>
        <w:ind w:left="360" w:hanging="360"/>
        <w:rPr>
          <w:rFonts w:ascii="Times New Roman" w:hAnsi="Times New Roman" w:cs="Times New Roman"/>
          <w:b w:val="0"/>
          <w:bCs/>
          <w:sz w:val="28"/>
          <w:u w:val="none"/>
        </w:rPr>
      </w:pPr>
    </w:p>
    <w:p>
      <w:pPr>
        <w:pStyle w:val="Heading2"/>
        <w:tabs>
          <w:tab w:val="left" w:pos="-1985"/>
          <w:tab w:val="left" w:pos="360"/>
          <w:tab w:val="left" w:pos="1077"/>
        </w:tabs>
        <w:ind w:left="360" w:hanging="360"/>
        <w:rPr>
          <w:rFonts w:ascii="Times New Roman" w:hAnsi="Times New Roman" w:cs="Times New Roman"/>
          <w:b w:val="0"/>
          <w:bCs/>
          <w:sz w:val="28"/>
          <w:u w:val="none"/>
        </w:rPr>
      </w:pPr>
      <w:r>
        <w:rPr>
          <w:rFonts w:ascii="Times New Roman" w:hAnsi="Times New Roman" w:cs="Times New Roman"/>
          <w:b w:val="0"/>
          <w:bCs/>
          <w:sz w:val="28"/>
          <w:u w:val="none"/>
        </w:rPr>
        <w:t>3. Pravidlá rokovania Ústavnoprávneho výboru Národnej rady Slovenskej republiky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  Rôzne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Organizácia práce výboru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</w:t>
      </w:r>
    </w:p>
    <w:p>
      <w:pPr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Zriaďovanie stálych alebo dočasných komisií</w:t>
      </w:r>
      <w:r>
        <w:rPr>
          <w:rFonts w:ascii="Times New Roman" w:hAnsi="Times New Roman" w:cs="Times New Roman"/>
          <w:bCs/>
          <w:sz w:val="28"/>
        </w:rPr>
        <w:t xml:space="preserve"> výboru (§ 61 zákona Národnej rady Slovenskej republiky č. 350/1996 Z.z. o rokovacom poriadku Národnej rady Slovenskej republiky v znení neskorších predpisov, čl. 14 Pravidiel rokovania Ústavnoprávneho výboru Národnej rady Slovenskej republiky)</w:t>
      </w: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>J. Drgonec</w:t>
      </w:r>
      <w:r>
        <w:rPr>
          <w:rFonts w:ascii="Times New Roman" w:hAnsi="Times New Roman" w:cs="Times New Roman"/>
          <w:iCs/>
          <w:sz w:val="28"/>
          <w:lang w:val="sk-SK"/>
        </w:rPr>
        <w:t xml:space="preserve"> – navrhol rokovať na danú tému na niektorej ďalšej sc</w:t>
      </w:r>
      <w:r>
        <w:rPr>
          <w:rFonts w:ascii="Times New Roman" w:hAnsi="Times New Roman" w:cs="Times New Roman"/>
          <w:iCs/>
          <w:sz w:val="28"/>
          <w:lang w:val="sk-SK"/>
        </w:rPr>
        <w:t xml:space="preserve">hôdzi. </w:t>
      </w: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ab/>
        <w:t>V rozprave vystúpili:</w:t>
      </w: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>P. Miššík</w:t>
      </w:r>
      <w:r>
        <w:rPr>
          <w:rFonts w:ascii="Times New Roman" w:hAnsi="Times New Roman" w:cs="Times New Roman"/>
          <w:iCs/>
          <w:sz w:val="28"/>
          <w:lang w:val="sk-SK"/>
        </w:rPr>
        <w:t xml:space="preserve"> – považuje za vhodnejšie zaujať k veci určité stanovisko.</w:t>
      </w: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ab/>
        <w:t xml:space="preserve">Poslankyňa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>J. Laššáková</w:t>
      </w:r>
      <w:r>
        <w:rPr>
          <w:rFonts w:ascii="Times New Roman" w:hAnsi="Times New Roman" w:cs="Times New Roman"/>
          <w:iCs/>
          <w:sz w:val="28"/>
          <w:lang w:val="sk-SK"/>
        </w:rPr>
        <w:t xml:space="preserve"> – žiadala rozhodnúť, najprv o tom, či sa komisie zriadia.</w:t>
      </w: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>M. Abelovský</w:t>
      </w:r>
      <w:r>
        <w:rPr>
          <w:rFonts w:ascii="Times New Roman" w:hAnsi="Times New Roman" w:cs="Times New Roman"/>
          <w:iCs/>
          <w:sz w:val="28"/>
          <w:lang w:val="sk-SK"/>
        </w:rPr>
        <w:t xml:space="preserve"> – je možné zriadiť komisie ad hoc. Netreba ich zriaďovať bez konkrétnej potreby. </w:t>
      </w: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>S. Husár</w:t>
      </w:r>
      <w:r>
        <w:rPr>
          <w:rFonts w:ascii="Times New Roman" w:hAnsi="Times New Roman" w:cs="Times New Roman"/>
          <w:iCs/>
          <w:sz w:val="28"/>
          <w:lang w:val="sk-SK"/>
        </w:rPr>
        <w:t xml:space="preserve"> sa priklonil k názoru p. Abelovského (ak obdržíme legislatívny plán vlády). </w:t>
      </w: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ab/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 xml:space="preserve">Uznesenie č. 4: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Ústavnoprávny výbor rozhodol, že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24"/>
        </w:numPr>
        <w:tabs>
          <w:tab w:val="left" w:pos="1021"/>
          <w:tab w:val="left" w:pos="177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súčasnosti nezriadi stálu komisiu na </w:t>
      </w:r>
      <w:r>
        <w:rPr>
          <w:rFonts w:ascii="Times New Roman" w:hAnsi="Times New Roman" w:cs="Times New Roman"/>
          <w:sz w:val="28"/>
        </w:rPr>
        <w:t>konzultovanie otázok a na prípravu stanovísk,</w:t>
      </w:r>
    </w:p>
    <w:p>
      <w:pPr>
        <w:tabs>
          <w:tab w:val="left" w:pos="1021"/>
        </w:tabs>
        <w:ind w:left="1410"/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24"/>
        </w:numPr>
        <w:tabs>
          <w:tab w:val="left" w:pos="1021"/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podľa aktuálnej vecnej problematiky sa bude zaoberať zriadením konkrétnej dočasnej komisie. </w:t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ab/>
        <w:t xml:space="preserve">Hlasovanie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>7/0/0.</w:t>
      </w:r>
    </w:p>
    <w:p>
      <w:pPr>
        <w:jc w:val="both"/>
        <w:rPr>
          <w:rFonts w:ascii="Times New Roman" w:hAnsi="Times New Roman" w:cs="Times New Roman"/>
          <w:bCs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</w:t>
      </w:r>
    </w:p>
    <w:p>
      <w:pPr>
        <w:ind w:left="4956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Heading2"/>
        <w:tabs>
          <w:tab w:val="left" w:pos="-1985"/>
          <w:tab w:val="left" w:pos="709"/>
        </w:tabs>
        <w:ind w:firstLine="360"/>
        <w:rPr>
          <w:rFonts w:ascii="Times New Roman" w:hAnsi="Times New Roman" w:cs="Times New Roman"/>
          <w:b w:val="0"/>
          <w:bCs/>
          <w:sz w:val="28"/>
          <w:u w:val="none"/>
        </w:rPr>
      </w:pPr>
      <w:r>
        <w:rPr>
          <w:rFonts w:ascii="Times New Roman" w:hAnsi="Times New Roman" w:cs="Times New Roman"/>
          <w:sz w:val="28"/>
          <w:u w:val="none"/>
        </w:rPr>
        <w:tab/>
        <w:t>Informácia o neukončených prípadoch  na Ústavnom súde Slovenskej  republiky</w:t>
      </w:r>
      <w:r>
        <w:rPr>
          <w:rFonts w:ascii="Times New Roman" w:hAnsi="Times New Roman" w:cs="Times New Roman"/>
          <w:b w:val="0"/>
          <w:bCs/>
          <w:sz w:val="28"/>
          <w:u w:val="none"/>
        </w:rPr>
        <w:t xml:space="preserve"> - postup  Národnej rady Slovenskej republiky – odporúčanie. </w:t>
      </w:r>
    </w:p>
    <w:p>
      <w:pPr>
        <w:pStyle w:val="Heading2"/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  <w:b w:val="0"/>
          <w:bCs/>
          <w:sz w:val="28"/>
          <w:u w:val="none"/>
        </w:rPr>
      </w:pPr>
    </w:p>
    <w:p>
      <w:pPr>
        <w:pStyle w:val="Heading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Predseda výboru </w:t>
      </w:r>
      <w:r>
        <w:rPr>
          <w:rFonts w:ascii="Times New Roman" w:hAnsi="Times New Roman" w:cs="Times New Roman"/>
          <w:b/>
          <w:bCs/>
        </w:rPr>
        <w:t xml:space="preserve">J. Drgonec </w:t>
      </w:r>
      <w:r>
        <w:rPr>
          <w:rFonts w:ascii="Times New Roman" w:hAnsi="Times New Roman" w:cs="Times New Roman"/>
        </w:rPr>
        <w:t>informoval  o písomnom materiáli, ktorí poslanci obdržali a požiadal o zaujatie stanoviska k nemu, či sa bude meniť postoj súčasnej Národnej rady SR oproti stanovisku minul</w:t>
      </w:r>
      <w:r>
        <w:rPr>
          <w:rFonts w:ascii="Times New Roman" w:hAnsi="Times New Roman" w:cs="Times New Roman"/>
        </w:rPr>
        <w:t>ej Národnej rady SR.</w:t>
      </w:r>
    </w:p>
    <w:p>
      <w:pPr>
        <w:ind w:left="705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Zároveň navrhol, aby ústavnoprávny výbor odporúčal predsedovi Národnej rady Slovenskej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republiky vo veci: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>
      <w:pPr>
        <w:pStyle w:val="BodyText"/>
        <w:numPr>
          <w:ilvl w:val="0"/>
          <w:numId w:val="226"/>
        </w:numPr>
        <w:tabs>
          <w:tab w:val="left" w:pos="1080"/>
          <w:tab w:val="left" w:pos="144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č. k. PL.ÚS 12/01</w:t>
      </w:r>
    </w:p>
    <w:p>
      <w:pPr>
        <w:pStyle w:val="BodyText"/>
        <w:numPr>
          <w:ilvl w:val="0"/>
          <w:numId w:val="226"/>
        </w:numPr>
        <w:tabs>
          <w:tab w:val="left" w:pos="1080"/>
          <w:tab w:val="left" w:pos="144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č. k. PL.ÚS 25/01</w:t>
      </w:r>
    </w:p>
    <w:p>
      <w:pPr>
        <w:pStyle w:val="BodyText"/>
        <w:numPr>
          <w:ilvl w:val="0"/>
          <w:numId w:val="226"/>
        </w:numPr>
        <w:tabs>
          <w:tab w:val="left" w:pos="1080"/>
          <w:tab w:val="left" w:pos="144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č. k. PL. ÚS 10/02</w:t>
      </w:r>
    </w:p>
    <w:p>
      <w:pPr>
        <w:pStyle w:val="BodyText"/>
        <w:numPr>
          <w:ilvl w:val="0"/>
          <w:numId w:val="226"/>
        </w:numPr>
        <w:tabs>
          <w:tab w:val="left" w:pos="1080"/>
          <w:tab w:val="left" w:pos="144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č. k. PL.ÚS 26/01</w:t>
      </w:r>
    </w:p>
    <w:p>
      <w:pPr>
        <w:pStyle w:val="BodyText"/>
        <w:numPr>
          <w:ilvl w:val="0"/>
          <w:numId w:val="226"/>
        </w:numPr>
        <w:tabs>
          <w:tab w:val="left" w:pos="1080"/>
          <w:tab w:val="left" w:pos="144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č. k. PL. ÚS 17/02</w:t>
      </w:r>
    </w:p>
    <w:p>
      <w:pPr>
        <w:pStyle w:val="BodyText"/>
        <w:numPr>
          <w:ilvl w:val="0"/>
          <w:numId w:val="226"/>
        </w:numPr>
        <w:tabs>
          <w:tab w:val="left" w:pos="1080"/>
          <w:tab w:val="left" w:pos="144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č. k. PL. ÚS 9/02</w:t>
      </w:r>
    </w:p>
    <w:p>
      <w:pPr>
        <w:pStyle w:val="BodyText"/>
        <w:numPr>
          <w:ilvl w:val="0"/>
          <w:numId w:val="226"/>
        </w:numPr>
        <w:tabs>
          <w:tab w:val="left" w:pos="1080"/>
          <w:tab w:val="left" w:pos="144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č. k. PL. ÚS 11/0</w:t>
      </w:r>
      <w:r>
        <w:rPr>
          <w:rFonts w:ascii="Times New Roman" w:hAnsi="Times New Roman" w:cs="Times New Roman"/>
          <w:b/>
          <w:bCs/>
          <w:sz w:val="28"/>
        </w:rPr>
        <w:t>2</w:t>
      </w:r>
    </w:p>
    <w:p>
      <w:pPr>
        <w:pStyle w:val="BodyText"/>
        <w:numPr>
          <w:ilvl w:val="0"/>
          <w:numId w:val="226"/>
        </w:numPr>
        <w:tabs>
          <w:tab w:val="left" w:pos="1080"/>
          <w:tab w:val="left" w:pos="144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č. k. PL. ÚS 1/01</w:t>
      </w:r>
    </w:p>
    <w:p>
      <w:pPr>
        <w:pStyle w:val="BodyText"/>
        <w:tabs>
          <w:tab w:val="left" w:pos="1080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tabs>
          <w:tab w:val="left" w:pos="108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>zotrvať na stanovisku</w:t>
      </w:r>
      <w:r>
        <w:rPr>
          <w:rFonts w:ascii="Times New Roman" w:hAnsi="Times New Roman" w:cs="Times New Roman"/>
          <w:sz w:val="28"/>
        </w:rPr>
        <w:t xml:space="preserve"> Národnej rady Slovenskej republiky tlmočenom Ústavnému súdu Slovenskej republiky v II. volebnom období </w:t>
      </w:r>
      <w:r>
        <w:rPr>
          <w:rFonts w:ascii="Times New Roman" w:hAnsi="Times New Roman" w:cs="Times New Roman"/>
          <w:b/>
          <w:bCs/>
          <w:sz w:val="28"/>
        </w:rPr>
        <w:t>a odporučenom postupe.</w:t>
      </w:r>
    </w:p>
    <w:p>
      <w:pPr>
        <w:pStyle w:val="BodyTextIndent2"/>
        <w:rPr>
          <w:rFonts w:ascii="Times New Roman" w:hAnsi="Times New Roman" w:cs="Times New Roman"/>
          <w:sz w:val="28"/>
        </w:rPr>
      </w:pPr>
    </w:p>
    <w:p>
      <w:pPr>
        <w:ind w:left="70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Informoval  o novom návrhu: </w:t>
      </w:r>
    </w:p>
    <w:p>
      <w:pPr>
        <w:pStyle w:val="BodyTextIndent2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návrh skupiny 30 poslancov Národnej rady Slovenskej repu</w:t>
      </w:r>
      <w:r>
        <w:rPr>
          <w:rFonts w:ascii="Times New Roman" w:hAnsi="Times New Roman" w:cs="Times New Roman"/>
          <w:b/>
          <w:bCs/>
          <w:sz w:val="28"/>
        </w:rPr>
        <w:t xml:space="preserve">bliky, zastúpenej JUDr. Ernestom Valkom, Palisády 36, Bratislava, </w:t>
      </w:r>
      <w:r>
        <w:rPr>
          <w:rFonts w:ascii="Times New Roman" w:hAnsi="Times New Roman" w:cs="Times New Roman"/>
          <w:sz w:val="28"/>
        </w:rPr>
        <w:t xml:space="preserve">na začatie konania </w:t>
      </w:r>
      <w:r>
        <w:rPr>
          <w:rFonts w:ascii="Times New Roman" w:hAnsi="Times New Roman" w:cs="Times New Roman"/>
          <w:b/>
          <w:bCs/>
          <w:sz w:val="28"/>
        </w:rPr>
        <w:t xml:space="preserve">o súlade § 44 ods. 2 zákona č. 141/1961 Zb. o trestnom konaní súdnom (trestný poriadok) v znení neskorších predpisov s čl. 1, čl. 12 ods. 2, čl. 46 ods. 1, čl. 47 ods. 3 a s čl. 48 ods. 2 Ústavy Slovenskej republiky a s čl. 6 ods. 1 Dohovoru o ochrane ľudských práv a základných slobôd  č. PL.ÚS 20/02-19 - </w:t>
      </w:r>
      <w:r>
        <w:rPr>
          <w:rFonts w:ascii="Times New Roman" w:hAnsi="Times New Roman" w:cs="Times New Roman"/>
          <w:sz w:val="28"/>
        </w:rPr>
        <w:t xml:space="preserve">poslanci ho obdržali písomne. Požiadal poslancov, aby sa zaoberali obsahom návrhu s tým, že prípravou stanoviska sa výbor bude zaoberať na  niektorej z najbližších schôdzí. </w:t>
      </w:r>
    </w:p>
    <w:p>
      <w:pPr>
        <w:pStyle w:val="BodyTextIndent2"/>
        <w:rPr>
          <w:rFonts w:ascii="Times New Roman" w:hAnsi="Times New Roman" w:cs="Times New Roman"/>
          <w:sz w:val="28"/>
        </w:rPr>
      </w:pPr>
    </w:p>
    <w:p>
      <w:pPr>
        <w:pStyle w:val="BodyTextIndent2"/>
        <w:ind w:left="0" w:firstLine="70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 dvom návrhom 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odporúčal zmeniť zástupcu Národnej rady (namiesto L. Orosza a P. Brňáka):</w:t>
      </w:r>
    </w:p>
    <w:p>
      <w:pPr>
        <w:pStyle w:val="BodyTextIndent2"/>
        <w:ind w:left="0" w:firstLine="705"/>
        <w:rPr>
          <w:rFonts w:ascii="Times New Roman" w:hAnsi="Times New Roman" w:cs="Times New Roman"/>
          <w:sz w:val="28"/>
        </w:rPr>
      </w:pPr>
    </w:p>
    <w:p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ab/>
        <w:t xml:space="preserve"> Č. k. PL. ÚS 12/01 – </w:t>
      </w:r>
      <w:r>
        <w:rPr>
          <w:rFonts w:ascii="Times New Roman" w:hAnsi="Times New Roman" w:cs="Times New Roman"/>
          <w:sz w:val="28"/>
        </w:rPr>
        <w:t>návrh skupiny 31 poslancov Národnej rady Slovenskej republik</w:t>
      </w:r>
      <w:r>
        <w:rPr>
          <w:rFonts w:ascii="Times New Roman" w:hAnsi="Times New Roman" w:cs="Times New Roman"/>
          <w:sz w:val="28"/>
        </w:rPr>
        <w:t>y</w:t>
      </w:r>
      <w:r>
        <w:rPr>
          <w:rFonts w:ascii="Times New Roman" w:hAnsi="Times New Roman" w:cs="Times New Roman"/>
          <w:b/>
          <w:bCs/>
          <w:sz w:val="28"/>
        </w:rPr>
        <w:t xml:space="preserve"> na začatie konania o súlade § 4, § 6, § 7, § 8, § 10 a § 11 zákona č. 73/1986 Zb. o umelom prerušení tehotenstva, v znení zákona č. 419/1991 Zb., s čl. 15 ods. 1 a 4 Ústavy Slovenskej republiky, o súlade § 4, § 5 ods.  2 a 3, § 9 vyhlášky Ministerstva zdravotníctva SSR č. 74/1986 Zb. v znení zákona č. 98/1995 Z. z., ktorou sa vykonáva zákon Slovenskej národnej rady č. 73/1986 Zb. o umelom prerušení tehotenstva, s čl. 15 ods. 1, ods. 4 Ústavy Slovenskej republiky a o súlade § 2 ods. 3 vyhlášky Ministerstva zdravotníctva č. 74/1986 Zb. v znení zákona č. 98/1995 Z. z., ktorou sa vykonáva zákon  Slovenskej národnej rady č. 73/1986 Zb. o umelom prerušení tehotenstva, s čl. 123 v spojení s čl. 2 ods. 2 Ústavy Slovenskej republiky a s § 4 a § 12 zákona č. 73/1986 Zb. o umelom prerušení tehotenstva, v znení zákona č. 419/1991 Zb.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- poveriť zastupovaním J. Drgonca,</w:t>
      </w:r>
    </w:p>
    <w:p>
      <w:pPr>
        <w:pStyle w:val="BodyText"/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"/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  <w:t xml:space="preserve">Č. k.  PL.ÚS 1/01 </w:t>
      </w:r>
      <w:r>
        <w:rPr>
          <w:rFonts w:ascii="Times New Roman" w:hAnsi="Times New Roman" w:cs="Times New Roman"/>
          <w:sz w:val="28"/>
        </w:rPr>
        <w:t>návrh skupiny 31 poslancov Národnej rady Slovenskej republiky</w:t>
      </w:r>
      <w:r>
        <w:rPr>
          <w:rFonts w:ascii="Times New Roman" w:hAnsi="Times New Roman" w:cs="Times New Roman"/>
          <w:b/>
          <w:bCs/>
          <w:sz w:val="28"/>
        </w:rPr>
        <w:t xml:space="preserve"> na  začatie konania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o súlade ustanovení čl. I bodu 1 § 6 a čl. I bodu 7 § 32 ods. 1 zákona Národnej rady Slovenskej republiky č. 226/2000 Z. z., ktorým sa mení a dopĺňa zákon Národnej rady Slovenskej republiky č.  38/1993 Z. z. o organizácii Ústavného súdu Slovenskej republiky, o konaní pred ním a o postavení jeho sudcov v znení neskorších predpisov s čl. 131 a čl. 132 ods. 2 ústavy </w:t>
      </w:r>
    </w:p>
    <w:p>
      <w:pPr>
        <w:ind w:left="2410" w:hanging="1702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-  poveriť zastupovaním J. Drgonca.</w:t>
      </w:r>
    </w:p>
    <w:p>
      <w:pPr>
        <w:ind w:left="705"/>
        <w:rPr>
          <w:rFonts w:ascii="Times New Roman" w:hAnsi="Times New Roman" w:cs="Times New Roman"/>
          <w:sz w:val="28"/>
        </w:rPr>
      </w:pP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ab/>
        <w:t>V rozprave vystúpil:</w:t>
      </w: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ab/>
        <w:t xml:space="preserve">Podpredseda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>M. Abelovský</w:t>
      </w:r>
      <w:r>
        <w:rPr>
          <w:rFonts w:ascii="Times New Roman" w:hAnsi="Times New Roman" w:cs="Times New Roman"/>
          <w:iCs/>
          <w:sz w:val="28"/>
          <w:lang w:val="sk-SK"/>
        </w:rPr>
        <w:t xml:space="preserve"> </w:t>
      </w:r>
    </w:p>
    <w:p>
      <w:pPr>
        <w:pStyle w:val="BodyText"/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vo veci </w:t>
      </w:r>
      <w:r>
        <w:rPr>
          <w:rFonts w:ascii="Times New Roman" w:hAnsi="Times New Roman" w:cs="Times New Roman"/>
          <w:b/>
          <w:bCs/>
          <w:sz w:val="28"/>
        </w:rPr>
        <w:t xml:space="preserve">č. k. PL.ÚS 14/02  </w:t>
      </w:r>
      <w:r>
        <w:rPr>
          <w:rFonts w:ascii="Times New Roman" w:hAnsi="Times New Roman" w:cs="Times New Roman"/>
          <w:sz w:val="28"/>
        </w:rPr>
        <w:t xml:space="preserve">návrh skupiny 31 poslancov Národnej rady Slovenskej republiky na začatie konania </w:t>
      </w:r>
      <w:r>
        <w:rPr>
          <w:rFonts w:ascii="Times New Roman" w:hAnsi="Times New Roman" w:cs="Times New Roman"/>
          <w:b/>
          <w:bCs/>
          <w:sz w:val="28"/>
        </w:rPr>
        <w:t xml:space="preserve">o súlade § 272 a § 276 štvrtá veta zákona č. 141/1961 Zb. o trestnom konaní súdnom (Trestný poriadok) </w:t>
      </w:r>
      <w:r>
        <w:rPr>
          <w:rFonts w:ascii="Times New Roman" w:hAnsi="Times New Roman" w:cs="Times New Roman"/>
          <w:sz w:val="28"/>
        </w:rPr>
        <w:t xml:space="preserve">v znení neskorších predpisov </w:t>
      </w:r>
      <w:r>
        <w:rPr>
          <w:rFonts w:ascii="Times New Roman" w:hAnsi="Times New Roman" w:cs="Times New Roman"/>
          <w:b/>
          <w:bCs/>
          <w:sz w:val="28"/>
        </w:rPr>
        <w:t>s čl. 47 ods. 3 Ústavy Slovenskej republiky  a s čl. 6 ods. 1 Dohovoru o ochrane ľudských práv a základných slobôd</w:t>
      </w:r>
      <w:r>
        <w:rPr>
          <w:rFonts w:ascii="Times New Roman" w:hAnsi="Times New Roman" w:cs="Times New Roman"/>
          <w:sz w:val="28"/>
        </w:rPr>
        <w:t xml:space="preserve"> navrhol </w:t>
      </w:r>
      <w:r>
        <w:rPr>
          <w:rFonts w:ascii="Times New Roman" w:hAnsi="Times New Roman" w:cs="Times New Roman"/>
          <w:b/>
          <w:bCs/>
          <w:sz w:val="28"/>
        </w:rPr>
        <w:t>oznámiť Ústavnému súdu Slovenskej republiky, že bude predložené stanovisko iného znenia</w:t>
      </w:r>
      <w:r>
        <w:rPr>
          <w:rFonts w:ascii="Times New Roman" w:hAnsi="Times New Roman" w:cs="Times New Roman"/>
          <w:sz w:val="28"/>
        </w:rPr>
        <w:t xml:space="preserve">, nakoľko argumentácia Národnej rady Slovenskej republiky v doterajšom stanovisku je nedostatočná. </w:t>
      </w: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ab/>
        <w:t xml:space="preserve">V zmysle rozpravy bolo prijaté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>uznesenie č. 5</w:t>
      </w:r>
      <w:r>
        <w:rPr>
          <w:rFonts w:ascii="Times New Roman" w:hAnsi="Times New Roman" w:cs="Times New Roman"/>
          <w:iCs/>
          <w:sz w:val="28"/>
          <w:lang w:val="sk-SK"/>
        </w:rPr>
        <w:t xml:space="preserve">  -  hlasovanie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>8/0/0.</w:t>
      </w:r>
    </w:p>
    <w:p>
      <w:pPr>
        <w:jc w:val="both"/>
        <w:rPr>
          <w:rFonts w:ascii="Times New Roman" w:hAnsi="Times New Roman" w:cs="Times New Roman"/>
          <w:bCs/>
          <w:sz w:val="28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3</w:t>
      </w:r>
    </w:p>
    <w:p>
      <w:pPr>
        <w:rPr>
          <w:rFonts w:ascii="Times New Roman" w:hAnsi="Times New Roman" w:cs="Times New Roman"/>
        </w:rPr>
      </w:pPr>
    </w:p>
    <w:p>
      <w:pPr>
        <w:pStyle w:val="Heading2"/>
        <w:tabs>
          <w:tab w:val="left" w:pos="-1985"/>
          <w:tab w:val="left" w:pos="0"/>
          <w:tab w:val="left" w:pos="720"/>
          <w:tab w:val="clear" w:pos="1021"/>
          <w:tab w:val="left" w:pos="1077"/>
        </w:tabs>
        <w:ind w:firstLine="360"/>
        <w:rPr>
          <w:rFonts w:ascii="Times New Roman" w:hAnsi="Times New Roman" w:cs="Times New Roman"/>
          <w:b w:val="0"/>
          <w:bCs/>
          <w:sz w:val="28"/>
          <w:u w:val="none"/>
        </w:rPr>
      </w:pPr>
      <w:r>
        <w:rPr>
          <w:rFonts w:ascii="Times New Roman" w:hAnsi="Times New Roman" w:cs="Times New Roman"/>
          <w:b w:val="0"/>
          <w:bCs/>
          <w:sz w:val="28"/>
          <w:u w:val="none"/>
        </w:rPr>
        <w:tab/>
        <w:t xml:space="preserve">Pravidlá rokovania Ústavnoprávneho výboru Národnej rady Slovenskej republiky – bod bol presunutý. </w:t>
      </w: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ab/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4</w:t>
      </w:r>
    </w:p>
    <w:p>
      <w:pPr>
        <w:ind w:left="360"/>
        <w:jc w:val="both"/>
        <w:rPr>
          <w:rFonts w:ascii="Times New Roman" w:hAnsi="Times New Roman" w:cs="Times New Roman"/>
          <w:sz w:val="28"/>
        </w:rPr>
      </w:pPr>
    </w:p>
    <w:p>
      <w:pPr>
        <w:pStyle w:val="Heading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iCs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iCs/>
          <w:sz w:val="28"/>
        </w:rPr>
        <w:t xml:space="preserve">J. Drgonec otvoril rozpravu </w:t>
      </w:r>
      <w:r>
        <w:rPr>
          <w:rFonts w:ascii="Times New Roman" w:hAnsi="Times New Roman" w:cs="Times New Roman"/>
          <w:bCs/>
          <w:sz w:val="28"/>
        </w:rPr>
        <w:t>k využívaniu práva výboru podávať návrhy zákonov.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ab/>
      </w:r>
      <w:r>
        <w:rPr>
          <w:rFonts w:ascii="Times New Roman" w:hAnsi="Times New Roman" w:cs="Times New Roman"/>
          <w:b/>
          <w:bCs/>
          <w:iCs/>
          <w:sz w:val="28"/>
        </w:rPr>
        <w:t>Predseda výboru</w:t>
      </w:r>
      <w:r>
        <w:rPr>
          <w:rFonts w:ascii="Times New Roman" w:hAnsi="Times New Roman" w:cs="Times New Roman"/>
          <w:iCs/>
          <w:sz w:val="28"/>
        </w:rPr>
        <w:t xml:space="preserve"> konštatoval, že poslaním poslancov je aj zákonodarná iniciatíva (čl. 87 ods. 1 Ústavy SR, § 67 ods. 1 rokovacieho poriadku Národnej rady Slovenskej republiky). Členmi výboru sú výlučne právnici. Považuje za samozrejmé, že výbor bude toto svojej oprávnenie využívať viac, ako to bolo v predchádzajúcom volebnom období. Požiadal prítomných poslancov, aby sa na danú tému vyjadrili.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V rozprave ako prvý vystúpil podpredseda výboru </w:t>
      </w:r>
      <w:r>
        <w:rPr>
          <w:rFonts w:ascii="Times New Roman" w:hAnsi="Times New Roman" w:cs="Times New Roman"/>
          <w:b/>
          <w:bCs/>
          <w:iCs/>
          <w:sz w:val="28"/>
        </w:rPr>
        <w:t xml:space="preserve">M. Abelovský, </w:t>
      </w:r>
      <w:r>
        <w:rPr>
          <w:rFonts w:ascii="Times New Roman" w:hAnsi="Times New Roman" w:cs="Times New Roman"/>
          <w:iCs/>
          <w:sz w:val="28"/>
        </w:rPr>
        <w:t>ktorý sa priklonil k názoru predsedu z dôvodu, že sú oblasti, ktoré treba riešiť novým spôsobom, formálne i z hľadiska matérie. Napr. zákon o konkurze a vyrovnaní, zákon o zlúčení profesných komôr (advokátov a komerčných právnikov). Sú to  právne normy, t. č. veľmi aktuálne a prispievajúce k zjednodušeniu konania pred súdmi, súvisiace s</w:t>
      </w:r>
      <w:r>
        <w:rPr>
          <w:rFonts w:ascii="Times New Roman" w:hAnsi="Times New Roman" w:cs="Times New Roman"/>
          <w:iCs/>
          <w:sz w:val="28"/>
        </w:rPr>
        <w:t>o vstupom SR do EÚ.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8"/>
        </w:rPr>
        <w:t xml:space="preserve">S. Husár </w:t>
      </w:r>
      <w:r>
        <w:rPr>
          <w:rFonts w:ascii="Times New Roman" w:hAnsi="Times New Roman" w:cs="Times New Roman"/>
          <w:iCs/>
          <w:sz w:val="28"/>
        </w:rPr>
        <w:t>poukázal v tejto súvislosti na charakter poslaneckých návrhov v minulom volebnom období (populistické, často bol inštitút zneužívaný vládou).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ab/>
        <w:t xml:space="preserve">Podpredseda výboru </w:t>
      </w:r>
      <w:r>
        <w:rPr>
          <w:rFonts w:ascii="Times New Roman" w:hAnsi="Times New Roman" w:cs="Times New Roman"/>
          <w:b/>
          <w:bCs/>
          <w:iCs/>
          <w:sz w:val="28"/>
        </w:rPr>
        <w:t>P. Miššík</w:t>
      </w:r>
      <w:r>
        <w:rPr>
          <w:rFonts w:ascii="Times New Roman" w:hAnsi="Times New Roman" w:cs="Times New Roman"/>
          <w:iCs/>
          <w:sz w:val="28"/>
        </w:rPr>
        <w:t xml:space="preserve"> upozornil v tejto súvislosti </w:t>
      </w:r>
      <w:r>
        <w:rPr>
          <w:rFonts w:ascii="Times New Roman" w:hAnsi="Times New Roman" w:cs="Times New Roman"/>
          <w:b/>
          <w:bCs/>
          <w:iCs/>
          <w:sz w:val="28"/>
        </w:rPr>
        <w:t>na hlavné posl</w:t>
      </w:r>
      <w:r>
        <w:rPr>
          <w:rFonts w:ascii="Times New Roman" w:hAnsi="Times New Roman" w:cs="Times New Roman"/>
          <w:b/>
          <w:bCs/>
          <w:iCs/>
          <w:sz w:val="28"/>
        </w:rPr>
        <w:t>anie ústavnoprávneho výboru</w:t>
      </w:r>
      <w:r>
        <w:rPr>
          <w:rFonts w:ascii="Times New Roman" w:hAnsi="Times New Roman" w:cs="Times New Roman"/>
          <w:iCs/>
          <w:sz w:val="28"/>
        </w:rPr>
        <w:t xml:space="preserve"> – sledovať ústavnosť predkladaných legislatívnych návrhov. 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ab/>
        <w:t>V ďalšom sa poslanci postupne vyjadrovali k spôsobu prijímania rozhodnutí pri realizácii legislatívnej iniciatívy (nadpolovičná väčšina prítomných), jej formách a obs</w:t>
      </w:r>
      <w:r>
        <w:rPr>
          <w:rFonts w:ascii="Times New Roman" w:hAnsi="Times New Roman" w:cs="Times New Roman"/>
          <w:iCs/>
          <w:sz w:val="28"/>
        </w:rPr>
        <w:t xml:space="preserve">ahu. 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ab/>
        <w:t xml:space="preserve">V závere predseda výboru </w:t>
      </w:r>
      <w:r>
        <w:rPr>
          <w:rFonts w:ascii="Times New Roman" w:hAnsi="Times New Roman" w:cs="Times New Roman"/>
          <w:b/>
          <w:bCs/>
          <w:iCs/>
          <w:sz w:val="28"/>
        </w:rPr>
        <w:t xml:space="preserve">J. Drgonec </w:t>
      </w:r>
      <w:r>
        <w:rPr>
          <w:rFonts w:ascii="Times New Roman" w:hAnsi="Times New Roman" w:cs="Times New Roman"/>
          <w:iCs/>
          <w:sz w:val="28"/>
        </w:rPr>
        <w:t xml:space="preserve">informoval o potrebe novelizovať zákon č. 1/1993 Z.z. o Zbierke zákonov v znení neskorších predpisov. Novela by mala riešiť spôsob vyhlásenia výsledkov referenda v nadväznosti na článok 98 ods. 2 Ústavy SR. </w:t>
      </w:r>
    </w:p>
    <w:p>
      <w:pPr>
        <w:jc w:val="both"/>
        <w:rPr>
          <w:rFonts w:ascii="Times New Roman" w:hAnsi="Times New Roman" w:cs="Times New Roman"/>
          <w:iCs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ab/>
      </w:r>
      <w:r>
        <w:rPr>
          <w:rFonts w:ascii="Times New Roman" w:hAnsi="Times New Roman" w:cs="Times New Roman"/>
          <w:b/>
          <w:bCs/>
          <w:iCs/>
          <w:sz w:val="28"/>
        </w:rPr>
        <w:t>Uznesenie č. 6: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  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Ústavnoprávny výbor Národnej rady Slovenskej republiky</w:t>
      </w:r>
    </w:p>
    <w:p>
      <w:pPr>
        <w:rPr>
          <w:rFonts w:ascii="Times New Roman" w:hAnsi="Times New Roman" w:cs="Times New Roman"/>
          <w:sz w:val="28"/>
        </w:rPr>
      </w:pPr>
    </w:p>
    <w:p>
      <w:pPr>
        <w:pStyle w:val="Heading1"/>
        <w:numPr>
          <w:ilvl w:val="0"/>
          <w:numId w:val="225"/>
        </w:numPr>
        <w:tabs>
          <w:tab w:val="left" w:pos="1425"/>
        </w:tabs>
        <w:rPr>
          <w:rFonts w:ascii="Times New Roman" w:hAnsi="Times New Roman" w:cs="Times New Roman"/>
          <w:bCs w:val="0"/>
          <w:sz w:val="28"/>
        </w:rPr>
      </w:pPr>
      <w:r>
        <w:rPr>
          <w:rFonts w:ascii="Times New Roman" w:hAnsi="Times New Roman" w:cs="Times New Roman"/>
          <w:sz w:val="28"/>
        </w:rPr>
        <w:t>p r e r o k o v a l</w:t>
      </w:r>
    </w:p>
    <w:p>
      <w:pPr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Inden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obsahové zameranie zákonodarnej iniciatívy výboru, spôsob a formy jej realizácie;</w:t>
      </w:r>
    </w:p>
    <w:p>
      <w:pPr>
        <w:ind w:firstLine="1416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Heading2"/>
        <w:numPr>
          <w:ilvl w:val="0"/>
          <w:numId w:val="225"/>
        </w:numPr>
        <w:tabs>
          <w:tab w:val="left" w:pos="1425"/>
        </w:tabs>
        <w:rPr>
          <w:rFonts w:ascii="Times New Roman" w:hAnsi="Times New Roman" w:cs="Times New Roman"/>
          <w:sz w:val="28"/>
          <w:u w:val="none"/>
        </w:rPr>
      </w:pPr>
      <w:r>
        <w:rPr>
          <w:rFonts w:ascii="Times New Roman" w:hAnsi="Times New Roman" w:cs="Times New Roman"/>
          <w:sz w:val="28"/>
          <w:u w:val="none"/>
        </w:rPr>
        <w:t>u k l a d á</w:t>
      </w:r>
    </w:p>
    <w:p>
      <w:pPr>
        <w:rPr>
          <w:rFonts w:ascii="Times New Roman" w:hAnsi="Times New Roman" w:cs="Times New Roman"/>
          <w:sz w:val="28"/>
        </w:rPr>
      </w:pPr>
    </w:p>
    <w:p>
      <w:pPr>
        <w:ind w:left="1416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predsedovi výboru</w:t>
      </w:r>
    </w:p>
    <w:p>
      <w:pPr>
        <w:pStyle w:val="BodyTextInden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pripraviť pracovný návrh zákona, ktorým sa bude novelizovať zákon Národnej rady Slovenskej republiky č. 1/1993 Z. z. o Zbierke zákonov Slovenskej republiky v znení neskorších predpisov, ktorý bude riešiť spôsob vyhlásenia výsledkov referenda v nadväznosti na čl. 98 ods. 2 Ústavy Slovenskej republiky. </w:t>
      </w:r>
    </w:p>
    <w:p>
      <w:pPr>
        <w:pStyle w:val="BodyTextIndent"/>
        <w:ind w:firstLine="720"/>
        <w:rPr>
          <w:rFonts w:ascii="Times New Roman" w:hAnsi="Times New Roman" w:cs="Times New Roman"/>
          <w:sz w:val="28"/>
        </w:rPr>
      </w:pPr>
    </w:p>
    <w:p>
      <w:pPr>
        <w:pStyle w:val="BodyTextIndent"/>
        <w:ind w:firstLine="72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9/0/0.</w:t>
      </w:r>
    </w:p>
    <w:p>
      <w:pPr>
        <w:ind w:firstLine="1416"/>
        <w:jc w:val="both"/>
        <w:rPr>
          <w:rFonts w:ascii="Times New Roman" w:hAnsi="Times New Roman" w:cs="Times New Roman"/>
          <w:bCs/>
        </w:rPr>
      </w:pPr>
    </w:p>
    <w:p>
      <w:pPr>
        <w:pStyle w:val="Heading9"/>
        <w:rPr>
          <w:rFonts w:ascii="Times New Roman" w:hAnsi="Times New Roman" w:cs="Times New Roman"/>
        </w:rPr>
      </w:pPr>
    </w:p>
    <w:p>
      <w:pPr>
        <w:pStyle w:val="Heading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Organizácia práce výboru </w:t>
      </w: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>J. Drgonec</w:t>
      </w:r>
      <w:r>
        <w:rPr>
          <w:rFonts w:ascii="Times New Roman" w:hAnsi="Times New Roman" w:cs="Times New Roman"/>
          <w:iCs/>
          <w:sz w:val="28"/>
          <w:lang w:val="sk-SK"/>
        </w:rPr>
        <w:t xml:space="preserve"> navrhol, aby v prípade jeho neprítomnosti sa pri zastupovaní striedali podpredsedovia výboru podľa pravidla: P. Miššík na schôdzach označených párnymi číslami, M. Abelovský nepárnymi číslami. </w:t>
      </w: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Tajomníčka výboru </w:t>
      </w:r>
      <w:r>
        <w:rPr>
          <w:rFonts w:ascii="Times New Roman" w:hAnsi="Times New Roman" w:cs="Times New Roman"/>
          <w:b/>
          <w:bCs/>
          <w:sz w:val="28"/>
        </w:rPr>
        <w:t>M. Šucháňová</w:t>
      </w:r>
      <w:r>
        <w:rPr>
          <w:rFonts w:ascii="Times New Roman" w:hAnsi="Times New Roman" w:cs="Times New Roman"/>
          <w:sz w:val="28"/>
        </w:rPr>
        <w:t xml:space="preserve"> požiadala prítomných, aby venovali pozornosť § 63 rokovacieho poriadku o prezencii a svoju prípadnú neprítomnosť ospravedlnili spôsobom určeným zákonom a na tlačive, ktoré bolo rozdané. Zároveň informovala o or</w:t>
      </w:r>
      <w:r>
        <w:rPr>
          <w:rFonts w:ascii="Times New Roman" w:hAnsi="Times New Roman" w:cs="Times New Roman"/>
          <w:sz w:val="28"/>
        </w:rPr>
        <w:t xml:space="preserve">ganizácii práce výboru. </w:t>
      </w:r>
    </w:p>
    <w:p>
      <w:pPr>
        <w:ind w:left="70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ind w:left="705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Uznesenie č. 7: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</w:rPr>
        <w:t xml:space="preserve">Ústavnoprávny výbor určuje v súlade s § 73 ods. 1 zákona Národnej rady Slovenskej republiky č. 350/1996 Z.z. o rokovacom poriadku Národnej rady Slovenskej republiky v znení neskorších predpisov 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poslanca </w:t>
      </w:r>
      <w:r>
        <w:rPr>
          <w:rFonts w:ascii="Times New Roman" w:hAnsi="Times New Roman" w:cs="Times New Roman"/>
          <w:b/>
          <w:bCs/>
          <w:sz w:val="28"/>
        </w:rPr>
        <w:t>Alexe</w:t>
      </w:r>
      <w:r>
        <w:rPr>
          <w:rFonts w:ascii="Times New Roman" w:hAnsi="Times New Roman" w:cs="Times New Roman"/>
          <w:b/>
          <w:bCs/>
          <w:sz w:val="28"/>
        </w:rPr>
        <w:t>ja Ivanka</w:t>
      </w:r>
      <w:r>
        <w:rPr>
          <w:rFonts w:ascii="Times New Roman" w:hAnsi="Times New Roman" w:cs="Times New Roman"/>
          <w:sz w:val="28"/>
        </w:rPr>
        <w:t>, člena Ústavnoprávneho výboru Národnej rady Slovenskej republiky za  spravodajcu k vládnemu návrhu zákona (tlač 42)  v prvom čítaní;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poslanca</w:t>
      </w:r>
      <w:r>
        <w:rPr>
          <w:rFonts w:ascii="Times New Roman" w:hAnsi="Times New Roman" w:cs="Times New Roman"/>
          <w:b/>
          <w:bCs/>
          <w:sz w:val="28"/>
        </w:rPr>
        <w:t xml:space="preserve"> Miroslava Abelovského</w:t>
      </w:r>
      <w:r>
        <w:rPr>
          <w:rFonts w:ascii="Times New Roman" w:hAnsi="Times New Roman" w:cs="Times New Roman"/>
          <w:sz w:val="28"/>
        </w:rPr>
        <w:t>, člena Ústavnoprávneho výboru Národnej rady Slovenskej republiky za  spravodajcu k vládnemu návrhu zákona (tlač 44)  v prvom čítaní;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poslanca</w:t>
      </w:r>
      <w:r>
        <w:rPr>
          <w:rFonts w:ascii="Times New Roman" w:hAnsi="Times New Roman" w:cs="Times New Roman"/>
          <w:b/>
          <w:bCs/>
          <w:sz w:val="28"/>
        </w:rPr>
        <w:t xml:space="preserve"> Miroslava Abelovského</w:t>
      </w:r>
      <w:r>
        <w:rPr>
          <w:rFonts w:ascii="Times New Roman" w:hAnsi="Times New Roman" w:cs="Times New Roman"/>
          <w:sz w:val="28"/>
        </w:rPr>
        <w:t>, člena Ústavnoprávneho výboru Národnej rady Slovenskej republiky za  spravodajcu k vládnemu návrhu zákona (tlač 72)  v prvom čítaní.</w:t>
      </w:r>
    </w:p>
    <w:p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Určenie spravodajcov pre 2. čítanie náv</w:t>
      </w:r>
      <w:r>
        <w:rPr>
          <w:rFonts w:ascii="Times New Roman" w:hAnsi="Times New Roman" w:cs="Times New Roman"/>
          <w:sz w:val="28"/>
        </w:rPr>
        <w:t xml:space="preserve">rhu zákonov vo výbore – hlasovanie </w:t>
      </w:r>
      <w:r>
        <w:rPr>
          <w:rFonts w:ascii="Times New Roman" w:hAnsi="Times New Roman" w:cs="Times New Roman"/>
          <w:b/>
          <w:bCs/>
          <w:sz w:val="28"/>
        </w:rPr>
        <w:t>9/0/0.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Pozvánka (4. – 5. 12. 2002) na seminár pod názvom „EURO“ organizovaný Úradom pre výmenu informácií o technickej pomoci (TAIEX) so  sídlom v Bruseli. Za ústavnoprávny výbor bol navrhnutý poslanec </w:t>
      </w:r>
      <w:r>
        <w:rPr>
          <w:rFonts w:ascii="Times New Roman" w:hAnsi="Times New Roman" w:cs="Times New Roman"/>
          <w:b/>
          <w:bCs/>
          <w:sz w:val="28"/>
        </w:rPr>
        <w:t>R. Madej.</w:t>
      </w:r>
    </w:p>
    <w:p>
      <w:pPr>
        <w:rPr>
          <w:rFonts w:ascii="Times New Roman" w:hAnsi="Times New Roman" w:cs="Times New Roman"/>
          <w:b/>
          <w:bCs/>
          <w:sz w:val="28"/>
        </w:rPr>
      </w:pP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Všetky písomnosti, na ktoré sa zápisnica odvoláva,</w:t>
      </w:r>
      <w:r>
        <w:rPr>
          <w:rFonts w:ascii="Times New Roman" w:hAnsi="Times New Roman" w:cs="Times New Roman"/>
          <w:sz w:val="28"/>
        </w:rPr>
        <w:t xml:space="preserve"> sú jej súčasťou. </w:t>
      </w:r>
    </w:p>
    <w:p>
      <w:pPr>
        <w:rPr>
          <w:rFonts w:ascii="Times New Roman" w:hAnsi="Times New Roman" w:cs="Times New Roman"/>
          <w:b/>
          <w:bCs/>
          <w:sz w:val="28"/>
        </w:rPr>
      </w:pPr>
    </w:p>
    <w:p>
      <w:pPr>
        <w:rPr>
          <w:rFonts w:ascii="Times New Roman" w:hAnsi="Times New Roman" w:cs="Times New Roman"/>
          <w:b/>
          <w:bCs/>
          <w:sz w:val="28"/>
        </w:rPr>
      </w:pPr>
    </w:p>
    <w:p>
      <w:pPr>
        <w:rPr>
          <w:rFonts w:ascii="Times New Roman" w:hAnsi="Times New Roman" w:cs="Times New Roman"/>
          <w:b/>
          <w:bCs/>
          <w:sz w:val="28"/>
        </w:rPr>
      </w:pPr>
    </w:p>
    <w:p>
      <w:pPr>
        <w:rPr>
          <w:rFonts w:ascii="Times New Roman" w:hAnsi="Times New Roman" w:cs="Times New Roman"/>
          <w:b/>
          <w:bCs/>
          <w:sz w:val="28"/>
        </w:rPr>
      </w:pPr>
    </w:p>
    <w:p>
      <w:pPr>
        <w:rPr>
          <w:rFonts w:ascii="Times New Roman" w:hAnsi="Times New Roman" w:cs="Times New Roman"/>
          <w:b/>
          <w:bCs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ab/>
        <w:tab/>
        <w:tab/>
        <w:t xml:space="preserve">                      Ján Drgonec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overovateľ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7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0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4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5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6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7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8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9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1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34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6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7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9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1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47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48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0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1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53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55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6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7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9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0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1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2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63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5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7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8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9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70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73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4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5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6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9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81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3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84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5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7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9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90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1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93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4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6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97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98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9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0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1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2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3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04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5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7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8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09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0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1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3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4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5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6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7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4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7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28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29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1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35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37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8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39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0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44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45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46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47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48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1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2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54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5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6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57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59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1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3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64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5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6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67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0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1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2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3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174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75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6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77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9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80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1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82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4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85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86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188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9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0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91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193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94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95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96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7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98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99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0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01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03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4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5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07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9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12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3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4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15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6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7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8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9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0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21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5"/>
  </w:num>
  <w:num w:numId="2">
    <w:abstractNumId w:val="220"/>
  </w:num>
  <w:num w:numId="3">
    <w:abstractNumId w:val="151"/>
  </w:num>
  <w:num w:numId="4">
    <w:abstractNumId w:val="177"/>
  </w:num>
  <w:num w:numId="5">
    <w:abstractNumId w:val="201"/>
  </w:num>
  <w:num w:numId="6">
    <w:abstractNumId w:val="121"/>
  </w:num>
  <w:num w:numId="7">
    <w:abstractNumId w:val="182"/>
  </w:num>
  <w:num w:numId="8">
    <w:abstractNumId w:val="207"/>
  </w:num>
  <w:num w:numId="9">
    <w:abstractNumId w:val="31"/>
  </w:num>
  <w:num w:numId="10">
    <w:abstractNumId w:val="140"/>
  </w:num>
  <w:num w:numId="11">
    <w:abstractNumId w:val="83"/>
  </w:num>
  <w:num w:numId="12">
    <w:abstractNumId w:val="164"/>
  </w:num>
  <w:num w:numId="13">
    <w:abstractNumId w:val="155"/>
  </w:num>
  <w:num w:numId="14">
    <w:abstractNumId w:val="74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4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00"/>
  </w:num>
  <w:num w:numId="28">
    <w:abstractNumId w:val="179"/>
  </w:num>
  <w:num w:numId="29">
    <w:abstractNumId w:val="216"/>
  </w:num>
  <w:num w:numId="30">
    <w:abstractNumId w:val="20"/>
  </w:num>
  <w:num w:numId="31">
    <w:abstractNumId w:val="204"/>
  </w:num>
  <w:num w:numId="32">
    <w:abstractNumId w:val="26"/>
  </w:num>
  <w:num w:numId="33">
    <w:abstractNumId w:val="180"/>
  </w:num>
  <w:num w:numId="34">
    <w:abstractNumId w:val="203"/>
  </w:num>
  <w:num w:numId="35">
    <w:abstractNumId w:val="178"/>
  </w:num>
  <w:num w:numId="36">
    <w:abstractNumId w:val="212"/>
  </w:num>
  <w:num w:numId="37">
    <w:abstractNumId w:val="214"/>
  </w:num>
  <w:num w:numId="38">
    <w:abstractNumId w:val="47"/>
  </w:num>
  <w:num w:numId="39">
    <w:abstractNumId w:val="197"/>
  </w:num>
  <w:num w:numId="40">
    <w:abstractNumId w:val="127"/>
  </w:num>
  <w:num w:numId="41">
    <w:abstractNumId w:val="175"/>
  </w:num>
  <w:num w:numId="42">
    <w:abstractNumId w:val="110"/>
  </w:num>
  <w:num w:numId="43">
    <w:abstractNumId w:val="35"/>
  </w:num>
  <w:num w:numId="44">
    <w:abstractNumId w:val="25"/>
  </w:num>
  <w:num w:numId="45">
    <w:abstractNumId w:val="198"/>
  </w:num>
  <w:num w:numId="46">
    <w:abstractNumId w:val="194"/>
  </w:num>
  <w:num w:numId="47">
    <w:abstractNumId w:val="174"/>
  </w:num>
  <w:num w:numId="48">
    <w:abstractNumId w:val="27"/>
  </w:num>
  <w:num w:numId="49">
    <w:abstractNumId w:val="16"/>
  </w:num>
  <w:num w:numId="50">
    <w:abstractNumId w:val="162"/>
  </w:num>
  <w:num w:numId="51">
    <w:abstractNumId w:val="75"/>
  </w:num>
  <w:num w:numId="52">
    <w:abstractNumId w:val="143"/>
  </w:num>
  <w:num w:numId="53">
    <w:abstractNumId w:val="136"/>
  </w:num>
  <w:num w:numId="54">
    <w:abstractNumId w:val="89"/>
  </w:num>
  <w:num w:numId="55">
    <w:abstractNumId w:val="104"/>
  </w:num>
  <w:num w:numId="56">
    <w:abstractNumId w:val="102"/>
  </w:num>
  <w:num w:numId="57">
    <w:abstractNumId w:val="60"/>
  </w:num>
  <w:num w:numId="58">
    <w:abstractNumId w:val="101"/>
  </w:num>
  <w:num w:numId="59">
    <w:abstractNumId w:val="187"/>
  </w:num>
  <w:num w:numId="60">
    <w:abstractNumId w:val="215"/>
  </w:num>
  <w:num w:numId="61">
    <w:abstractNumId w:val="192"/>
  </w:num>
  <w:num w:numId="62">
    <w:abstractNumId w:val="46"/>
  </w:num>
  <w:num w:numId="63">
    <w:abstractNumId w:val="169"/>
  </w:num>
  <w:num w:numId="64">
    <w:abstractNumId w:val="154"/>
  </w:num>
  <w:num w:numId="65">
    <w:abstractNumId w:val="85"/>
  </w:num>
  <w:num w:numId="66">
    <w:abstractNumId w:val="33"/>
  </w:num>
  <w:num w:numId="67">
    <w:abstractNumId w:val="138"/>
  </w:num>
  <w:num w:numId="68">
    <w:abstractNumId w:val="195"/>
  </w:num>
  <w:num w:numId="69">
    <w:abstractNumId w:val="49"/>
  </w:num>
  <w:num w:numId="70">
    <w:abstractNumId w:val="156"/>
  </w:num>
  <w:num w:numId="71">
    <w:abstractNumId w:val="23"/>
  </w:num>
  <w:num w:numId="72">
    <w:abstractNumId w:val="176"/>
  </w:num>
  <w:num w:numId="73">
    <w:abstractNumId w:val="218"/>
  </w:num>
  <w:num w:numId="74">
    <w:abstractNumId w:val="184"/>
  </w:num>
  <w:num w:numId="75">
    <w:abstractNumId w:val="130"/>
  </w:num>
  <w:num w:numId="76">
    <w:abstractNumId w:val="185"/>
  </w:num>
  <w:num w:numId="77">
    <w:abstractNumId w:val="99"/>
  </w:num>
  <w:num w:numId="78">
    <w:abstractNumId w:val="52"/>
  </w:num>
  <w:num w:numId="79">
    <w:abstractNumId w:val="80"/>
  </w:num>
  <w:num w:numId="80">
    <w:abstractNumId w:val="145"/>
  </w:num>
  <w:num w:numId="81">
    <w:abstractNumId w:val="40"/>
  </w:num>
  <w:num w:numId="82">
    <w:abstractNumId w:val="123"/>
  </w:num>
  <w:num w:numId="83">
    <w:abstractNumId w:val="13"/>
  </w:num>
  <w:num w:numId="84">
    <w:abstractNumId w:val="15"/>
  </w:num>
  <w:num w:numId="85">
    <w:abstractNumId w:val="28"/>
  </w:num>
  <w:num w:numId="86">
    <w:abstractNumId w:val="114"/>
  </w:num>
  <w:num w:numId="87">
    <w:abstractNumId w:val="88"/>
  </w:num>
  <w:num w:numId="88">
    <w:abstractNumId w:val="66"/>
  </w:num>
  <w:num w:numId="89">
    <w:abstractNumId w:val="134"/>
  </w:num>
  <w:num w:numId="90">
    <w:abstractNumId w:val="118"/>
  </w:num>
  <w:num w:numId="91">
    <w:abstractNumId w:val="86"/>
  </w:num>
  <w:num w:numId="92">
    <w:abstractNumId w:val="181"/>
  </w:num>
  <w:num w:numId="93">
    <w:abstractNumId w:val="202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97"/>
  </w:num>
  <w:num w:numId="96">
    <w:abstractNumId w:val="103"/>
  </w:num>
  <w:num w:numId="97">
    <w:abstractNumId w:val="217"/>
  </w:num>
  <w:num w:numId="98">
    <w:abstractNumId w:val="137"/>
  </w:num>
  <w:num w:numId="99">
    <w:abstractNumId w:val="109"/>
  </w:num>
  <w:num w:numId="100">
    <w:abstractNumId w:val="139"/>
  </w:num>
  <w:num w:numId="101">
    <w:abstractNumId w:val="144"/>
  </w:num>
  <w:num w:numId="102">
    <w:abstractNumId w:val="128"/>
  </w:num>
  <w:num w:numId="103">
    <w:abstractNumId w:val="106"/>
  </w:num>
  <w:num w:numId="104">
    <w:abstractNumId w:val="189"/>
  </w:num>
  <w:num w:numId="105">
    <w:abstractNumId w:val="116"/>
  </w:num>
  <w:num w:numId="106">
    <w:abstractNumId w:val="173"/>
  </w:num>
  <w:num w:numId="107">
    <w:abstractNumId w:val="19"/>
  </w:num>
  <w:num w:numId="108">
    <w:abstractNumId w:val="22"/>
  </w:num>
  <w:num w:numId="109">
    <w:abstractNumId w:val="190"/>
  </w:num>
  <w:num w:numId="110">
    <w:abstractNumId w:val="50"/>
  </w:num>
  <w:num w:numId="111">
    <w:abstractNumId w:val="112"/>
  </w:num>
  <w:num w:numId="112">
    <w:abstractNumId w:val="213"/>
  </w:num>
  <w:num w:numId="113">
    <w:abstractNumId w:val="96"/>
  </w:num>
  <w:num w:numId="114">
    <w:abstractNumId w:val="63"/>
  </w:num>
  <w:num w:numId="115">
    <w:abstractNumId w:val="170"/>
  </w:num>
  <w:num w:numId="116">
    <w:abstractNumId w:val="219"/>
  </w:num>
  <w:num w:numId="117">
    <w:abstractNumId w:val="45"/>
  </w:num>
  <w:num w:numId="118">
    <w:abstractNumId w:val="196"/>
  </w:num>
  <w:num w:numId="119">
    <w:abstractNumId w:val="57"/>
  </w:num>
  <w:num w:numId="120">
    <w:abstractNumId w:val="90"/>
  </w:num>
  <w:num w:numId="121">
    <w:abstractNumId w:val="91"/>
  </w:num>
  <w:num w:numId="122">
    <w:abstractNumId w:val="81"/>
  </w:num>
  <w:num w:numId="123">
    <w:abstractNumId w:val="172"/>
  </w:num>
  <w:num w:numId="124">
    <w:abstractNumId w:val="78"/>
  </w:num>
  <w:num w:numId="125">
    <w:abstractNumId w:val="38"/>
  </w:num>
  <w:num w:numId="126">
    <w:abstractNumId w:val="160"/>
  </w:num>
  <w:num w:numId="127">
    <w:abstractNumId w:val="24"/>
  </w:num>
  <w:num w:numId="128">
    <w:abstractNumId w:val="100"/>
  </w:num>
  <w:num w:numId="129">
    <w:abstractNumId w:val="113"/>
  </w:num>
  <w:num w:numId="130">
    <w:abstractNumId w:val="161"/>
  </w:num>
  <w:num w:numId="131">
    <w:abstractNumId w:val="12"/>
  </w:num>
  <w:num w:numId="132">
    <w:abstractNumId w:val="149"/>
  </w:num>
  <w:num w:numId="133">
    <w:abstractNumId w:val="183"/>
  </w:num>
  <w:num w:numId="134">
    <w:abstractNumId w:val="93"/>
  </w:num>
  <w:num w:numId="135">
    <w:abstractNumId w:val="133"/>
  </w:num>
  <w:num w:numId="136">
    <w:abstractNumId w:val="41"/>
  </w:num>
  <w:num w:numId="137">
    <w:abstractNumId w:val="115"/>
  </w:num>
  <w:num w:numId="138">
    <w:abstractNumId w:val="44"/>
  </w:num>
  <w:num w:numId="139">
    <w:abstractNumId w:val="43"/>
  </w:num>
  <w:num w:numId="140">
    <w:abstractNumId w:val="68"/>
  </w:num>
  <w:num w:numId="141">
    <w:abstractNumId w:val="188"/>
  </w:num>
  <w:num w:numId="142">
    <w:abstractNumId w:val="208"/>
  </w:num>
  <w:num w:numId="143">
    <w:abstractNumId w:val="167"/>
  </w:num>
  <w:num w:numId="144">
    <w:abstractNumId w:val="84"/>
  </w:num>
  <w:num w:numId="145">
    <w:abstractNumId w:val="36"/>
  </w:num>
  <w:num w:numId="146">
    <w:abstractNumId w:val="73"/>
  </w:num>
  <w:num w:numId="147">
    <w:abstractNumId w:val="165"/>
  </w:num>
  <w:num w:numId="148">
    <w:abstractNumId w:val="107"/>
  </w:num>
  <w:num w:numId="149">
    <w:abstractNumId w:val="64"/>
  </w:num>
  <w:num w:numId="150">
    <w:abstractNumId w:val="59"/>
  </w:num>
  <w:num w:numId="151">
    <w:abstractNumId w:val="150"/>
  </w:num>
  <w:num w:numId="152">
    <w:abstractNumId w:val="131"/>
  </w:num>
  <w:num w:numId="153">
    <w:abstractNumId w:val="199"/>
  </w:num>
  <w:num w:numId="154">
    <w:abstractNumId w:val="18"/>
  </w:num>
  <w:num w:numId="155">
    <w:abstractNumId w:val="171"/>
  </w:num>
  <w:num w:numId="156">
    <w:abstractNumId w:val="29"/>
  </w:num>
  <w:num w:numId="157">
    <w:abstractNumId w:val="142"/>
  </w:num>
  <w:num w:numId="158">
    <w:abstractNumId w:val="82"/>
  </w:num>
  <w:num w:numId="159">
    <w:abstractNumId w:val="193"/>
  </w:num>
  <w:num w:numId="160">
    <w:abstractNumId w:val="124"/>
  </w:num>
  <w:num w:numId="161">
    <w:abstractNumId w:val="129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05"/>
  </w:num>
  <w:num w:numId="167">
    <w:abstractNumId w:val="125"/>
  </w:num>
  <w:num w:numId="168">
    <w:abstractNumId w:val="79"/>
  </w:num>
  <w:num w:numId="169">
    <w:abstractNumId w:val="166"/>
  </w:num>
  <w:num w:numId="170">
    <w:abstractNumId w:val="62"/>
  </w:num>
  <w:num w:numId="171">
    <w:abstractNumId w:val="34"/>
  </w:num>
  <w:num w:numId="172">
    <w:abstractNumId w:val="70"/>
  </w:num>
  <w:num w:numId="173">
    <w:abstractNumId w:val="32"/>
  </w:num>
  <w:num w:numId="174">
    <w:abstractNumId w:val="56"/>
  </w:num>
  <w:num w:numId="175">
    <w:abstractNumId w:val="17"/>
  </w:num>
  <w:num w:numId="176">
    <w:abstractNumId w:val="163"/>
  </w:num>
  <w:num w:numId="177">
    <w:abstractNumId w:val="148"/>
  </w:num>
  <w:num w:numId="178">
    <w:abstractNumId w:val="157"/>
  </w:num>
  <w:num w:numId="179">
    <w:abstractNumId w:val="58"/>
  </w:num>
  <w:num w:numId="180">
    <w:abstractNumId w:val="122"/>
  </w:num>
  <w:num w:numId="181">
    <w:abstractNumId w:val="141"/>
  </w:num>
  <w:num w:numId="182">
    <w:abstractNumId w:val="53"/>
  </w:num>
  <w:num w:numId="183">
    <w:abstractNumId w:val="111"/>
  </w:num>
  <w:num w:numId="184">
    <w:abstractNumId w:val="132"/>
  </w:num>
  <w:num w:numId="185">
    <w:abstractNumId w:val="51"/>
  </w:num>
  <w:num w:numId="186">
    <w:abstractNumId w:val="120"/>
  </w:num>
  <w:num w:numId="187">
    <w:abstractNumId w:val="108"/>
  </w:num>
  <w:num w:numId="188">
    <w:abstractNumId w:val="65"/>
  </w:num>
  <w:num w:numId="189">
    <w:abstractNumId w:val="42"/>
  </w:num>
  <w:num w:numId="190">
    <w:abstractNumId w:val="191"/>
  </w:num>
  <w:num w:numId="191">
    <w:abstractNumId w:val="209"/>
  </w:num>
  <w:num w:numId="192">
    <w:abstractNumId w:val="159"/>
  </w:num>
  <w:num w:numId="193">
    <w:abstractNumId w:val="76"/>
  </w:num>
  <w:num w:numId="194">
    <w:abstractNumId w:val="168"/>
  </w:num>
  <w:num w:numId="195">
    <w:abstractNumId w:val="21"/>
  </w:num>
  <w:num w:numId="196">
    <w:abstractNumId w:val="222"/>
  </w:num>
  <w:num w:numId="197">
    <w:abstractNumId w:val="206"/>
  </w:num>
  <w:num w:numId="198">
    <w:abstractNumId w:val="152"/>
  </w:num>
  <w:num w:numId="199">
    <w:abstractNumId w:val="117"/>
  </w:num>
  <w:num w:numId="200">
    <w:abstractNumId w:val="158"/>
  </w:num>
  <w:num w:numId="201">
    <w:abstractNumId w:val="205"/>
  </w:num>
  <w:num w:numId="202">
    <w:abstractNumId w:val="39"/>
  </w:num>
  <w:num w:numId="203">
    <w:abstractNumId w:val="210"/>
  </w:num>
  <w:num w:numId="204">
    <w:abstractNumId w:val="61"/>
  </w:num>
  <w:num w:numId="205">
    <w:abstractNumId w:val="92"/>
  </w:num>
  <w:num w:numId="206">
    <w:abstractNumId w:val="14"/>
  </w:num>
  <w:num w:numId="207">
    <w:abstractNumId w:val="221"/>
  </w:num>
  <w:num w:numId="208">
    <w:abstractNumId w:val="94"/>
  </w:num>
  <w:num w:numId="209">
    <w:abstractNumId w:val="72"/>
  </w:num>
  <w:num w:numId="210">
    <w:abstractNumId w:val="48"/>
  </w:num>
  <w:num w:numId="211">
    <w:abstractNumId w:val="95"/>
  </w:num>
  <w:num w:numId="212">
    <w:abstractNumId w:val="119"/>
  </w:num>
  <w:num w:numId="213">
    <w:abstractNumId w:val="37"/>
  </w:num>
  <w:num w:numId="214">
    <w:abstractNumId w:val="71"/>
  </w:num>
  <w:num w:numId="215">
    <w:abstractNumId w:val="67"/>
  </w:num>
  <w:num w:numId="216">
    <w:abstractNumId w:val="211"/>
  </w:num>
  <w:num w:numId="217">
    <w:abstractNumId w:val="153"/>
  </w:num>
  <w:num w:numId="218">
    <w:abstractNumId w:val="77"/>
  </w:num>
  <w:num w:numId="219">
    <w:abstractNumId w:val="87"/>
  </w:num>
  <w:num w:numId="220">
    <w:abstractNumId w:val="186"/>
  </w:num>
  <w:num w:numId="221">
    <w:abstractNumId w:val="30"/>
  </w:num>
  <w:num w:numId="222">
    <w:abstractNumId w:val="147"/>
  </w:num>
  <w:num w:numId="223">
    <w:abstractNumId w:val="69"/>
  </w:num>
  <w:num w:numId="224">
    <w:abstractNumId w:val="55"/>
  </w:num>
  <w:num w:numId="225">
    <w:abstractNumId w:val="98"/>
  </w:num>
  <w:num w:numId="226">
    <w:abstractNumId w:val="126"/>
  </w:num>
  <w:num w:numId="227">
    <w:abstractNumId w:val="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0"/>
      </w:tabs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qFormat/>
    <w:pPr>
      <w:keepNext/>
      <w:jc w:val="left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7">
    <w:name w:val="heading 7"/>
    <w:basedOn w:val="Normal"/>
    <w:next w:val="Normal"/>
    <w:uiPriority w:val="9"/>
    <w:qFormat/>
    <w:pPr>
      <w:keepNext/>
      <w:jc w:val="left"/>
      <w:outlineLvl w:val="6"/>
    </w:pPr>
    <w:rPr>
      <w:sz w:val="28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360" w:firstLine="348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1416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3">
    <w:name w:val="Body Text Indent 3"/>
    <w:basedOn w:val="Normal"/>
    <w:pPr>
      <w:ind w:firstLine="340"/>
      <w:jc w:val="both"/>
    </w:pPr>
  </w:style>
  <w:style w:type="paragraph" w:customStyle="1" w:styleId="TxBrp12">
    <w:name w:val="TxBr_p12"/>
    <w:basedOn w:val="Normal"/>
    <w:pPr>
      <w:tabs>
        <w:tab w:val="left" w:pos="3560"/>
      </w:tabs>
      <w:autoSpaceDE/>
      <w:autoSpaceDN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19">
    <w:name w:val="TxBr_p19"/>
    <w:basedOn w:val="Normal"/>
    <w:pPr>
      <w:tabs>
        <w:tab w:val="left" w:pos="3560"/>
      </w:tabs>
      <w:autoSpaceDE/>
      <w:autoSpaceDN/>
      <w:spacing w:line="240" w:lineRule="atLeast"/>
      <w:ind w:left="2194"/>
      <w:jc w:val="left"/>
    </w:pPr>
    <w:rPr>
      <w:sz w:val="20"/>
      <w:lang w:val="en-US"/>
    </w:rPr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1558</TotalTime>
  <Pages>1</Pages>
  <Words>1434</Words>
  <Characters>8174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ÚPV 2</dc:title>
  <dc:subject>schôdza 2, 5. november 2002</dc:subject>
  <dc:creator>Viera Ebringerová</dc:creator>
  <cp:lastModifiedBy>Viera Ebringerová</cp:lastModifiedBy>
  <cp:revision>336</cp:revision>
  <cp:lastPrinted>2002-11-20T09:26:00Z</cp:lastPrinted>
  <dcterms:created xsi:type="dcterms:W3CDTF">2001-11-14T07:59:00Z</dcterms:created>
  <dcterms:modified xsi:type="dcterms:W3CDTF">2002-11-20T09:44:00Z</dcterms:modified>
  <cp:category>zápisnica</cp:category>
</cp:coreProperties>
</file>