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zo 14. schôdze Ústavnoprávneho výboru Národnej rady Slovenskej republiky  5. februára 2003 o 9,00 h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10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listiny);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left="1596" w:hanging="1596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Ospravedlnený: </w:t>
        <w:tab/>
      </w:r>
      <w:r>
        <w:rPr>
          <w:rFonts w:ascii="Times New Roman" w:hAnsi="Times New Roman" w:cs="Times New Roman"/>
          <w:bCs/>
          <w:sz w:val="28"/>
        </w:rPr>
        <w:t>posl. J. Elsner.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 a navrhol schváliť program rokovania. Konštatoval, že výbor je uznášaniaschopný.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Program:</w:t>
      </w:r>
    </w:p>
    <w:p>
      <w:pPr>
        <w:numPr>
          <w:ilvl w:val="0"/>
          <w:numId w:val="235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Návrh na vyslanie jednotky radiačnej, chemickej a biologickej ochrany ozbrojených síl Slovenskej republiky v rámci spoločných akcií týkajúcich sa Irackej republiky (tlač 144)</w:t>
      </w:r>
    </w:p>
    <w:p>
      <w:pPr>
        <w:ind w:left="5580" w:hanging="1332"/>
        <w:jc w:val="both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 Rôzne.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o programe – </w:t>
      </w:r>
      <w:r>
        <w:rPr>
          <w:rFonts w:ascii="Times New Roman" w:hAnsi="Times New Roman" w:cs="Times New Roman"/>
          <w:b/>
          <w:bCs/>
          <w:sz w:val="28"/>
        </w:rPr>
        <w:t xml:space="preserve">8/0/0. </w:t>
      </w: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1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144)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vyslanie jednotky radiačnej, chemickej a biologickej ochrany ozbrojených síl Slovenskej republiky v rámci spoločných akcií týkajúcich sa Irackej republiky (tlač 144) odôvodnil </w:t>
      </w:r>
      <w:r>
        <w:rPr>
          <w:rFonts w:ascii="Times New Roman" w:hAnsi="Times New Roman" w:cs="Times New Roman"/>
          <w:b/>
          <w:bCs/>
          <w:sz w:val="28"/>
        </w:rPr>
        <w:t>I. Šimko</w:t>
      </w:r>
      <w:r>
        <w:rPr>
          <w:rFonts w:ascii="Times New Roman" w:hAnsi="Times New Roman" w:cs="Times New Roman"/>
          <w:sz w:val="28"/>
        </w:rPr>
        <w:t>, minister obrany SR.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podpredseda výboru </w:t>
      </w:r>
      <w:r>
        <w:rPr>
          <w:rFonts w:ascii="Times New Roman" w:hAnsi="Times New Roman" w:cs="Times New Roman"/>
          <w:b/>
          <w:bCs/>
          <w:sz w:val="28"/>
        </w:rPr>
        <w:t xml:space="preserve">P. Miššík </w:t>
      </w:r>
      <w:r>
        <w:rPr>
          <w:rFonts w:ascii="Times New Roman" w:hAnsi="Times New Roman" w:cs="Times New Roman"/>
          <w:sz w:val="28"/>
        </w:rPr>
        <w:t xml:space="preserve">v danej súvislosti dal do pozornosti list amerického veľvyslanca doručený predsedovi vlády. Odporučil vážne posúdiť znenie navrhnutého uznesenia, v merite podporiť.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vystúpili: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sa obrátil na prítomných s požiadavkou, aby sa venovali predovšetkým ústavnoprávnym otázkam z nasledovných hľadísk:</w:t>
      </w:r>
    </w:p>
    <w:p>
      <w:pPr>
        <w:numPr>
          <w:ilvl w:val="0"/>
          <w:numId w:val="242"/>
        </w:numPr>
        <w:tabs>
          <w:tab w:val="left" w:pos="1080"/>
          <w:tab w:val="clear" w:pos="1788"/>
        </w:tabs>
        <w:ind w:left="1080" w:hanging="372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Slovenská republika je účastníkom pripravovaného vstu</w:t>
      </w:r>
      <w:r>
        <w:rPr>
          <w:rFonts w:ascii="Times New Roman" w:hAnsi="Times New Roman" w:cs="Times New Roman"/>
          <w:b/>
          <w:bCs/>
          <w:sz w:val="28"/>
        </w:rPr>
        <w:t>pu do NATO,</w:t>
      </w:r>
    </w:p>
    <w:p>
      <w:pPr>
        <w:numPr>
          <w:ilvl w:val="0"/>
          <w:numId w:val="242"/>
        </w:numPr>
        <w:tabs>
          <w:tab w:val="left" w:pos="1080"/>
          <w:tab w:val="clear" w:pos="1788"/>
        </w:tabs>
        <w:ind w:left="1080" w:hanging="372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Právne postavenie Slovenskej republiky nie je identické s postavením členských krajín,</w:t>
      </w:r>
    </w:p>
    <w:p>
      <w:pPr>
        <w:numPr>
          <w:ilvl w:val="0"/>
          <w:numId w:val="242"/>
        </w:numPr>
        <w:tabs>
          <w:tab w:val="left" w:pos="1080"/>
          <w:tab w:val="clear" w:pos="1788"/>
        </w:tabs>
        <w:ind w:left="1080" w:hanging="372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nie je riziko, že nás OSN vyhlási za agresora.</w:t>
      </w: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Položil tiež otázku, akým spôsobom je z tohto pohľadu riešené postavenie Slovenskej republiky z hľadiska medz</w:t>
      </w:r>
      <w:r>
        <w:rPr>
          <w:rFonts w:ascii="Times New Roman" w:hAnsi="Times New Roman" w:cs="Times New Roman"/>
          <w:sz w:val="28"/>
        </w:rPr>
        <w:t>inárodného práva.</w:t>
      </w: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Prítomný minister obrany</w:t>
      </w:r>
      <w:r>
        <w:rPr>
          <w:rFonts w:ascii="Times New Roman" w:hAnsi="Times New Roman" w:cs="Times New Roman"/>
          <w:sz w:val="28"/>
        </w:rPr>
        <w:t xml:space="preserve"> ozrejmil, že nejde o akciu OSN, za najvhodnejšie považuje prijatie ďalšej a jednoznačnejšej rezolúcie OSN. I keď  v minulosti sa konalo aj bez rezolúcie OSN (Kosovo). Z hľadiska medzinárodného práva je záležitosť vyriešená, nie je nebezpečie , že SR bude vyhlásená za agresora. Pri formulovaní uznesenia, o ktoré ide, vláda sa inšpirovala textom, ktoré prijala česká vláda a rozhodnutie vlády o použití chemickej jednotky v bojových akciách je podmienené prijatím rezolúcie OSN. V prípade, že parlament schváli účasť, chemická jednotka odcestuje koncom februára, veliť im bude veliteľ zo Slovenska, avšak v súlade s pokynmi z centrálneho velenia. Podlieha tiež politickému veleniu. V prípade mandátu OSN – Američan (reakcia </w:t>
      </w:r>
      <w:r>
        <w:rPr>
          <w:rFonts w:ascii="Times New Roman" w:hAnsi="Times New Roman" w:cs="Times New Roman"/>
          <w:sz w:val="28"/>
        </w:rPr>
        <w:t xml:space="preserve">na otázku posl. M. Abelovského). Minister obrany </w:t>
      </w:r>
      <w:r>
        <w:rPr>
          <w:rFonts w:ascii="Times New Roman" w:hAnsi="Times New Roman" w:cs="Times New Roman"/>
          <w:b/>
          <w:bCs/>
          <w:sz w:val="28"/>
        </w:rPr>
        <w:t>I. Šimko</w:t>
      </w:r>
      <w:r>
        <w:rPr>
          <w:rFonts w:ascii="Times New Roman" w:hAnsi="Times New Roman" w:cs="Times New Roman"/>
          <w:sz w:val="28"/>
        </w:rPr>
        <w:t xml:space="preserve"> reagoval na otázky a pripomienky ďalších poslancov typu, či rozhodnutie nie je urýchlené (ide o vec známu, o ktorej sa už dlho hovorí na oficiálnej i neoficiálnej úrovni) ako sa organizuje účasť (na princípe dobrovoľnosti), či sa svojou účasťou a zameraním (zatiaľ nie bojový charakter) nestanú terčom útoku nepriateľských jednotiek (sú vyzbrojení osobnými zbraňami, je zabezpečená vzdušná ochrana, jednotka nejde v prvej línii).</w:t>
      </w: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G. Gál</w:t>
      </w:r>
      <w:r>
        <w:rPr>
          <w:rFonts w:ascii="Times New Roman" w:hAnsi="Times New Roman" w:cs="Times New Roman"/>
          <w:sz w:val="28"/>
        </w:rPr>
        <w:t xml:space="preserve"> sa zaujímal o počtoch prihlásených  a o spôsobe výberu (I. Šimko – prihlásených bolo mnoho, sú to vojaci z povolania, výber bol náročný). </w:t>
      </w: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J. Miklušičák</w:t>
      </w:r>
      <w:r>
        <w:rPr>
          <w:rFonts w:ascii="Times New Roman" w:hAnsi="Times New Roman" w:cs="Times New Roman"/>
          <w:sz w:val="28"/>
        </w:rPr>
        <w:t xml:space="preserve"> - čo  zahŕňa pojem „príslušnej rezolúcie“. Nejde iba o jednu, ktorá má byť prijatá, ale o celý rad (16), ktoré boli postupne prijímané s cieľom odzbrojiť Irak, najmä pokiaľ ide o zbrane hromadného ničenia, chemické a biologické. V rezolúcii č. 1441 obsahuje aj výhradu, že ak Irak nedodrží ustanovené podmienky, budú nasledovať vážne opatrenia (I. Šimko). Menovaný  tiež navrhol:</w:t>
      </w:r>
    </w:p>
    <w:p>
      <w:pPr>
        <w:numPr>
          <w:ilvl w:val="0"/>
          <w:numId w:val="243"/>
        </w:numPr>
        <w:tabs>
          <w:tab w:val="left" w:pos="1428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alternatíva – vypustiť 4 ods. navrhnutého uznesenia – hlasovanie </w:t>
      </w:r>
      <w:r>
        <w:rPr>
          <w:rFonts w:ascii="Times New Roman" w:hAnsi="Times New Roman" w:cs="Times New Roman"/>
          <w:b/>
          <w:bCs/>
          <w:sz w:val="28"/>
        </w:rPr>
        <w:t>1/3/6,</w:t>
      </w:r>
    </w:p>
    <w:p>
      <w:pPr>
        <w:numPr>
          <w:ilvl w:val="0"/>
          <w:numId w:val="243"/>
        </w:numPr>
        <w:tabs>
          <w:tab w:val="left" w:pos="1428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alternatíva – vypustiť poslednú vetu ods. 4 – hlasovanie </w:t>
      </w:r>
      <w:r>
        <w:rPr>
          <w:rFonts w:ascii="Times New Roman" w:hAnsi="Times New Roman" w:cs="Times New Roman"/>
          <w:b/>
          <w:bCs/>
          <w:sz w:val="28"/>
        </w:rPr>
        <w:t>2/3/5.</w:t>
      </w:r>
    </w:p>
    <w:p>
      <w:pPr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Pozmeňovacie návrhy neboli prijaté.</w:t>
      </w:r>
    </w:p>
    <w:p>
      <w:pPr>
        <w:ind w:left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Navrhované znenie je svojím spôsobom šanca preventívneho út</w:t>
      </w:r>
      <w:r>
        <w:rPr>
          <w:rFonts w:ascii="Times New Roman" w:hAnsi="Times New Roman" w:cs="Times New Roman"/>
        </w:rPr>
        <w:t xml:space="preserve">oku aj bez rezolúcie OSN?! (posl. </w:t>
      </w:r>
      <w:r>
        <w:rPr>
          <w:rFonts w:ascii="Times New Roman" w:hAnsi="Times New Roman" w:cs="Times New Roman"/>
          <w:b/>
          <w:bCs/>
        </w:rPr>
        <w:t>R. Madej</w:t>
      </w:r>
      <w:r>
        <w:rPr>
          <w:rFonts w:ascii="Times New Roman" w:hAnsi="Times New Roman" w:cs="Times New Roman"/>
        </w:rPr>
        <w:t>)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Áno, reagoval minister obrany </w:t>
      </w:r>
      <w:r>
        <w:rPr>
          <w:rFonts w:ascii="Times New Roman" w:hAnsi="Times New Roman" w:cs="Times New Roman"/>
          <w:b/>
          <w:bCs/>
          <w:sz w:val="28"/>
        </w:rPr>
        <w:t>I. Šimko</w:t>
      </w:r>
      <w:r>
        <w:rPr>
          <w:rFonts w:ascii="Times New Roman" w:hAnsi="Times New Roman" w:cs="Times New Roman"/>
          <w:sz w:val="28"/>
        </w:rPr>
        <w:t xml:space="preserve">, vojenské akcie môžu začať aj bez mandátu Bezpečnostnej rady OSN (pokiaľ bude prijatá formulácia navrhovaná vládou. Je to poistka pred opakujúcimi útokmi zo strany Iraku).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Aká bude územná pôsobnosť jednotky, pokračoval ďalšou otázkou poslanec </w:t>
      </w:r>
      <w:r>
        <w:rPr>
          <w:rFonts w:ascii="Times New Roman" w:hAnsi="Times New Roman" w:cs="Times New Roman"/>
          <w:b/>
          <w:bCs/>
          <w:sz w:val="28"/>
        </w:rPr>
        <w:t xml:space="preserve">R. Madej. </w:t>
      </w:r>
      <w:r>
        <w:rPr>
          <w:rFonts w:ascii="Times New Roman" w:hAnsi="Times New Roman" w:cs="Times New Roman"/>
          <w:sz w:val="28"/>
        </w:rPr>
        <w:t xml:space="preserve"> (Irak.) 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Podľa poslanca </w:t>
      </w:r>
      <w:r>
        <w:rPr>
          <w:rFonts w:ascii="Times New Roman" w:hAnsi="Times New Roman" w:cs="Times New Roman"/>
          <w:b/>
          <w:bCs/>
          <w:sz w:val="28"/>
        </w:rPr>
        <w:t>S. Husára</w:t>
      </w:r>
      <w:r>
        <w:rPr>
          <w:rFonts w:ascii="Times New Roman" w:hAnsi="Times New Roman" w:cs="Times New Roman"/>
          <w:sz w:val="28"/>
        </w:rPr>
        <w:t xml:space="preserve"> je navrhované uznesenie v rozpore s ústavou, najmä čl. 119 (domnienku vyvrátil vo svojom vystúpení predseda výboru </w:t>
      </w:r>
      <w:r>
        <w:rPr>
          <w:rFonts w:ascii="Times New Roman" w:hAnsi="Times New Roman" w:cs="Times New Roman"/>
          <w:b/>
          <w:bCs/>
          <w:sz w:val="28"/>
        </w:rPr>
        <w:t xml:space="preserve">J. Drgonec). </w:t>
      </w:r>
      <w:r>
        <w:rPr>
          <w:rFonts w:ascii="Times New Roman" w:hAnsi="Times New Roman" w:cs="Times New Roman"/>
          <w:sz w:val="28"/>
        </w:rPr>
        <w:t>Navrhol vypustiť ods. 3 z návrhu uznesenia. Neskôr návrh vzal späť. Potom navrhol nahradiť v ods. 4 v poslednej vete slová „</w:t>
      </w:r>
      <w:r>
        <w:rPr>
          <w:rFonts w:ascii="Times New Roman" w:hAnsi="Times New Roman" w:cs="Times New Roman"/>
          <w:b/>
          <w:bCs/>
          <w:sz w:val="28"/>
        </w:rPr>
        <w:t>vláda Slovenskej republiky</w:t>
      </w:r>
      <w:r>
        <w:rPr>
          <w:rFonts w:ascii="Times New Roman" w:hAnsi="Times New Roman" w:cs="Times New Roman"/>
          <w:sz w:val="28"/>
        </w:rPr>
        <w:t>“ slovami „</w:t>
      </w:r>
      <w:r>
        <w:rPr>
          <w:rFonts w:ascii="Times New Roman" w:hAnsi="Times New Roman" w:cs="Times New Roman"/>
          <w:b/>
          <w:bCs/>
          <w:sz w:val="28"/>
        </w:rPr>
        <w:t>Národná rada Slovenskej republiky</w:t>
      </w:r>
      <w:r>
        <w:rPr>
          <w:rFonts w:ascii="Times New Roman" w:hAnsi="Times New Roman" w:cs="Times New Roman"/>
          <w:sz w:val="28"/>
        </w:rPr>
        <w:t xml:space="preserve">“, čo v závere schôdze bolo prijaté pomerom hlasov </w:t>
      </w:r>
      <w:r>
        <w:rPr>
          <w:rFonts w:ascii="Times New Roman" w:hAnsi="Times New Roman" w:cs="Times New Roman"/>
          <w:b/>
          <w:bCs/>
          <w:sz w:val="28"/>
        </w:rPr>
        <w:t xml:space="preserve">6/0/4.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Zdôraznil, </w:t>
      </w:r>
      <w:r>
        <w:rPr>
          <w:rFonts w:ascii="Times New Roman" w:hAnsi="Times New Roman" w:cs="Times New Roman"/>
          <w:sz w:val="28"/>
        </w:rPr>
        <w:t xml:space="preserve">za podpory podpredsedu výboru </w:t>
      </w:r>
      <w:r>
        <w:rPr>
          <w:rFonts w:ascii="Times New Roman" w:hAnsi="Times New Roman" w:cs="Times New Roman"/>
          <w:b/>
          <w:bCs/>
          <w:sz w:val="28"/>
        </w:rPr>
        <w:t>M. Abelovského</w:t>
      </w:r>
      <w:r>
        <w:rPr>
          <w:rFonts w:ascii="Times New Roman" w:hAnsi="Times New Roman" w:cs="Times New Roman"/>
          <w:sz w:val="28"/>
        </w:rPr>
        <w:t>, že v pôvodnom znení vlastne vláda preberá kompetencie najvyššieho zastupiteľského orgánu.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obrany poukázal ešte na ťažkopádnosť prijatého riešenia – sú prípady, v ktorých treba urýchlene rozhodovať, môžu rozhodovať okamihy, čo je zvládnuteľné vo vláde, nie však v 150 člennom zbore.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potom navrhol hlasovať </w:t>
      </w:r>
      <w:r>
        <w:rPr>
          <w:rFonts w:ascii="Times New Roman" w:hAnsi="Times New Roman" w:cs="Times New Roman"/>
          <w:b/>
          <w:bCs/>
          <w:sz w:val="28"/>
        </w:rPr>
        <w:t>o uznesení č. 69</w:t>
      </w:r>
      <w:r>
        <w:rPr>
          <w:rFonts w:ascii="Times New Roman" w:hAnsi="Times New Roman" w:cs="Times New Roman"/>
          <w:sz w:val="28"/>
        </w:rPr>
        <w:t xml:space="preserve"> v znení prijatého pozmeňovacieho návrhu k odseku 4 – </w:t>
      </w:r>
      <w:r>
        <w:rPr>
          <w:rFonts w:ascii="Times New Roman" w:hAnsi="Times New Roman" w:cs="Times New Roman"/>
          <w:b/>
          <w:bCs/>
          <w:sz w:val="28"/>
        </w:rPr>
        <w:t>6/0/4.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  <w:iCs/>
        </w:rPr>
      </w:pPr>
    </w:p>
    <w:p>
      <w:pPr>
        <w:pStyle w:val="Heading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</w:rPr>
        <w:t xml:space="preserve">Ústavnoprávny výbor  Národnej rady Slovenskej republiky </w:t>
      </w:r>
    </w:p>
    <w:p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b/>
          <w:sz w:val="28"/>
        </w:rPr>
      </w:pPr>
    </w:p>
    <w:p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 d p o r ú č a </w:t>
      </w:r>
    </w:p>
    <w:p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Národnej rade Slovenskej republiky</w:t>
      </w:r>
    </w:p>
    <w:p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podľa čl. 86 písm. k) Ústavy Slovenskej republiky</w:t>
      </w:r>
    </w:p>
    <w:p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vysloviť </w:t>
      </w:r>
    </w:p>
    <w:p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súhlas s vyslaním jednotky radiačnej, chemickej a biologickej ochrany ozbrojených síl Slovenskej republiky v rámci spoločných akcií medzinárodnej koalície týkajúcich sa Irackej republiky v počte do 75 príslušníkov ozbrojených síl Slovenskej republiky do 31. decembra 2003,</w:t>
      </w:r>
    </w:p>
    <w:p>
      <w:pPr>
        <w:ind w:firstLine="1416"/>
        <w:jc w:val="both"/>
        <w:rPr>
          <w:rFonts w:ascii="Times New Roman" w:hAnsi="Times New Roman" w:cs="Times New Roman"/>
          <w:sz w:val="28"/>
        </w:rPr>
      </w:pPr>
    </w:p>
    <w:p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súhlas s pôsobením jednotky radiačnej, chemickej a biologickej ochrany ozbrojených síl Slovenskej republiky v krízovej oblasti v rámci spoločných akcií medzinárodnej koalície týkajúcich sa Irackej republiky,</w:t>
      </w:r>
    </w:p>
    <w:p>
      <w:pPr>
        <w:ind w:firstLine="720"/>
        <w:jc w:val="both"/>
        <w:rPr>
          <w:rFonts w:ascii="Times New Roman" w:hAnsi="Times New Roman" w:cs="Times New Roman"/>
          <w:sz w:val="28"/>
        </w:rPr>
      </w:pPr>
    </w:p>
    <w:p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súhlas s pôsobením jednotky radiačnej, chemickej a biologickej ochrany ozbrojených síl Slovenskej republiky v záchranných a humanitárnych operáciách v prípade použitia alebo dôvodného podozrenia z použitia zbraní hromadného ničenia,</w:t>
      </w:r>
    </w:p>
    <w:p>
      <w:pPr>
        <w:ind w:firstLine="720"/>
        <w:jc w:val="both"/>
        <w:rPr>
          <w:rFonts w:ascii="Times New Roman" w:hAnsi="Times New Roman" w:cs="Times New Roman"/>
          <w:sz w:val="28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súhlas s pôsobením jednotky radiačnej, chemickej a biologickej ochrany ozbrojených síl Slovenskej republiky v prípadných vojenských akciách na vynútenie príslušných rezolúcií Bezpečnostnej rady OSN na území Irackej republiky v súlade s mandátom OSN. O tom, či bol mandát OSN naplnený, rozhodne na základe nového aktu BR OSN Národná rada Slovenskej republiky osobitným uznesením. </w:t>
      </w: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 – Rôzne</w:t>
      </w:r>
    </w:p>
    <w:p>
      <w:pPr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 informoval: 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39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o sta</w:t>
      </w:r>
      <w:r>
        <w:rPr>
          <w:rFonts w:ascii="Times New Roman" w:hAnsi="Times New Roman" w:cs="Times New Roman"/>
          <w:b/>
          <w:bCs/>
          <w:sz w:val="28"/>
        </w:rPr>
        <w:t>novisku Ministerstva spravodlivosti SR a Odboru legislatívy a aproximácie práva K-NR SR k návrhu</w:t>
      </w:r>
      <w:r>
        <w:rPr>
          <w:rFonts w:ascii="Times New Roman" w:hAnsi="Times New Roman" w:cs="Times New Roman"/>
          <w:sz w:val="28"/>
        </w:rPr>
        <w:t xml:space="preserve"> skupiny 30 poslancov Národnej rady Slovenskej republiky na začatie konania pred Ústavným súdom Slovenskej republiky </w:t>
      </w:r>
      <w:r>
        <w:rPr>
          <w:rFonts w:ascii="Times New Roman" w:hAnsi="Times New Roman" w:cs="Times New Roman"/>
          <w:b/>
          <w:bCs/>
          <w:sz w:val="28"/>
        </w:rPr>
        <w:t>o súlade § 44 ods. 2 zákona č. 141/1961 Zb. o trestnom konaní súdnom</w:t>
      </w:r>
      <w:r>
        <w:rPr>
          <w:rFonts w:ascii="Times New Roman" w:hAnsi="Times New Roman" w:cs="Times New Roman"/>
          <w:sz w:val="28"/>
        </w:rPr>
        <w:t xml:space="preserve"> (Trestný poriadok) v znení neskorších predpisov </w:t>
      </w:r>
      <w:r>
        <w:rPr>
          <w:rFonts w:ascii="Times New Roman" w:hAnsi="Times New Roman" w:cs="Times New Roman"/>
          <w:b/>
          <w:bCs/>
          <w:sz w:val="28"/>
        </w:rPr>
        <w:t>s čl. 1, čl. 12 ods. 2, čl. 46 ods. 1, čl. 47 ods. 3 a s čl. 48 ods.  2 Ústavy Slovenskej republiky a s čl. 6 ods. 1 Dohovoru o ochrane ľudských práv a základných slobôd</w:t>
      </w:r>
      <w:r>
        <w:rPr>
          <w:rFonts w:ascii="Times New Roman" w:hAnsi="Times New Roman" w:cs="Times New Roman"/>
          <w:sz w:val="28"/>
        </w:rPr>
        <w:t xml:space="preserve"> č</w:t>
      </w:r>
      <w:r>
        <w:rPr>
          <w:rFonts w:ascii="Times New Roman" w:hAnsi="Times New Roman" w:cs="Times New Roman"/>
          <w:b/>
          <w:bCs/>
          <w:sz w:val="28"/>
        </w:rPr>
        <w:t xml:space="preserve">. k. PL.ÚS </w:t>
      </w:r>
      <w:r>
        <w:rPr>
          <w:rFonts w:ascii="Times New Roman" w:hAnsi="Times New Roman" w:cs="Times New Roman"/>
          <w:b/>
          <w:bCs/>
          <w:sz w:val="28"/>
        </w:rPr>
        <w:t>20/02</w:t>
      </w:r>
      <w:r>
        <w:rPr>
          <w:rFonts w:ascii="Times New Roman" w:hAnsi="Times New Roman" w:cs="Times New Roman"/>
          <w:sz w:val="28"/>
        </w:rPr>
        <w:t xml:space="preserve"> – s tým, že na  schôdzi 19. februára 2003 by mal výbor k nemu zaujať stanovisko,</w:t>
      </w: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39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o termíne najbližšej schôdze výboru – 19. februára 2003. 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Zároveň boli poslancom (s výnimkou neprítomného pána J. Elsnera) odovzdané pozvánky na </w:t>
      </w:r>
      <w:r>
        <w:rPr>
          <w:rFonts w:ascii="Times New Roman" w:hAnsi="Times New Roman" w:cs="Times New Roman"/>
          <w:b/>
          <w:bCs/>
          <w:sz w:val="28"/>
        </w:rPr>
        <w:t xml:space="preserve">15. schôdzu výboru – </w:t>
      </w:r>
      <w:r>
        <w:rPr>
          <w:rFonts w:ascii="Times New Roman" w:hAnsi="Times New Roman" w:cs="Times New Roman"/>
          <w:b/>
          <w:bCs/>
          <w:sz w:val="28"/>
        </w:rPr>
        <w:t>19. februára 2003.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ďalej informoval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40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 pozvaní Ústavnoprávneho výboru Národnej rady Slovenskej republiky Ústavnoprávnym výborom Senátu Parlamentu Českej republiky na  pracovné stretnutie na území Českej republiky. Zahraničná pracovná cesta by sa mohla uskutočniť v 1. polovici mája 2003. </w:t>
      </w:r>
    </w:p>
    <w:p>
      <w:pPr>
        <w:ind w:left="720"/>
        <w:jc w:val="both"/>
        <w:rPr>
          <w:rFonts w:ascii="Times New Roman" w:hAnsi="Times New Roman" w:cs="Times New Roman"/>
          <w:sz w:val="28"/>
        </w:rPr>
      </w:pPr>
    </w:p>
    <w:p>
      <w:pPr>
        <w:ind w:left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Ústavnoprávny výbor Národnej rady Slovenskej republiky</w:t>
      </w:r>
    </w:p>
    <w:p>
      <w:pPr>
        <w:ind w:left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prerokoval </w:t>
      </w:r>
      <w:r>
        <w:rPr>
          <w:rFonts w:ascii="Times New Roman" w:hAnsi="Times New Roman" w:cs="Times New Roman"/>
          <w:b/>
          <w:bCs/>
          <w:sz w:val="28"/>
        </w:rPr>
        <w:t>pozvanie Ústavnoprávneho výboru Senátu Parlamentu ČR na pracovné stretnutie (list predsedníčky D. Lastoveckej z 30. januára 2003)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A. a k c e p t o v a l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left="708" w:firstLine="37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pozvanie;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41"/>
        </w:numPr>
        <w:tabs>
          <w:tab w:val="left" w:pos="1113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c h v á l i l</w:t>
      </w:r>
    </w:p>
    <w:p>
      <w:pPr>
        <w:ind w:left="708"/>
        <w:jc w:val="both"/>
        <w:rPr>
          <w:rFonts w:ascii="Times New Roman" w:hAnsi="Times New Roman" w:cs="Times New Roman"/>
          <w:sz w:val="28"/>
        </w:rPr>
      </w:pPr>
    </w:p>
    <w:p>
      <w:pPr>
        <w:ind w:firstLine="10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predpokladaný termín – 1. polovica mája 2003;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C.  u k l a d á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left="708" w:firstLine="37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predsedovi výboru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10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informovať predsedu Národnej rady Slovenskej republiky o schválenom zámere.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o uznesení – </w:t>
      </w:r>
      <w:r>
        <w:rPr>
          <w:rFonts w:ascii="Times New Roman" w:hAnsi="Times New Roman" w:cs="Times New Roman"/>
          <w:b/>
          <w:bCs/>
          <w:sz w:val="28"/>
        </w:rPr>
        <w:t xml:space="preserve">10/0/0.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Všetky písomnosti, na ktoré sa zápisnica odvoláva, sú jej súčasťou.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  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rPr>
          <w:rFonts w:ascii="Times New Roman" w:hAnsi="Times New Roman" w:cs="Times New Roman"/>
          <w:sz w:val="28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7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0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4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5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6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7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8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9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0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2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5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7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8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0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2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3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48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49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1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2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55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57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8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9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1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2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3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5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66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8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0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1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2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3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76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7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8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9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2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84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6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87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8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9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0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1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3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94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5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7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8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0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1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2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3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4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5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6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7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8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9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1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2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13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4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5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6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8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9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0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1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22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2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9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2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33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34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7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41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43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4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45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6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0">
    <w:nsid w:val="4E166854"/>
    <w:multiLevelType w:val="hybridMultilevel"/>
    <w:tmpl w:val="4CB2DC9E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1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2">
    <w:nsid w:val="4E53161B"/>
    <w:multiLevelType w:val="hybridMultilevel"/>
    <w:tmpl w:val="8C42231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3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4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55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6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9">
    <w:nsid w:val="51AF6407"/>
    <w:multiLevelType w:val="hybridMultilevel"/>
    <w:tmpl w:val="C5AE3EE8"/>
    <w:lvl w:ilvl="0">
      <w:start w:val="2"/>
      <w:numFmt w:val="upperLetter"/>
      <w:lvlText w:val="%1."/>
      <w:lvlJc w:val="left"/>
      <w:pPr>
        <w:tabs>
          <w:tab w:val="num" w:pos="1113"/>
        </w:tabs>
        <w:ind w:left="1113" w:hanging="4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0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1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63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4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5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66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8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0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2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73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4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5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76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589C1DE0"/>
    <w:multiLevelType w:val="hybridMultilevel"/>
    <w:tmpl w:val="681ED972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9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0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1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2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83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4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85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6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7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88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9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2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3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4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195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96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8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99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0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02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3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4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5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07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8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9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10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1">
    <w:nsid w:val="6FE61FFF"/>
    <w:multiLevelType w:val="hybridMultilevel"/>
    <w:tmpl w:val="CFEABFA4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12">
    <w:nsid w:val="70071A9A"/>
    <w:multiLevelType w:val="hybridMultilevel"/>
    <w:tmpl w:val="7BD8AC9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3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4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15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6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7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9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0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1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2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23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5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28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9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0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31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2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3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4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5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6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37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1"/>
  </w:num>
  <w:num w:numId="2">
    <w:abstractNumId w:val="236"/>
  </w:num>
  <w:num w:numId="3">
    <w:abstractNumId w:val="160"/>
  </w:num>
  <w:num w:numId="4">
    <w:abstractNumId w:val="189"/>
  </w:num>
  <w:num w:numId="5">
    <w:abstractNumId w:val="217"/>
  </w:num>
  <w:num w:numId="6">
    <w:abstractNumId w:val="126"/>
  </w:num>
  <w:num w:numId="7">
    <w:abstractNumId w:val="196"/>
  </w:num>
  <w:num w:numId="8">
    <w:abstractNumId w:val="223"/>
  </w:num>
  <w:num w:numId="9">
    <w:abstractNumId w:val="32"/>
  </w:num>
  <w:num w:numId="10">
    <w:abstractNumId w:val="146"/>
  </w:num>
  <w:num w:numId="11">
    <w:abstractNumId w:val="86"/>
  </w:num>
  <w:num w:numId="12">
    <w:abstractNumId w:val="173"/>
  </w:num>
  <w:num w:numId="13">
    <w:abstractNumId w:val="164"/>
  </w:num>
  <w:num w:numId="14">
    <w:abstractNumId w:val="77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5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16"/>
  </w:num>
  <w:num w:numId="28">
    <w:abstractNumId w:val="192"/>
  </w:num>
  <w:num w:numId="29">
    <w:abstractNumId w:val="232"/>
  </w:num>
  <w:num w:numId="30">
    <w:abstractNumId w:val="20"/>
  </w:num>
  <w:num w:numId="31">
    <w:abstractNumId w:val="220"/>
  </w:num>
  <w:num w:numId="32">
    <w:abstractNumId w:val="27"/>
  </w:num>
  <w:num w:numId="33">
    <w:abstractNumId w:val="193"/>
  </w:num>
  <w:num w:numId="34">
    <w:abstractNumId w:val="219"/>
  </w:num>
  <w:num w:numId="35">
    <w:abstractNumId w:val="191"/>
  </w:num>
  <w:num w:numId="36">
    <w:abstractNumId w:val="228"/>
  </w:num>
  <w:num w:numId="37">
    <w:abstractNumId w:val="230"/>
  </w:num>
  <w:num w:numId="38">
    <w:abstractNumId w:val="48"/>
  </w:num>
  <w:num w:numId="39">
    <w:abstractNumId w:val="213"/>
  </w:num>
  <w:num w:numId="40">
    <w:abstractNumId w:val="132"/>
  </w:num>
  <w:num w:numId="41">
    <w:abstractNumId w:val="186"/>
  </w:num>
  <w:num w:numId="42">
    <w:abstractNumId w:val="115"/>
  </w:num>
  <w:num w:numId="43">
    <w:abstractNumId w:val="36"/>
  </w:num>
  <w:num w:numId="44">
    <w:abstractNumId w:val="26"/>
  </w:num>
  <w:num w:numId="45">
    <w:abstractNumId w:val="214"/>
  </w:num>
  <w:num w:numId="46">
    <w:abstractNumId w:val="208"/>
  </w:num>
  <w:num w:numId="47">
    <w:abstractNumId w:val="185"/>
  </w:num>
  <w:num w:numId="48">
    <w:abstractNumId w:val="28"/>
  </w:num>
  <w:num w:numId="49">
    <w:abstractNumId w:val="16"/>
  </w:num>
  <w:num w:numId="50">
    <w:abstractNumId w:val="171"/>
  </w:num>
  <w:num w:numId="51">
    <w:abstractNumId w:val="78"/>
  </w:num>
  <w:num w:numId="52">
    <w:abstractNumId w:val="149"/>
  </w:num>
  <w:num w:numId="53">
    <w:abstractNumId w:val="142"/>
  </w:num>
  <w:num w:numId="54">
    <w:abstractNumId w:val="93"/>
  </w:num>
  <w:num w:numId="55">
    <w:abstractNumId w:val="108"/>
  </w:num>
  <w:num w:numId="56">
    <w:abstractNumId w:val="106"/>
  </w:num>
  <w:num w:numId="57">
    <w:abstractNumId w:val="62"/>
  </w:num>
  <w:num w:numId="58">
    <w:abstractNumId w:val="105"/>
  </w:num>
  <w:num w:numId="59">
    <w:abstractNumId w:val="201"/>
  </w:num>
  <w:num w:numId="60">
    <w:abstractNumId w:val="231"/>
  </w:num>
  <w:num w:numId="61">
    <w:abstractNumId w:val="206"/>
  </w:num>
  <w:num w:numId="62">
    <w:abstractNumId w:val="47"/>
  </w:num>
  <w:num w:numId="63">
    <w:abstractNumId w:val="179"/>
  </w:num>
  <w:num w:numId="64">
    <w:abstractNumId w:val="163"/>
  </w:num>
  <w:num w:numId="65">
    <w:abstractNumId w:val="89"/>
  </w:num>
  <w:num w:numId="66">
    <w:abstractNumId w:val="34"/>
  </w:num>
  <w:num w:numId="67">
    <w:abstractNumId w:val="144"/>
  </w:num>
  <w:num w:numId="68">
    <w:abstractNumId w:val="209"/>
  </w:num>
  <w:num w:numId="69">
    <w:abstractNumId w:val="50"/>
  </w:num>
  <w:num w:numId="70">
    <w:abstractNumId w:val="165"/>
  </w:num>
  <w:num w:numId="71">
    <w:abstractNumId w:val="24"/>
  </w:num>
  <w:num w:numId="72">
    <w:abstractNumId w:val="188"/>
  </w:num>
  <w:num w:numId="73">
    <w:abstractNumId w:val="234"/>
  </w:num>
  <w:num w:numId="74">
    <w:abstractNumId w:val="198"/>
  </w:num>
  <w:num w:numId="75">
    <w:abstractNumId w:val="136"/>
  </w:num>
  <w:num w:numId="76">
    <w:abstractNumId w:val="199"/>
  </w:num>
  <w:num w:numId="77">
    <w:abstractNumId w:val="103"/>
  </w:num>
  <w:num w:numId="78">
    <w:abstractNumId w:val="54"/>
  </w:num>
  <w:num w:numId="79">
    <w:abstractNumId w:val="83"/>
  </w:num>
  <w:num w:numId="80">
    <w:abstractNumId w:val="153"/>
  </w:num>
  <w:num w:numId="81">
    <w:abstractNumId w:val="41"/>
  </w:num>
  <w:num w:numId="82">
    <w:abstractNumId w:val="128"/>
  </w:num>
  <w:num w:numId="83">
    <w:abstractNumId w:val="13"/>
  </w:num>
  <w:num w:numId="84">
    <w:abstractNumId w:val="15"/>
  </w:num>
  <w:num w:numId="85">
    <w:abstractNumId w:val="29"/>
  </w:num>
  <w:num w:numId="86">
    <w:abstractNumId w:val="119"/>
  </w:num>
  <w:num w:numId="87">
    <w:abstractNumId w:val="92"/>
  </w:num>
  <w:num w:numId="88">
    <w:abstractNumId w:val="69"/>
  </w:num>
  <w:num w:numId="89">
    <w:abstractNumId w:val="140"/>
  </w:num>
  <w:num w:numId="90">
    <w:abstractNumId w:val="123"/>
  </w:num>
  <w:num w:numId="91">
    <w:abstractNumId w:val="90"/>
  </w:num>
  <w:num w:numId="92">
    <w:abstractNumId w:val="195"/>
  </w:num>
  <w:num w:numId="93">
    <w:abstractNumId w:val="218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1"/>
  </w:num>
  <w:num w:numId="96">
    <w:abstractNumId w:val="107"/>
  </w:num>
  <w:num w:numId="97">
    <w:abstractNumId w:val="233"/>
  </w:num>
  <w:num w:numId="98">
    <w:abstractNumId w:val="143"/>
  </w:num>
  <w:num w:numId="99">
    <w:abstractNumId w:val="113"/>
  </w:num>
  <w:num w:numId="100">
    <w:abstractNumId w:val="145"/>
  </w:num>
  <w:num w:numId="101">
    <w:abstractNumId w:val="151"/>
  </w:num>
  <w:num w:numId="102">
    <w:abstractNumId w:val="133"/>
  </w:num>
  <w:num w:numId="103">
    <w:abstractNumId w:val="110"/>
  </w:num>
  <w:num w:numId="104">
    <w:abstractNumId w:val="203"/>
  </w:num>
  <w:num w:numId="105">
    <w:abstractNumId w:val="121"/>
  </w:num>
  <w:num w:numId="106">
    <w:abstractNumId w:val="184"/>
  </w:num>
  <w:num w:numId="107">
    <w:abstractNumId w:val="19"/>
  </w:num>
  <w:num w:numId="108">
    <w:abstractNumId w:val="23"/>
  </w:num>
  <w:num w:numId="109">
    <w:abstractNumId w:val="204"/>
  </w:num>
  <w:num w:numId="110">
    <w:abstractNumId w:val="51"/>
  </w:num>
  <w:num w:numId="111">
    <w:abstractNumId w:val="117"/>
  </w:num>
  <w:num w:numId="112">
    <w:abstractNumId w:val="229"/>
  </w:num>
  <w:num w:numId="113">
    <w:abstractNumId w:val="100"/>
  </w:num>
  <w:num w:numId="114">
    <w:abstractNumId w:val="66"/>
  </w:num>
  <w:num w:numId="115">
    <w:abstractNumId w:val="180"/>
  </w:num>
  <w:num w:numId="116">
    <w:abstractNumId w:val="235"/>
  </w:num>
  <w:num w:numId="117">
    <w:abstractNumId w:val="46"/>
  </w:num>
  <w:num w:numId="118">
    <w:abstractNumId w:val="210"/>
  </w:num>
  <w:num w:numId="119">
    <w:abstractNumId w:val="59"/>
  </w:num>
  <w:num w:numId="120">
    <w:abstractNumId w:val="94"/>
  </w:num>
  <w:num w:numId="121">
    <w:abstractNumId w:val="95"/>
  </w:num>
  <w:num w:numId="122">
    <w:abstractNumId w:val="84"/>
  </w:num>
  <w:num w:numId="123">
    <w:abstractNumId w:val="183"/>
  </w:num>
  <w:num w:numId="124">
    <w:abstractNumId w:val="81"/>
  </w:num>
  <w:num w:numId="125">
    <w:abstractNumId w:val="39"/>
  </w:num>
  <w:num w:numId="126">
    <w:abstractNumId w:val="169"/>
  </w:num>
  <w:num w:numId="127">
    <w:abstractNumId w:val="25"/>
  </w:num>
  <w:num w:numId="128">
    <w:abstractNumId w:val="104"/>
  </w:num>
  <w:num w:numId="129">
    <w:abstractNumId w:val="118"/>
  </w:num>
  <w:num w:numId="130">
    <w:abstractNumId w:val="170"/>
  </w:num>
  <w:num w:numId="131">
    <w:abstractNumId w:val="12"/>
  </w:num>
  <w:num w:numId="132">
    <w:abstractNumId w:val="157"/>
  </w:num>
  <w:num w:numId="133">
    <w:abstractNumId w:val="197"/>
  </w:num>
  <w:num w:numId="134">
    <w:abstractNumId w:val="97"/>
  </w:num>
  <w:num w:numId="135">
    <w:abstractNumId w:val="139"/>
  </w:num>
  <w:num w:numId="136">
    <w:abstractNumId w:val="42"/>
  </w:num>
  <w:num w:numId="137">
    <w:abstractNumId w:val="120"/>
  </w:num>
  <w:num w:numId="138">
    <w:abstractNumId w:val="45"/>
  </w:num>
  <w:num w:numId="139">
    <w:abstractNumId w:val="44"/>
  </w:num>
  <w:num w:numId="140">
    <w:abstractNumId w:val="71"/>
  </w:num>
  <w:num w:numId="141">
    <w:abstractNumId w:val="202"/>
  </w:num>
  <w:num w:numId="142">
    <w:abstractNumId w:val="224"/>
  </w:num>
  <w:num w:numId="143">
    <w:abstractNumId w:val="176"/>
  </w:num>
  <w:num w:numId="144">
    <w:abstractNumId w:val="87"/>
  </w:num>
  <w:num w:numId="145">
    <w:abstractNumId w:val="37"/>
  </w:num>
  <w:num w:numId="146">
    <w:abstractNumId w:val="76"/>
  </w:num>
  <w:num w:numId="147">
    <w:abstractNumId w:val="174"/>
  </w:num>
  <w:num w:numId="148">
    <w:abstractNumId w:val="111"/>
  </w:num>
  <w:num w:numId="149">
    <w:abstractNumId w:val="67"/>
  </w:num>
  <w:num w:numId="150">
    <w:abstractNumId w:val="61"/>
  </w:num>
  <w:num w:numId="151">
    <w:abstractNumId w:val="158"/>
  </w:num>
  <w:num w:numId="152">
    <w:abstractNumId w:val="137"/>
  </w:num>
  <w:num w:numId="153">
    <w:abstractNumId w:val="215"/>
  </w:num>
  <w:num w:numId="154">
    <w:abstractNumId w:val="18"/>
  </w:num>
  <w:num w:numId="155">
    <w:abstractNumId w:val="182"/>
  </w:num>
  <w:num w:numId="156">
    <w:abstractNumId w:val="30"/>
  </w:num>
  <w:num w:numId="157">
    <w:abstractNumId w:val="148"/>
  </w:num>
  <w:num w:numId="158">
    <w:abstractNumId w:val="85"/>
  </w:num>
  <w:num w:numId="159">
    <w:abstractNumId w:val="207"/>
  </w:num>
  <w:num w:numId="160">
    <w:abstractNumId w:val="129"/>
  </w:num>
  <w:num w:numId="161">
    <w:abstractNumId w:val="134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09"/>
  </w:num>
  <w:num w:numId="167">
    <w:abstractNumId w:val="130"/>
  </w:num>
  <w:num w:numId="168">
    <w:abstractNumId w:val="82"/>
  </w:num>
  <w:num w:numId="169">
    <w:abstractNumId w:val="175"/>
  </w:num>
  <w:num w:numId="170">
    <w:abstractNumId w:val="65"/>
  </w:num>
  <w:num w:numId="171">
    <w:abstractNumId w:val="35"/>
  </w:num>
  <w:num w:numId="172">
    <w:abstractNumId w:val="73"/>
  </w:num>
  <w:num w:numId="173">
    <w:abstractNumId w:val="33"/>
  </w:num>
  <w:num w:numId="174">
    <w:abstractNumId w:val="58"/>
  </w:num>
  <w:num w:numId="175">
    <w:abstractNumId w:val="17"/>
  </w:num>
  <w:num w:numId="176">
    <w:abstractNumId w:val="172"/>
  </w:num>
  <w:num w:numId="177">
    <w:abstractNumId w:val="156"/>
  </w:num>
  <w:num w:numId="178">
    <w:abstractNumId w:val="166"/>
  </w:num>
  <w:num w:numId="179">
    <w:abstractNumId w:val="60"/>
  </w:num>
  <w:num w:numId="180">
    <w:abstractNumId w:val="127"/>
  </w:num>
  <w:num w:numId="181">
    <w:abstractNumId w:val="147"/>
  </w:num>
  <w:num w:numId="182">
    <w:abstractNumId w:val="55"/>
  </w:num>
  <w:num w:numId="183">
    <w:abstractNumId w:val="116"/>
  </w:num>
  <w:num w:numId="184">
    <w:abstractNumId w:val="138"/>
  </w:num>
  <w:num w:numId="185">
    <w:abstractNumId w:val="53"/>
  </w:num>
  <w:num w:numId="186">
    <w:abstractNumId w:val="125"/>
  </w:num>
  <w:num w:numId="187">
    <w:abstractNumId w:val="112"/>
  </w:num>
  <w:num w:numId="188">
    <w:abstractNumId w:val="68"/>
  </w:num>
  <w:num w:numId="189">
    <w:abstractNumId w:val="43"/>
  </w:num>
  <w:num w:numId="190">
    <w:abstractNumId w:val="205"/>
  </w:num>
  <w:num w:numId="191">
    <w:abstractNumId w:val="225"/>
  </w:num>
  <w:num w:numId="192">
    <w:abstractNumId w:val="168"/>
  </w:num>
  <w:num w:numId="193">
    <w:abstractNumId w:val="79"/>
  </w:num>
  <w:num w:numId="194">
    <w:abstractNumId w:val="177"/>
  </w:num>
  <w:num w:numId="195">
    <w:abstractNumId w:val="21"/>
  </w:num>
  <w:num w:numId="196">
    <w:abstractNumId w:val="238"/>
  </w:num>
  <w:num w:numId="197">
    <w:abstractNumId w:val="222"/>
  </w:num>
  <w:num w:numId="198">
    <w:abstractNumId w:val="161"/>
  </w:num>
  <w:num w:numId="199">
    <w:abstractNumId w:val="122"/>
  </w:num>
  <w:num w:numId="200">
    <w:abstractNumId w:val="167"/>
  </w:num>
  <w:num w:numId="201">
    <w:abstractNumId w:val="221"/>
  </w:num>
  <w:num w:numId="202">
    <w:abstractNumId w:val="40"/>
  </w:num>
  <w:num w:numId="203">
    <w:abstractNumId w:val="226"/>
  </w:num>
  <w:num w:numId="204">
    <w:abstractNumId w:val="64"/>
  </w:num>
  <w:num w:numId="205">
    <w:abstractNumId w:val="96"/>
  </w:num>
  <w:num w:numId="206">
    <w:abstractNumId w:val="14"/>
  </w:num>
  <w:num w:numId="207">
    <w:abstractNumId w:val="237"/>
  </w:num>
  <w:num w:numId="208">
    <w:abstractNumId w:val="98"/>
  </w:num>
  <w:num w:numId="209">
    <w:abstractNumId w:val="75"/>
  </w:num>
  <w:num w:numId="210">
    <w:abstractNumId w:val="49"/>
  </w:num>
  <w:num w:numId="211">
    <w:abstractNumId w:val="99"/>
  </w:num>
  <w:num w:numId="212">
    <w:abstractNumId w:val="124"/>
  </w:num>
  <w:num w:numId="213">
    <w:abstractNumId w:val="38"/>
  </w:num>
  <w:num w:numId="214">
    <w:abstractNumId w:val="74"/>
  </w:num>
  <w:num w:numId="215">
    <w:abstractNumId w:val="70"/>
  </w:num>
  <w:num w:numId="216">
    <w:abstractNumId w:val="227"/>
  </w:num>
  <w:num w:numId="217">
    <w:abstractNumId w:val="162"/>
  </w:num>
  <w:num w:numId="218">
    <w:abstractNumId w:val="80"/>
  </w:num>
  <w:num w:numId="219">
    <w:abstractNumId w:val="91"/>
  </w:num>
  <w:num w:numId="220">
    <w:abstractNumId w:val="200"/>
  </w:num>
  <w:num w:numId="221">
    <w:abstractNumId w:val="31"/>
  </w:num>
  <w:num w:numId="222">
    <w:abstractNumId w:val="155"/>
  </w:num>
  <w:num w:numId="223">
    <w:abstractNumId w:val="72"/>
  </w:num>
  <w:num w:numId="224">
    <w:abstractNumId w:val="57"/>
  </w:num>
  <w:num w:numId="225">
    <w:abstractNumId w:val="102"/>
  </w:num>
  <w:num w:numId="226">
    <w:abstractNumId w:val="131"/>
  </w:num>
  <w:num w:numId="227">
    <w:abstractNumId w:val="56"/>
  </w:num>
  <w:num w:numId="228">
    <w:abstractNumId w:val="135"/>
  </w:num>
  <w:num w:numId="229">
    <w:abstractNumId w:val="63"/>
  </w:num>
  <w:num w:numId="230">
    <w:abstractNumId w:val="52"/>
  </w:num>
  <w:num w:numId="231">
    <w:abstractNumId w:val="194"/>
  </w:num>
  <w:num w:numId="232">
    <w:abstractNumId w:val="187"/>
  </w:num>
  <w:num w:numId="233">
    <w:abstractNumId w:val="114"/>
  </w:num>
  <w:num w:numId="234">
    <w:abstractNumId w:val="88"/>
  </w:num>
  <w:num w:numId="235">
    <w:abstractNumId w:val="22"/>
  </w:num>
  <w:num w:numId="236">
    <w:abstractNumId w:val="190"/>
  </w:num>
  <w:num w:numId="237">
    <w:abstractNumId w:val="181"/>
  </w:num>
  <w:num w:numId="238">
    <w:abstractNumId w:val="211"/>
  </w:num>
  <w:num w:numId="239">
    <w:abstractNumId w:val="212"/>
  </w:num>
  <w:num w:numId="240">
    <w:abstractNumId w:val="152"/>
  </w:num>
  <w:num w:numId="241">
    <w:abstractNumId w:val="159"/>
  </w:num>
  <w:num w:numId="242">
    <w:abstractNumId w:val="178"/>
  </w:num>
  <w:num w:numId="243">
    <w:abstractNumId w:val="1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720"/>
        <w:tab w:val="left" w:pos="1440"/>
      </w:tabs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ind w:left="4248" w:hanging="354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uiPriority w:val="9"/>
    <w:qFormat/>
    <w:pPr>
      <w:keepNext/>
      <w:tabs>
        <w:tab w:val="left" w:pos="720"/>
      </w:tabs>
      <w:jc w:val="both"/>
      <w:outlineLvl w:val="6"/>
    </w:pPr>
    <w:rPr>
      <w:b/>
      <w:iCs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360" w:firstLine="348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spacing w:line="360" w:lineRule="auto"/>
      <w:ind w:firstLine="708"/>
      <w:jc w:val="left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firstLine="708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606</TotalTime>
  <Pages>1</Pages>
  <Words>1174</Words>
  <Characters>6693</Characters>
  <Application>Microsoft Office Word</Application>
  <DocSecurity>0</DocSecurity>
  <Lines>0</Lines>
  <Paragraphs>0</Paragraphs>
  <ScaleCrop>false</ScaleCrop>
  <Manager>Magdaléna Šuchaňová</Manager>
  <Company>K NR SR, ÚPV NR SR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14. schôdza</dc:title>
  <dc:subject>schôdza 14, 5. február 2003</dc:subject>
  <dc:creator>Viera Ebringerová</dc:creator>
  <cp:lastModifiedBy>Viera Ebringerová</cp:lastModifiedBy>
  <cp:revision>148</cp:revision>
  <cp:lastPrinted>2003-02-24T15:36:00Z</cp:lastPrinted>
  <dcterms:created xsi:type="dcterms:W3CDTF">2002-12-12T13:43:00Z</dcterms:created>
  <dcterms:modified xsi:type="dcterms:W3CDTF">2003-02-24T15:37:00Z</dcterms:modified>
  <cp:category>zápisnica</cp:category>
</cp:coreProperties>
</file>