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 13. schôdze Ústavnoprávneho výboru Národnej rady Slovenskej republiky  20. januára 2003 o 13,00 h v budove Národnej rady Slovenskej republiky, Námestie Alexandra Dubčeka 1, Bratislava (v  rokovacej miestnosti Ústavnoprávneho výboru Národnej rady Slovenskej republiky na 1. poschodí č. dv. 150)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         11 poslancov ústavnoprávneho výboru</w:t>
      </w:r>
    </w:p>
    <w:p>
      <w:pPr>
        <w:pStyle w:val="BodyText"/>
        <w:spacing w:line="360" w:lineRule="auto"/>
        <w:ind w:left="1596" w:firstLine="528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(podľa prezenčnej listiny).</w:t>
      </w: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Predseda výboru </w:t>
      </w:r>
      <w:r>
        <w:rPr>
          <w:rFonts w:ascii="Times New Roman" w:hAnsi="Times New Roman" w:cs="Times New Roman"/>
          <w:b/>
          <w:sz w:val="28"/>
        </w:rPr>
        <w:t xml:space="preserve">J. Drgonec </w:t>
      </w:r>
      <w:r>
        <w:rPr>
          <w:rFonts w:ascii="Times New Roman" w:hAnsi="Times New Roman" w:cs="Times New Roman"/>
          <w:bCs/>
          <w:sz w:val="28"/>
        </w:rPr>
        <w:t xml:space="preserve">otvoril schôdzu a navrhol schváliť program rokovania. Konštatoval, že výbor je uznášaniaschopný. </w:t>
      </w:r>
    </w:p>
    <w:p>
      <w:pPr>
        <w:pStyle w:val="BodyText"/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Program:</w:t>
      </w:r>
    </w:p>
    <w:p>
      <w:pPr>
        <w:numPr>
          <w:ilvl w:val="0"/>
          <w:numId w:val="235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skupiny poslancov Národnej rady Slovenskej republiky </w:t>
      </w:r>
      <w:r>
        <w:rPr>
          <w:rFonts w:ascii="Times New Roman" w:hAnsi="Times New Roman" w:cs="Times New Roman"/>
          <w:b/>
          <w:bCs/>
          <w:sz w:val="28"/>
        </w:rPr>
        <w:t>na prijatie uznesenia Národnej rady Slovenskej republiky o vyhlásení referenda o vstupe Slov</w:t>
      </w:r>
      <w:r>
        <w:rPr>
          <w:rFonts w:ascii="Times New Roman" w:hAnsi="Times New Roman" w:cs="Times New Roman"/>
          <w:b/>
          <w:bCs/>
          <w:sz w:val="28"/>
        </w:rPr>
        <w:t>enskej republiky do Európskej únie</w:t>
      </w:r>
      <w:r>
        <w:rPr>
          <w:rFonts w:ascii="Times New Roman" w:hAnsi="Times New Roman" w:cs="Times New Roman"/>
          <w:sz w:val="28"/>
        </w:rPr>
        <w:t xml:space="preserve"> (tlač 133)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Rôzne.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Hlasovanie o programe – </w:t>
      </w:r>
      <w:r>
        <w:rPr>
          <w:rFonts w:ascii="Times New Roman" w:hAnsi="Times New Roman" w:cs="Times New Roman"/>
          <w:b/>
          <w:bCs/>
          <w:sz w:val="28"/>
        </w:rPr>
        <w:t xml:space="preserve">11/0/0. </w:t>
      </w:r>
    </w:p>
    <w:p>
      <w:pPr>
        <w:ind w:left="4248" w:hanging="424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</w:p>
    <w:p>
      <w:pPr>
        <w:ind w:left="4248" w:hanging="424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Heading6"/>
        <w:spacing w:line="360" w:lineRule="auto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</w:rPr>
        <w:t>K bodu 1</w:t>
      </w:r>
      <w:r>
        <w:rPr>
          <w:rFonts w:ascii="Times New Roman" w:hAnsi="Times New Roman" w:cs="Times New Roman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u w:val="none"/>
        </w:rPr>
        <w:t>(tlač 133)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skupiny poslancov Národnej rady Slovenskej republiky </w:t>
      </w:r>
      <w:r>
        <w:rPr>
          <w:rFonts w:ascii="Times New Roman" w:hAnsi="Times New Roman" w:cs="Times New Roman"/>
          <w:b/>
          <w:bCs/>
          <w:sz w:val="28"/>
        </w:rPr>
        <w:t>na prijatie uznesenia Národnej rady Slovenskej republiky o vyhlásení referenda</w:t>
      </w:r>
      <w:r>
        <w:rPr>
          <w:rFonts w:ascii="Times New Roman" w:hAnsi="Times New Roman" w:cs="Times New Roman"/>
          <w:b/>
          <w:bCs/>
          <w:sz w:val="28"/>
        </w:rPr>
        <w:t xml:space="preserve"> o vstupe Slovenskej republiky do Európskej únie</w:t>
      </w:r>
      <w:r>
        <w:rPr>
          <w:rFonts w:ascii="Times New Roman" w:hAnsi="Times New Roman" w:cs="Times New Roman"/>
          <w:sz w:val="28"/>
        </w:rPr>
        <w:t xml:space="preserve"> (tlač 133) odôvodnila </w:t>
      </w:r>
      <w:r>
        <w:rPr>
          <w:rFonts w:ascii="Times New Roman" w:hAnsi="Times New Roman" w:cs="Times New Roman"/>
          <w:b/>
          <w:bCs/>
          <w:sz w:val="28"/>
        </w:rPr>
        <w:t>Z. Martináková</w:t>
      </w:r>
      <w:r>
        <w:rPr>
          <w:rFonts w:ascii="Times New Roman" w:hAnsi="Times New Roman" w:cs="Times New Roman"/>
          <w:sz w:val="28"/>
        </w:rPr>
        <w:t xml:space="preserve">, podpredsedníčka Národnej rady SR. </w:t>
      </w:r>
    </w:p>
    <w:p>
      <w:pPr>
        <w:ind w:left="4248" w:hanging="3540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 podpredseda výboru </w:t>
      </w:r>
      <w:r>
        <w:rPr>
          <w:rFonts w:ascii="Times New Roman" w:hAnsi="Times New Roman" w:cs="Times New Roman"/>
          <w:b/>
          <w:bCs/>
          <w:sz w:val="28"/>
        </w:rPr>
        <w:t xml:space="preserve">P. Miššík </w:t>
      </w:r>
      <w:r>
        <w:rPr>
          <w:rFonts w:ascii="Times New Roman" w:hAnsi="Times New Roman" w:cs="Times New Roman"/>
          <w:sz w:val="28"/>
        </w:rPr>
        <w:t>odporúčal návrh schváliť, konštatoval, že výbor neobdržal stanovisko vlády SR, ktorá toho istého dňa o návrhu skupiny poslancov rokovala, ani žiadne iné právne relevantné stanovisko. Informoval, že je členom skupiny, ktorá materiál pripravovala. Pôvodná otázka znela nasledovne: „Ste za to, aby sa Slovenská republika stala členom Európskej únie?“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rozprave vystúpili: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J. Miklušičák</w:t>
      </w:r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</w:rPr>
        <w:t>namiesto otázky by mala byť oznamovacia veta:</w:t>
      </w:r>
      <w:r>
        <w:rPr>
          <w:rFonts w:ascii="Times New Roman" w:hAnsi="Times New Roman" w:cs="Times New Roman"/>
          <w:sz w:val="28"/>
        </w:rPr>
        <w:t xml:space="preserve"> „Súhlasím s tým, aby sa Slovenská republika stala členským štátom Európskej únie. Áno – Nie“, čo do značnej miery podporil predseda výboru s poukazom na neúspešnosť doterajších referend.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Podpredseda výboru </w:t>
      </w:r>
      <w:r>
        <w:rPr>
          <w:rFonts w:ascii="Times New Roman" w:hAnsi="Times New Roman" w:cs="Times New Roman"/>
          <w:b/>
          <w:bCs/>
          <w:sz w:val="28"/>
        </w:rPr>
        <w:t>M. Abelovský</w:t>
      </w:r>
      <w:r>
        <w:rPr>
          <w:rFonts w:ascii="Times New Roman" w:hAnsi="Times New Roman" w:cs="Times New Roman"/>
          <w:sz w:val="28"/>
        </w:rPr>
        <w:t xml:space="preserve"> – novo formuloval otázku:  </w:t>
      </w:r>
      <w:r>
        <w:rPr>
          <w:rFonts w:ascii="Times New Roman" w:hAnsi="Times New Roman" w:cs="Times New Roman"/>
          <w:b/>
          <w:bCs/>
          <w:sz w:val="28"/>
        </w:rPr>
        <w:t>„Súhlasíte s tým, že Slovenská republika sa stane členským štátom Európskej únie?“,</w:t>
      </w:r>
      <w:r>
        <w:rPr>
          <w:rFonts w:ascii="Times New Roman" w:hAnsi="Times New Roman" w:cs="Times New Roman"/>
          <w:sz w:val="28"/>
        </w:rPr>
        <w:t xml:space="preserve"> aby bolo zrejmé, že referendom sa republika nestane členom. Následne sa musia vykonať ďalšie ústavou ustanovené právne postupy.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J. Elsner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odporúčal hlasovať o pôvodne predloženom návrhu.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Poslankyňa </w:t>
      </w:r>
      <w:r>
        <w:rPr>
          <w:rFonts w:ascii="Times New Roman" w:hAnsi="Times New Roman" w:cs="Times New Roman"/>
          <w:b/>
          <w:bCs/>
          <w:sz w:val="28"/>
        </w:rPr>
        <w:t>J. Laššáková</w:t>
      </w:r>
      <w:r>
        <w:rPr>
          <w:rFonts w:ascii="Times New Roman" w:hAnsi="Times New Roman" w:cs="Times New Roman"/>
          <w:sz w:val="28"/>
        </w:rPr>
        <w:t xml:space="preserve"> – je za pôvodnú otázku, aj hlasovaním podporí jej znenie. Vzniesla však otázku, či nejde o štátny zväzok podľa čl. 7 </w:t>
      </w:r>
      <w:r>
        <w:rPr>
          <w:rFonts w:ascii="Times New Roman" w:hAnsi="Times New Roman" w:cs="Times New Roman"/>
          <w:sz w:val="28"/>
        </w:rPr>
        <w:t xml:space="preserve">ods. 1 a 2 Ústavy a teda referendum je povinné. V reakcii 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vysvetlil, že nejde o štátny zväzok, nakoľko EÚ nemá právnu subjektivitu, túto majú iba jednotlivé členské štáty.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Predkladajúca podpredsedníčka </w:t>
      </w:r>
      <w:r>
        <w:rPr>
          <w:rFonts w:ascii="Times New Roman" w:hAnsi="Times New Roman" w:cs="Times New Roman"/>
          <w:b/>
          <w:bCs/>
          <w:sz w:val="28"/>
        </w:rPr>
        <w:t>Z. Martináková</w:t>
      </w:r>
      <w:r>
        <w:rPr>
          <w:rFonts w:ascii="Times New Roman" w:hAnsi="Times New Roman" w:cs="Times New Roman"/>
          <w:sz w:val="28"/>
        </w:rPr>
        <w:t xml:space="preserve"> v záverečnom slove požiadala prítomných členov výboru, aby  návrh podporili, formulovaná otázka je výsledkom konsenzu všetkých politických strán zastúpených v parlamente, nebolo by vhodné, pokiaľ nie je vážny dôvod, v krátkom čase pred schôdzou Národnej rady túto meniť.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Spravodajca, podpredseda výboru </w:t>
      </w:r>
      <w:r>
        <w:rPr>
          <w:rFonts w:ascii="Times New Roman" w:hAnsi="Times New Roman" w:cs="Times New Roman"/>
          <w:b/>
          <w:bCs/>
          <w:sz w:val="28"/>
        </w:rPr>
        <w:t>P. Miššík,</w:t>
      </w:r>
      <w:r>
        <w:rPr>
          <w:rFonts w:ascii="Times New Roman" w:hAnsi="Times New Roman" w:cs="Times New Roman"/>
          <w:sz w:val="28"/>
        </w:rPr>
        <w:t xml:space="preserve"> odporúčal hlasovať o pozmeňujúcich a doplňujúcich návrhoch, ktoré predniesli poslanec J. Miklušičák a M. Abelovský – jednotlivo, s odporúčaním spravodajcu tieto návrhy neschváliť.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Návrh poslanca J. Miklušičáka </w:t>
      </w:r>
      <w:r>
        <w:rPr>
          <w:rFonts w:ascii="Times New Roman" w:hAnsi="Times New Roman" w:cs="Times New Roman"/>
          <w:b/>
          <w:bCs/>
          <w:sz w:val="28"/>
        </w:rPr>
        <w:t>– 1/8/2,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návrh podpredsedu výboru M. Abelovského </w:t>
      </w:r>
      <w:r>
        <w:rPr>
          <w:rFonts w:ascii="Times New Roman" w:hAnsi="Times New Roman" w:cs="Times New Roman"/>
          <w:b/>
          <w:bCs/>
          <w:sz w:val="28"/>
        </w:rPr>
        <w:t>– 1/7/3.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>o uznesení č. 67</w:t>
      </w:r>
      <w:r>
        <w:rPr>
          <w:rFonts w:ascii="Times New Roman" w:hAnsi="Times New Roman" w:cs="Times New Roman"/>
          <w:sz w:val="28"/>
        </w:rPr>
        <w:t xml:space="preserve"> predloženom spravodajcom výboru </w:t>
      </w:r>
      <w:r>
        <w:rPr>
          <w:rFonts w:ascii="Times New Roman" w:hAnsi="Times New Roman" w:cs="Times New Roman"/>
          <w:b/>
          <w:bCs/>
          <w:sz w:val="28"/>
        </w:rPr>
        <w:t>P. Miššíkom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</w:rPr>
        <w:t>súhlasí</w:t>
      </w:r>
      <w:r>
        <w:rPr>
          <w:rFonts w:ascii="Times New Roman" w:hAnsi="Times New Roman" w:cs="Times New Roman"/>
          <w:sz w:val="28"/>
        </w:rPr>
        <w:t xml:space="preserve"> s návrhom na prijatie uznesenia) </w:t>
      </w:r>
      <w:r>
        <w:rPr>
          <w:rFonts w:ascii="Times New Roman" w:hAnsi="Times New Roman" w:cs="Times New Roman"/>
          <w:b/>
          <w:bCs/>
          <w:sz w:val="28"/>
        </w:rPr>
        <w:t xml:space="preserve">– 10/0/1. </w:t>
      </w:r>
    </w:p>
    <w:p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</w:rPr>
      </w:pPr>
    </w:p>
    <w:p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</w:rPr>
      </w:pPr>
    </w:p>
    <w:p>
      <w:pPr>
        <w:pStyle w:val="Heading6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 – Rôzne</w:t>
      </w:r>
    </w:p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informoval </w:t>
      </w:r>
      <w:r>
        <w:rPr>
          <w:rFonts w:ascii="Times New Roman" w:hAnsi="Times New Roman" w:cs="Times New Roman"/>
          <w:b/>
          <w:bCs/>
          <w:sz w:val="28"/>
        </w:rPr>
        <w:t>o liste</w:t>
      </w:r>
      <w:r>
        <w:rPr>
          <w:rFonts w:ascii="Times New Roman" w:hAnsi="Times New Roman" w:cs="Times New Roman"/>
          <w:b/>
          <w:bCs/>
          <w:sz w:val="28"/>
        </w:rPr>
        <w:t xml:space="preserve"> Otta Malíka</w:t>
      </w:r>
      <w:r>
        <w:rPr>
          <w:rFonts w:ascii="Times New Roman" w:hAnsi="Times New Roman" w:cs="Times New Roman"/>
          <w:sz w:val="28"/>
        </w:rPr>
        <w:t xml:space="preserve"> z 10. 1. 2003, adresovanom predsedovi ústavnoprávneho výboru (bol rozdaný členom výboru 16. 1. 2003 – na oboznámenie sa s jeho obsahom). Pisateľ namieta porušenie ústavných práv a konštatuje, že doteraz neobdržal uznesenie SNR z roku 1983 č.  83, ktorým ho táto odvolala z funkcie sudcu Krajského súdu v Bratislave. Predseda výboru odporúčal v prípade, že uvedené uznesenie existuje, aby bolo pisateľovi zaslané. Zároveň konštatoval, že k porušeniu práv podľa platnej ústavy, ktoré pisateľ namieta, nemohlo prísť, pretože táto ešte v tom čase nebola ani prijatá, podobne ako rezolúcia RE z 27. 6. 1996 č. 1096, na ktorú sa takisto odvoláva.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sz w:val="28"/>
        </w:rPr>
        <w:t>M. Abelovský</w:t>
      </w:r>
      <w:r>
        <w:rPr>
          <w:rFonts w:ascii="Times New Roman" w:hAnsi="Times New Roman" w:cs="Times New Roman"/>
          <w:sz w:val="28"/>
        </w:rPr>
        <w:t xml:space="preserve"> – podľa jeho informácií bol aj advokátom a bol pozbavený spôsobilosti na právne </w:t>
      </w:r>
      <w:r>
        <w:rPr>
          <w:rFonts w:ascii="Times New Roman" w:hAnsi="Times New Roman" w:cs="Times New Roman"/>
          <w:sz w:val="28"/>
        </w:rPr>
        <w:t xml:space="preserve">úkony. 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Informáciu </w:t>
      </w:r>
      <w:r>
        <w:rPr>
          <w:rFonts w:ascii="Times New Roman" w:hAnsi="Times New Roman" w:cs="Times New Roman"/>
          <w:sz w:val="28"/>
        </w:rPr>
        <w:t xml:space="preserve">- Podnety na novelizáciu právnych predpisov, návrhy, pripomienky, žiadosti </w:t>
      </w:r>
      <w:r>
        <w:rPr>
          <w:rFonts w:ascii="Times New Roman" w:hAnsi="Times New Roman" w:cs="Times New Roman"/>
          <w:b/>
          <w:bCs/>
          <w:sz w:val="28"/>
        </w:rPr>
        <w:t xml:space="preserve">– zobrali poslanci na vedomie. 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>
      <w:pPr>
        <w:pStyle w:val="Heading4"/>
        <w:tabs>
          <w:tab w:val="clear" w:pos="1440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pStyle w:val="Heading4"/>
        <w:tabs>
          <w:tab w:val="clear" w:pos="1440"/>
        </w:tabs>
        <w:ind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Plán práce Ústavnoprávneho výboru Národnej rady Slovenskej  republiky na  I.  polrok 2002.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pStyle w:val="Heading4"/>
        <w:tabs>
          <w:tab w:val="clear" w:pos="1440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rozprave vystúpili: </w:t>
      </w:r>
    </w:p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</w:rPr>
        <w:t>Poslane</w:t>
      </w:r>
      <w:r>
        <w:rPr>
          <w:rFonts w:ascii="Times New Roman" w:hAnsi="Times New Roman" w:cs="Times New Roman"/>
          <w:sz w:val="28"/>
        </w:rPr>
        <w:t xml:space="preserve">c </w:t>
      </w:r>
      <w:r>
        <w:rPr>
          <w:rFonts w:ascii="Times New Roman" w:hAnsi="Times New Roman" w:cs="Times New Roman"/>
          <w:b/>
          <w:bCs/>
          <w:sz w:val="28"/>
        </w:rPr>
        <w:t>A. Ivanko</w:t>
      </w:r>
      <w:r>
        <w:rPr>
          <w:rFonts w:ascii="Times New Roman" w:hAnsi="Times New Roman" w:cs="Times New Roman"/>
          <w:sz w:val="28"/>
        </w:rPr>
        <w:t xml:space="preserve"> uviedol, že v minulom roku (25. – 27. marec 2002) sa uskutočnila zahraničná pracovná cesta do Slovinska a v rámci recipročnej výmeny navrhol pozvať slovinskú delegáciu na Slovensko. </w:t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Predseda výboru </w:t>
      </w:r>
      <w:r>
        <w:rPr>
          <w:rFonts w:ascii="Times New Roman" w:hAnsi="Times New Roman" w:cs="Times New Roman"/>
          <w:b/>
          <w:bCs/>
        </w:rPr>
        <w:t xml:space="preserve">J. Drgonec </w:t>
      </w:r>
      <w:r>
        <w:rPr>
          <w:rFonts w:ascii="Times New Roman" w:hAnsi="Times New Roman" w:cs="Times New Roman"/>
        </w:rPr>
        <w:t xml:space="preserve">odporúčal nadviazať kontakt s partnerským výborom – Ústavnoprávnym výborom Poslaneckej snemovne Parlamentu Českej republiky, s ktorým, ako je informovaný, pretrváva dlhoročná recipročná spolupráca. Naposledy bola na území Českej republiky prijatá delegácia Ústavnoprávneho výboru Národnej rady Slovenskej republiky – v septembri 2001. Bolo by vhodné prijať zástupcov tohto výboru na pôde Národnej rady Slovenskej republiky.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Hlasovanie o doplnení plánu práce ústavnoprávneho výboru:</w:t>
      </w:r>
    </w:p>
    <w:p>
      <w:pPr>
        <w:pStyle w:val="BodyText"/>
        <w:rPr>
          <w:rFonts w:ascii="Times New Roman" w:hAnsi="Times New Roman" w:cs="Times New Roman"/>
          <w:sz w:val="28"/>
        </w:rPr>
      </w:pP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Doplniť v mesiaci:</w:t>
      </w:r>
    </w:p>
    <w:p>
      <w:pPr>
        <w:pStyle w:val="BodyText"/>
        <w:rPr>
          <w:rFonts w:ascii="Times New Roman" w:hAnsi="Times New Roman" w:cs="Times New Roman"/>
          <w:sz w:val="28"/>
        </w:rPr>
      </w:pPr>
    </w:p>
    <w:p>
      <w:pPr>
        <w:ind w:left="1080" w:hanging="1080"/>
        <w:jc w:val="both"/>
        <w:rPr>
          <w:rFonts w:ascii="Times New Roman" w:hAnsi="Times New Roman" w:cs="Times New Roman"/>
          <w:b/>
          <w:bCs/>
          <w:sz w:val="28"/>
          <w:lang w:val="cs-CZ"/>
        </w:rPr>
      </w:pPr>
      <w:r>
        <w:rPr>
          <w:rFonts w:ascii="Times New Roman" w:hAnsi="Times New Roman" w:cs="Times New Roman"/>
          <w:sz w:val="28"/>
          <w:lang w:eastAsia="cs-CZ"/>
        </w:rPr>
        <w:t xml:space="preserve">apríli </w:t>
      </w:r>
      <w:r>
        <w:rPr>
          <w:rFonts w:ascii="Times New Roman" w:hAnsi="Times New Roman" w:cs="Times New Roman"/>
          <w:b/>
          <w:bCs/>
          <w:sz w:val="28"/>
          <w:lang w:eastAsia="cs-CZ"/>
        </w:rPr>
        <w:tab/>
        <w:t>-</w:t>
      </w:r>
      <w:r>
        <w:rPr>
          <w:rFonts w:ascii="Times New Roman" w:hAnsi="Times New Roman" w:cs="Times New Roman"/>
          <w:sz w:val="28"/>
          <w:lang w:eastAsia="cs-C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lang w:eastAsia="cs-CZ"/>
        </w:rPr>
        <w:t xml:space="preserve">prijatie </w:t>
      </w:r>
      <w:r>
        <w:rPr>
          <w:rFonts w:ascii="Times New Roman" w:hAnsi="Times New Roman" w:cs="Times New Roman"/>
          <w:sz w:val="28"/>
          <w:lang w:val="cs-CZ"/>
        </w:rPr>
        <w:t xml:space="preserve">partnerského </w:t>
      </w:r>
      <w:r>
        <w:rPr>
          <w:rFonts w:ascii="Times New Roman" w:hAnsi="Times New Roman" w:cs="Times New Roman"/>
          <w:b/>
          <w:bCs/>
          <w:sz w:val="28"/>
          <w:lang w:val="cs-CZ"/>
        </w:rPr>
        <w:t xml:space="preserve">Ústavnoprávneho výboru Poslaneckej snemovne Parlamentu Českej republiky </w:t>
      </w:r>
    </w:p>
    <w:p>
      <w:pPr>
        <w:ind w:left="1080"/>
        <w:jc w:val="both"/>
        <w:rPr>
          <w:rFonts w:ascii="Times New Roman" w:hAnsi="Times New Roman" w:cs="Times New Roman"/>
          <w:sz w:val="28"/>
          <w:lang w:val="cs-CZ"/>
        </w:rPr>
      </w:pPr>
    </w:p>
    <w:p>
      <w:pPr>
        <w:ind w:left="1080"/>
        <w:jc w:val="both"/>
        <w:rPr>
          <w:rFonts w:ascii="Times New Roman" w:hAnsi="Times New Roman" w:cs="Times New Roman"/>
          <w:b/>
          <w:bCs/>
          <w:sz w:val="28"/>
          <w:lang w:val="cs-CZ"/>
        </w:rPr>
      </w:pPr>
      <w:r>
        <w:rPr>
          <w:rFonts w:ascii="Times New Roman" w:hAnsi="Times New Roman" w:cs="Times New Roman"/>
          <w:b/>
          <w:bCs/>
          <w:sz w:val="28"/>
          <w:lang w:val="cs-CZ"/>
        </w:rPr>
        <w:t xml:space="preserve">ako pokračovanie dlhoročnej recipročnej spolupráce, </w:t>
      </w:r>
    </w:p>
    <w:p>
      <w:pPr>
        <w:jc w:val="both"/>
        <w:rPr>
          <w:rFonts w:ascii="Times New Roman" w:hAnsi="Times New Roman" w:cs="Times New Roman"/>
          <w:b/>
          <w:bCs/>
          <w:sz w:val="28"/>
          <w:lang w:eastAsia="cs-CZ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  <w:lang w:eastAsia="cs-CZ"/>
        </w:rPr>
      </w:pPr>
      <w:r>
        <w:rPr>
          <w:rFonts w:ascii="Times New Roman" w:hAnsi="Times New Roman" w:cs="Times New Roman"/>
          <w:sz w:val="28"/>
          <w:lang w:eastAsia="cs-CZ"/>
        </w:rPr>
        <w:t xml:space="preserve">Hlasovanie </w:t>
      </w:r>
      <w:r>
        <w:rPr>
          <w:rFonts w:ascii="Times New Roman" w:hAnsi="Times New Roman" w:cs="Times New Roman"/>
          <w:b/>
          <w:bCs/>
          <w:sz w:val="28"/>
          <w:lang w:eastAsia="cs-CZ"/>
        </w:rPr>
        <w:t>11/0/0.</w:t>
        <w:tab/>
        <w:tab/>
        <w:tab/>
        <w:tab/>
        <w:tab/>
        <w:tab/>
        <w:tab/>
        <w:tab/>
        <w:tab/>
        <w:tab/>
        <w:tab/>
      </w:r>
    </w:p>
    <w:p>
      <w:pPr>
        <w:jc w:val="both"/>
        <w:rPr>
          <w:rFonts w:ascii="Times New Roman" w:hAnsi="Times New Roman" w:cs="Times New Roman"/>
          <w:b/>
          <w:bCs/>
          <w:sz w:val="28"/>
          <w:lang w:eastAsia="cs-CZ"/>
        </w:rPr>
      </w:pPr>
    </w:p>
    <w:p>
      <w:pPr>
        <w:pStyle w:val="BodyText2"/>
        <w:ind w:left="1080" w:hanging="1080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bCs/>
          <w:sz w:val="28"/>
        </w:rPr>
        <w:t xml:space="preserve">júni </w:t>
        <w:tab/>
        <w:t xml:space="preserve">-  </w:t>
      </w:r>
      <w:r>
        <w:rPr>
          <w:rFonts w:ascii="Times New Roman" w:hAnsi="Times New Roman" w:cs="Times New Roman"/>
          <w:sz w:val="28"/>
        </w:rPr>
        <w:t>prijatie  partnerského výboru Štátneho zhromaždenia Slovinskej republiky – Komisia pre rokova</w:t>
      </w:r>
      <w:r>
        <w:rPr>
          <w:rFonts w:ascii="Times New Roman" w:hAnsi="Times New Roman" w:cs="Times New Roman"/>
          <w:sz w:val="28"/>
        </w:rPr>
        <w:t>cí poriadok</w:t>
      </w:r>
      <w:r>
        <w:rPr>
          <w:rFonts w:ascii="Times New Roman" w:hAnsi="Times New Roman" w:cs="Times New Roman"/>
          <w:b w:val="0"/>
          <w:bCs/>
          <w:sz w:val="28"/>
        </w:rPr>
        <w:t xml:space="preserve"> (Komisia za poslovnik)</w:t>
      </w:r>
    </w:p>
    <w:p>
      <w:pPr>
        <w:pStyle w:val="BodyText2"/>
        <w:ind w:left="1080" w:hanging="1080"/>
        <w:rPr>
          <w:rFonts w:ascii="Times New Roman" w:hAnsi="Times New Roman" w:cs="Times New Roman"/>
          <w:sz w:val="28"/>
        </w:rPr>
      </w:pPr>
    </w:p>
    <w:p>
      <w:pPr>
        <w:pStyle w:val="BodyText2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 dôvodu reciprocity za prijatie delegácie Ústavnoprávneho výboru Národnej rady Slovenskej republiky v roku 2002. </w:t>
      </w:r>
    </w:p>
    <w:p>
      <w:pPr>
        <w:jc w:val="both"/>
        <w:rPr>
          <w:rFonts w:ascii="Times New Roman" w:hAnsi="Times New Roman" w:cs="Times New Roman"/>
          <w:b/>
          <w:bCs/>
          <w:sz w:val="28"/>
          <w:lang w:eastAsia="cs-CZ"/>
        </w:rPr>
      </w:pPr>
    </w:p>
    <w:p>
      <w:pPr>
        <w:pStyle w:val="BodyText3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Hlasovanie </w:t>
      </w:r>
      <w:r>
        <w:rPr>
          <w:rFonts w:ascii="Times New Roman" w:hAnsi="Times New Roman" w:cs="Times New Roman"/>
          <w:b/>
          <w:bCs/>
          <w:lang w:eastAsia="cs-CZ"/>
        </w:rPr>
        <w:t xml:space="preserve">11/0/0.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Uznesenie č. 68 - </w:t>
      </w:r>
      <w:r>
        <w:rPr>
          <w:rFonts w:ascii="Times New Roman" w:hAnsi="Times New Roman" w:cs="Times New Roman"/>
          <w:sz w:val="28"/>
        </w:rPr>
        <w:t xml:space="preserve">Plán práce ústavnoprávneho výboru na I. polrok 2002 – </w:t>
      </w:r>
      <w:r>
        <w:rPr>
          <w:rFonts w:ascii="Times New Roman" w:hAnsi="Times New Roman" w:cs="Times New Roman"/>
          <w:b/>
          <w:bCs/>
          <w:sz w:val="28"/>
        </w:rPr>
        <w:t>schváliť</w:t>
      </w:r>
      <w:r>
        <w:rPr>
          <w:rFonts w:ascii="Times New Roman" w:hAnsi="Times New Roman" w:cs="Times New Roman"/>
          <w:sz w:val="28"/>
        </w:rPr>
        <w:t xml:space="preserve"> v znení schválených pripomienok – hlasovanie </w:t>
      </w:r>
      <w:r>
        <w:rPr>
          <w:rFonts w:ascii="Times New Roman" w:hAnsi="Times New Roman" w:cs="Times New Roman"/>
          <w:b/>
          <w:bCs/>
          <w:sz w:val="28"/>
        </w:rPr>
        <w:t xml:space="preserve">11/0/0.  </w:t>
        <w:tab/>
      </w: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Všetky písomnosti, na ktoré sa zápisnica odvoláva, sú jej súčasťou.</w:t>
      </w: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ab/>
        <w:tab/>
        <w:tab/>
        <w:t xml:space="preserve">                           Ján Drgonec</w:t>
      </w: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Róbert Madej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overovateľ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rPr>
          <w:rFonts w:ascii="Times New Roman" w:hAnsi="Times New Roman" w:cs="Times New Roman"/>
          <w:sz w:val="28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24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8ED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D88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343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54C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A168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EBF841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860CF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0C9AC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20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  <w:pPr>
        <w:ind w:left="0"/>
      </w:pPr>
    </w:lvl>
  </w:abstractNum>
  <w:abstractNum w:abstractNumId="11">
    <w:nsid w:val="00114A54"/>
    <w:multiLevelType w:val="hybridMultilevel"/>
    <w:tmpl w:val="86341C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1D7D06"/>
    <w:multiLevelType w:val="hybridMultilevel"/>
    <w:tmpl w:val="AFB8DD0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3A6C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">
    <w:nsid w:val="008B12E3"/>
    <w:multiLevelType w:val="hybridMultilevel"/>
    <w:tmpl w:val="A648C230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9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01710584"/>
    <w:multiLevelType w:val="singleLevel"/>
    <w:tmpl w:val="B7EEC262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6">
    <w:nsid w:val="018C78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7">
    <w:nsid w:val="03F20EBE"/>
    <w:multiLevelType w:val="hybridMultilevel"/>
    <w:tmpl w:val="5E509EE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050A105B"/>
    <w:multiLevelType w:val="hybridMultilevel"/>
    <w:tmpl w:val="5CFA726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54D7CC8"/>
    <w:multiLevelType w:val="singleLevel"/>
    <w:tmpl w:val="A04E8020"/>
    <w:lvl w:ilvl="0">
      <w:start w:val="6"/>
      <w:numFmt w:val="decimal"/>
      <w:lvlText w:val="%1."/>
      <w:lvlJc w:val="left"/>
      <w:pPr>
        <w:tabs>
          <w:tab w:val="num" w:pos="760"/>
        </w:tabs>
        <w:ind w:left="760" w:hanging="360"/>
      </w:pPr>
    </w:lvl>
  </w:abstractNum>
  <w:abstractNum w:abstractNumId="20">
    <w:nsid w:val="06A5230D"/>
    <w:multiLevelType w:val="singleLevel"/>
    <w:tmpl w:val="B8AAF5E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737741E"/>
    <w:multiLevelType w:val="hybridMultilevel"/>
    <w:tmpl w:val="EA36D5E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7865C8A"/>
    <w:multiLevelType w:val="singleLevel"/>
    <w:tmpl w:val="99223F9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4">
    <w:nsid w:val="08DB629B"/>
    <w:multiLevelType w:val="singleLevel"/>
    <w:tmpl w:val="3DD0A614"/>
    <w:lvl w:ilvl="0">
      <w:start w:val="18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5">
    <w:nsid w:val="096108C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6">
    <w:nsid w:val="0A631EE6"/>
    <w:multiLevelType w:val="singleLevel"/>
    <w:tmpl w:val="2F2C238A"/>
    <w:lvl w:ilvl="0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7">
    <w:nsid w:val="0B1E2727"/>
    <w:multiLevelType w:val="singleLevel"/>
    <w:tmpl w:val="8E0286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8">
    <w:nsid w:val="0BE87EA6"/>
    <w:multiLevelType w:val="singleLevel"/>
    <w:tmpl w:val="EBEAEFE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9">
    <w:nsid w:val="0C776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30">
    <w:nsid w:val="0CA425C5"/>
    <w:multiLevelType w:val="hybridMultilevel"/>
    <w:tmpl w:val="F1B8BA3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CF13286"/>
    <w:multiLevelType w:val="hybridMultilevel"/>
    <w:tmpl w:val="020CC4EE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32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0D302D66"/>
    <w:multiLevelType w:val="hybridMultilevel"/>
    <w:tmpl w:val="B456D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0D897B1E"/>
    <w:multiLevelType w:val="singleLevel"/>
    <w:tmpl w:val="E042CAAC"/>
    <w:lvl w:ilvl="0">
      <w:start w:val="2"/>
      <w:numFmt w:val="decimal"/>
      <w:lvlText w:val="%1."/>
      <w:lvlJc w:val="left"/>
      <w:pPr>
        <w:tabs>
          <w:tab w:val="num" w:pos="703"/>
        </w:tabs>
        <w:ind w:left="703" w:hanging="360"/>
      </w:pPr>
      <w:rPr>
        <w:b/>
        <w:rtl w:val="0"/>
      </w:rPr>
    </w:lvl>
  </w:abstractNum>
  <w:abstractNum w:abstractNumId="35">
    <w:nsid w:val="0DDA0D3E"/>
    <w:multiLevelType w:val="hybridMultilevel"/>
    <w:tmpl w:val="2618B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E7851B8"/>
    <w:multiLevelType w:val="singleLevel"/>
    <w:tmpl w:val="907080D0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37">
    <w:nsid w:val="0EDD5F98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8">
    <w:nsid w:val="0F71278A"/>
    <w:multiLevelType w:val="hybridMultilevel"/>
    <w:tmpl w:val="C02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0F9A4C95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0">
    <w:nsid w:val="0FCF3077"/>
    <w:multiLevelType w:val="hybridMultilevel"/>
    <w:tmpl w:val="BB9CC5FE"/>
    <w:lvl w:ilvl="0">
      <w:start w:val="148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0F2575D"/>
    <w:multiLevelType w:val="singleLevel"/>
    <w:tmpl w:val="B4CEC5FA"/>
    <w:lvl w:ilvl="0">
      <w:start w:val="26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42">
    <w:nsid w:val="11593ABA"/>
    <w:multiLevelType w:val="hybridMultilevel"/>
    <w:tmpl w:val="4F6665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3">
    <w:nsid w:val="11715061"/>
    <w:multiLevelType w:val="hybridMultilevel"/>
    <w:tmpl w:val="E14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11F16D68"/>
    <w:multiLevelType w:val="hybridMultilevel"/>
    <w:tmpl w:val="03AC36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2155438"/>
    <w:multiLevelType w:val="hybridMultilevel"/>
    <w:tmpl w:val="2F9CD58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12A86C4F"/>
    <w:multiLevelType w:val="hybridMultilevel"/>
    <w:tmpl w:val="69FA1D5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13001221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48">
    <w:nsid w:val="13927FAE"/>
    <w:multiLevelType w:val="singleLevel"/>
    <w:tmpl w:val="29CAB7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49">
    <w:nsid w:val="148A218E"/>
    <w:multiLevelType w:val="hybridMultilevel"/>
    <w:tmpl w:val="EB4C66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14AA76BC"/>
    <w:multiLevelType w:val="singleLevel"/>
    <w:tmpl w:val="B8E49B6A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51">
    <w:nsid w:val="154663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52">
    <w:nsid w:val="157B4750"/>
    <w:multiLevelType w:val="hybridMultilevel"/>
    <w:tmpl w:val="D9F402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15B2064D"/>
    <w:multiLevelType w:val="hybridMultilevel"/>
    <w:tmpl w:val="D980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169456C7"/>
    <w:multiLevelType w:val="singleLevel"/>
    <w:tmpl w:val="CC465016"/>
    <w:lvl w:ilvl="0">
      <w:start w:val="41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55">
    <w:nsid w:val="17F43349"/>
    <w:multiLevelType w:val="hybridMultilevel"/>
    <w:tmpl w:val="7F6A74BA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18083034"/>
    <w:multiLevelType w:val="hybridMultilevel"/>
    <w:tmpl w:val="F116990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57">
    <w:nsid w:val="1827441F"/>
    <w:multiLevelType w:val="hybridMultilevel"/>
    <w:tmpl w:val="91CE2C7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b w:val="0"/>
        <w:i w:val="0"/>
        <w:rtl w:val="0"/>
      </w:rPr>
    </w:lvl>
    <w:lvl w:ilvl="1">
      <w:start w:val="3"/>
      <w:numFmt w:val="upperLetter"/>
      <w:lvlText w:val="%2."/>
      <w:lvlJc w:val="left"/>
      <w:pPr>
        <w:tabs>
          <w:tab w:val="num" w:pos="2490"/>
        </w:tabs>
        <w:ind w:left="24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8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9">
    <w:nsid w:val="186C2AE5"/>
    <w:multiLevelType w:val="hybridMultilevel"/>
    <w:tmpl w:val="52F045C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19946ABC"/>
    <w:multiLevelType w:val="hybridMultilevel"/>
    <w:tmpl w:val="90F693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1">
    <w:nsid w:val="1AA73994"/>
    <w:multiLevelType w:val="hybridMultilevel"/>
    <w:tmpl w:val="0F64E18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2">
    <w:nsid w:val="1B3747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63">
    <w:nsid w:val="1C8C5A62"/>
    <w:multiLevelType w:val="hybridMultilevel"/>
    <w:tmpl w:val="D71E2B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1E2D4C10"/>
    <w:multiLevelType w:val="hybridMultilevel"/>
    <w:tmpl w:val="6C86C3D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5">
    <w:nsid w:val="1EAB423D"/>
    <w:multiLevelType w:val="hybridMultilevel"/>
    <w:tmpl w:val="9F98F3D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66">
    <w:nsid w:val="1F2345EF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>
    <w:nsid w:val="1F31642B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8">
    <w:nsid w:val="1FF9402D"/>
    <w:multiLevelType w:val="hybridMultilevel"/>
    <w:tmpl w:val="957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203B34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0">
    <w:nsid w:val="2046608B"/>
    <w:multiLevelType w:val="hybridMultilevel"/>
    <w:tmpl w:val="FF3651F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1">
    <w:nsid w:val="204F40CA"/>
    <w:multiLevelType w:val="hybridMultilevel"/>
    <w:tmpl w:val="0E08BAB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2">
    <w:nsid w:val="205C2E8A"/>
    <w:multiLevelType w:val="hybridMultilevel"/>
    <w:tmpl w:val="7EECB7B8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  <w:rtl w:val="0"/>
      </w:rPr>
    </w:lvl>
  </w:abstractNum>
  <w:abstractNum w:abstractNumId="73">
    <w:nsid w:val="207B3981"/>
    <w:multiLevelType w:val="hybridMultilevel"/>
    <w:tmpl w:val="1A1058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20A3523E"/>
    <w:multiLevelType w:val="hybridMultilevel"/>
    <w:tmpl w:val="7D16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21351F1F"/>
    <w:multiLevelType w:val="hybridMultilevel"/>
    <w:tmpl w:val="5A4EED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3"/>
      <w:numFmt w:val="bullet"/>
      <w:lvlText w:val="-"/>
      <w:lvlJc w:val="left"/>
      <w:pPr>
        <w:tabs>
          <w:tab w:val="num" w:pos="7005"/>
        </w:tabs>
        <w:ind w:left="7005" w:hanging="360"/>
      </w:pPr>
      <w:rPr>
        <w:rFonts w:ascii="Times New Roman" w:hAnsi="Times New Roman" w:cs="Times New Roman"/>
        <w:rtl w:val="0"/>
      </w:rPr>
    </w:lvl>
  </w:abstractNum>
  <w:abstractNum w:abstractNumId="76">
    <w:nsid w:val="21E04B16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7">
    <w:nsid w:val="23DC5ABC"/>
    <w:multiLevelType w:val="hybridMultilevel"/>
    <w:tmpl w:val="6C600A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8">
    <w:nsid w:val="240E6E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9">
    <w:nsid w:val="242313B6"/>
    <w:multiLevelType w:val="hybridMultilevel"/>
    <w:tmpl w:val="B636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245B6410"/>
    <w:multiLevelType w:val="hybrid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24CD0228"/>
    <w:multiLevelType w:val="hybridMultilevel"/>
    <w:tmpl w:val="CDBE8C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2">
    <w:nsid w:val="24F50863"/>
    <w:multiLevelType w:val="hybridMultilevel"/>
    <w:tmpl w:val="2C2AC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25B9516B"/>
    <w:multiLevelType w:val="singleLevel"/>
    <w:tmpl w:val="56C4FB7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84">
    <w:nsid w:val="2630413C"/>
    <w:multiLevelType w:val="hybridMultilevel"/>
    <w:tmpl w:val="1668DC4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26C75DC4"/>
    <w:multiLevelType w:val="hybridMultilevel"/>
    <w:tmpl w:val="E5BE6F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6">
    <w:nsid w:val="27D37428"/>
    <w:multiLevelType w:val="hybridMultilevel"/>
    <w:tmpl w:val="4538F1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87">
    <w:nsid w:val="27E07D6A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8">
    <w:nsid w:val="28AA4C98"/>
    <w:multiLevelType w:val="hybridMultilevel"/>
    <w:tmpl w:val="BAB41A72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89">
    <w:nsid w:val="28EA47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0">
    <w:nsid w:val="294621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91">
    <w:nsid w:val="298B74BF"/>
    <w:multiLevelType w:val="hybridMultilevel"/>
    <w:tmpl w:val="03E6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29BA08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93">
    <w:nsid w:val="29F41E96"/>
    <w:multiLevelType w:val="singleLevel"/>
    <w:tmpl w:val="506C912A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94">
    <w:nsid w:val="2A397E27"/>
    <w:multiLevelType w:val="hybridMultilevel"/>
    <w:tmpl w:val="0F8275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5">
    <w:nsid w:val="2C9049B4"/>
    <w:multiLevelType w:val="hybridMultilevel"/>
    <w:tmpl w:val="F8849E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2CA2097C"/>
    <w:multiLevelType w:val="hybridMultilevel"/>
    <w:tmpl w:val="210C0DA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97">
    <w:nsid w:val="2D2B73FD"/>
    <w:multiLevelType w:val="hybridMultilevel"/>
    <w:tmpl w:val="114E4BC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8">
    <w:nsid w:val="2DBF2666"/>
    <w:multiLevelType w:val="hybridMultilevel"/>
    <w:tmpl w:val="C3A2BC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2EA10D7D"/>
    <w:multiLevelType w:val="hybridMultilevel"/>
    <w:tmpl w:val="ABDCA88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0">
    <w:nsid w:val="2EE71A00"/>
    <w:multiLevelType w:val="singleLevel"/>
    <w:tmpl w:val="596E408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01">
    <w:nsid w:val="2F785E30"/>
    <w:multiLevelType w:val="singleLevel"/>
    <w:tmpl w:val="0405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02">
    <w:nsid w:val="2F8F443F"/>
    <w:multiLevelType w:val="hybridMultilevel"/>
    <w:tmpl w:val="593A89E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3">
    <w:nsid w:val="2FC96C9B"/>
    <w:multiLevelType w:val="singleLevel"/>
    <w:tmpl w:val="70C0FA44"/>
    <w:lvl w:ilvl="0">
      <w:start w:val="2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04">
    <w:nsid w:val="30822F7F"/>
    <w:multiLevelType w:val="singleLevel"/>
    <w:tmpl w:val="0405000F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5">
    <w:nsid w:val="30975F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6">
    <w:nsid w:val="31F823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7">
    <w:nsid w:val="32860E3C"/>
    <w:multiLevelType w:val="singleLevel"/>
    <w:tmpl w:val="0405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08">
    <w:nsid w:val="33590A58"/>
    <w:multiLevelType w:val="singleLevel"/>
    <w:tmpl w:val="0F44E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09">
    <w:nsid w:val="33743749"/>
    <w:multiLevelType w:val="hybridMultilevel"/>
    <w:tmpl w:val="2B2484A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34B844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1">
    <w:nsid w:val="34DC1955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12">
    <w:nsid w:val="34DF1A15"/>
    <w:multiLevelType w:val="hybridMultilevel"/>
    <w:tmpl w:val="996659B8"/>
    <w:lvl w:ilvl="0">
      <w:start w:val="1"/>
      <w:numFmt w:val="decimal"/>
      <w:lvlText w:val="%1."/>
      <w:lvlJc w:val="left"/>
      <w:pPr>
        <w:tabs>
          <w:tab w:val="num" w:pos="7800"/>
        </w:tabs>
        <w:ind w:left="7800" w:hanging="360"/>
      </w:pPr>
    </w:lvl>
    <w:lvl w:ilvl="1">
      <w:start w:val="1"/>
      <w:numFmt w:val="lowerLetter"/>
      <w:lvlText w:val="%2."/>
      <w:lvlJc w:val="left"/>
      <w:pPr>
        <w:tabs>
          <w:tab w:val="num" w:pos="8520"/>
        </w:tabs>
        <w:ind w:left="8520" w:hanging="360"/>
      </w:pPr>
    </w:lvl>
    <w:lvl w:ilvl="2">
      <w:start w:val="1"/>
      <w:numFmt w:val="lowerRoman"/>
      <w:lvlText w:val="%3."/>
      <w:lvlJc w:val="right"/>
      <w:pPr>
        <w:tabs>
          <w:tab w:val="num" w:pos="9240"/>
        </w:tabs>
        <w:ind w:left="9240" w:hanging="180"/>
      </w:pPr>
    </w:lvl>
    <w:lvl w:ilvl="3">
      <w:start w:val="1"/>
      <w:numFmt w:val="decimal"/>
      <w:lvlText w:val="%4."/>
      <w:lvlJc w:val="left"/>
      <w:pPr>
        <w:tabs>
          <w:tab w:val="num" w:pos="9960"/>
        </w:tabs>
        <w:ind w:left="9960" w:hanging="360"/>
      </w:pPr>
    </w:lvl>
    <w:lvl w:ilvl="4">
      <w:start w:val="1"/>
      <w:numFmt w:val="lowerLetter"/>
      <w:lvlText w:val="%5."/>
      <w:lvlJc w:val="left"/>
      <w:pPr>
        <w:tabs>
          <w:tab w:val="num" w:pos="10680"/>
        </w:tabs>
        <w:ind w:left="10680" w:hanging="360"/>
      </w:pPr>
    </w:lvl>
    <w:lvl w:ilvl="5">
      <w:start w:val="1"/>
      <w:numFmt w:val="lowerRoman"/>
      <w:lvlText w:val="%6."/>
      <w:lvlJc w:val="right"/>
      <w:pPr>
        <w:tabs>
          <w:tab w:val="num" w:pos="11400"/>
        </w:tabs>
        <w:ind w:left="11400" w:hanging="180"/>
      </w:pPr>
    </w:lvl>
    <w:lvl w:ilvl="6">
      <w:start w:val="1"/>
      <w:numFmt w:val="decimal"/>
      <w:lvlText w:val="%7."/>
      <w:lvlJc w:val="left"/>
      <w:pPr>
        <w:tabs>
          <w:tab w:val="num" w:pos="12120"/>
        </w:tabs>
        <w:ind w:left="12120" w:hanging="360"/>
      </w:pPr>
    </w:lvl>
    <w:lvl w:ilvl="7">
      <w:start w:val="1"/>
      <w:numFmt w:val="lowerLetter"/>
      <w:lvlText w:val="%8."/>
      <w:lvlJc w:val="left"/>
      <w:pPr>
        <w:tabs>
          <w:tab w:val="num" w:pos="12840"/>
        </w:tabs>
        <w:ind w:left="12840" w:hanging="360"/>
      </w:pPr>
    </w:lvl>
    <w:lvl w:ilvl="8">
      <w:start w:val="1"/>
      <w:numFmt w:val="lowerRoman"/>
      <w:lvlText w:val="%9."/>
      <w:lvlJc w:val="right"/>
      <w:pPr>
        <w:tabs>
          <w:tab w:val="num" w:pos="13560"/>
        </w:tabs>
        <w:ind w:left="13560" w:hanging="180"/>
      </w:pPr>
    </w:lvl>
  </w:abstractNum>
  <w:abstractNum w:abstractNumId="113">
    <w:nsid w:val="353A289E"/>
    <w:multiLevelType w:val="singleLevel"/>
    <w:tmpl w:val="99223F9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4">
    <w:nsid w:val="354C612C"/>
    <w:multiLevelType w:val="hybridMultilevel"/>
    <w:tmpl w:val="47560B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5">
    <w:nsid w:val="36BD3A94"/>
    <w:multiLevelType w:val="singleLevel"/>
    <w:tmpl w:val="E47CFA9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6">
    <w:nsid w:val="3742268E"/>
    <w:multiLevelType w:val="hybridMultilevel"/>
    <w:tmpl w:val="A6E4EC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37AD3847"/>
    <w:multiLevelType w:val="singleLevel"/>
    <w:tmpl w:val="99223F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8">
    <w:nsid w:val="395B058F"/>
    <w:multiLevelType w:val="singleLevel"/>
    <w:tmpl w:val="0405000F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9">
    <w:nsid w:val="3A004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0">
    <w:nsid w:val="3A4C45BD"/>
    <w:multiLevelType w:val="hybridMultilevel"/>
    <w:tmpl w:val="6F9C475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1">
    <w:nsid w:val="3AB03430"/>
    <w:multiLevelType w:val="singleLevel"/>
    <w:tmpl w:val="0405000F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22">
    <w:nsid w:val="3ACB4CDF"/>
    <w:multiLevelType w:val="hybridMultilevel"/>
    <w:tmpl w:val="BBBC8F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3B61459E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24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3C5B393E"/>
    <w:multiLevelType w:val="hybridMultilevel"/>
    <w:tmpl w:val="80DC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3C9C7DFF"/>
    <w:multiLevelType w:val="hybridMultilevel"/>
    <w:tmpl w:val="A3241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3D1A4E9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9">
    <w:nsid w:val="3DBE69AA"/>
    <w:multiLevelType w:val="hybridMultilevel"/>
    <w:tmpl w:val="4884887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3E1F7F1C"/>
    <w:multiLevelType w:val="hybridMultilevel"/>
    <w:tmpl w:val="E4DA141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3E730AE7"/>
    <w:multiLevelType w:val="hybridMultilevel"/>
    <w:tmpl w:val="EE26B3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2">
    <w:nsid w:val="3FE458FB"/>
    <w:multiLevelType w:val="singleLevel"/>
    <w:tmpl w:val="A9F6D2D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33">
    <w:nsid w:val="414A638C"/>
    <w:multiLevelType w:val="singleLevel"/>
    <w:tmpl w:val="604CC298"/>
    <w:lvl w:ilvl="0">
      <w:start w:val="67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34">
    <w:nsid w:val="416E699A"/>
    <w:multiLevelType w:val="hybridMultilevel"/>
    <w:tmpl w:val="10EE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422B3CEA"/>
    <w:multiLevelType w:val="hybridMultilevel"/>
    <w:tmpl w:val="1C90046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43EB45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7">
    <w:nsid w:val="44B760B0"/>
    <w:multiLevelType w:val="hybridMultilevel"/>
    <w:tmpl w:val="9DDA383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450B6BB3"/>
    <w:multiLevelType w:val="hybridMultilevel"/>
    <w:tmpl w:val="F7EE06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45D378D5"/>
    <w:multiLevelType w:val="hybridMultilevel"/>
    <w:tmpl w:val="2F6A42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4733461B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41">
    <w:nsid w:val="475122D6"/>
    <w:multiLevelType w:val="hybridMultilevel"/>
    <w:tmpl w:val="4AB0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48831D6B"/>
    <w:multiLevelType w:val="singleLevel"/>
    <w:tmpl w:val="AAF067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43">
    <w:nsid w:val="49B56B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4">
    <w:nsid w:val="49E34ECD"/>
    <w:multiLevelType w:val="singleLevel"/>
    <w:tmpl w:val="98B8627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145">
    <w:nsid w:val="49F62C82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6">
    <w:nsid w:val="4A46153B"/>
    <w:multiLevelType w:val="hybridMultilevel"/>
    <w:tmpl w:val="D27E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4C2739B2"/>
    <w:multiLevelType w:val="hybridMultilevel"/>
    <w:tmpl w:val="44F00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4D3E0D40"/>
    <w:multiLevelType w:val="hybridMultilevel"/>
    <w:tmpl w:val="C33414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4DFD3658"/>
    <w:multiLevelType w:val="singleLevel"/>
    <w:tmpl w:val="19A89D5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50">
    <w:nsid w:val="4E2940F2"/>
    <w:multiLevelType w:val="singleLevel"/>
    <w:tmpl w:val="706EA2E8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51">
    <w:nsid w:val="4EB111AB"/>
    <w:multiLevelType w:val="singleLevel"/>
    <w:tmpl w:val="ECD655A6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52">
    <w:nsid w:val="4F605318"/>
    <w:multiLevelType w:val="singleLevel"/>
    <w:tmpl w:val="0D887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53">
    <w:nsid w:val="4FCF00D1"/>
    <w:multiLevelType w:val="hybridMultilevel"/>
    <w:tmpl w:val="07CA4CE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54">
    <w:nsid w:val="4FD4397B"/>
    <w:multiLevelType w:val="hybridMultilevel"/>
    <w:tmpl w:val="AEEE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50BA380E"/>
    <w:multiLevelType w:val="hybridMultilevel"/>
    <w:tmpl w:val="83EC7B2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514C20AD"/>
    <w:multiLevelType w:val="hybridMultilevel"/>
    <w:tmpl w:val="5E6846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7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8">
    <w:nsid w:val="527761DC"/>
    <w:multiLevelType w:val="hybridMultilevel"/>
    <w:tmpl w:val="15FCD4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>
    <w:nsid w:val="538C7425"/>
    <w:multiLevelType w:val="hybridMultilevel"/>
    <w:tmpl w:val="F40277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160">
    <w:nsid w:val="539A7FC6"/>
    <w:multiLevelType w:val="singleLevel"/>
    <w:tmpl w:val="5E94DE3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61">
    <w:nsid w:val="545E5440"/>
    <w:multiLevelType w:val="hybridMultilevel"/>
    <w:tmpl w:val="1E74BC72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2">
    <w:nsid w:val="54C1274C"/>
    <w:multiLevelType w:val="singleLevel"/>
    <w:tmpl w:val="8924AF7C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rtl w:val="0"/>
      </w:rPr>
    </w:lvl>
  </w:abstractNum>
  <w:abstractNum w:abstractNumId="163">
    <w:nsid w:val="557C3093"/>
    <w:multiLevelType w:val="hybridMultilevel"/>
    <w:tmpl w:val="579690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65">
    <w:nsid w:val="56315FA2"/>
    <w:multiLevelType w:val="hybridMultilevel"/>
    <w:tmpl w:val="412E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>
    <w:nsid w:val="56542E4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67">
    <w:nsid w:val="56AD7A2E"/>
    <w:multiLevelType w:val="hybridMultilevel"/>
    <w:tmpl w:val="6848091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571874BC"/>
    <w:multiLevelType w:val="singleLevel"/>
    <w:tmpl w:val="458802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69">
    <w:nsid w:val="574946E0"/>
    <w:multiLevelType w:val="hybridMultilevel"/>
    <w:tmpl w:val="457AA8E2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70">
    <w:nsid w:val="575656B1"/>
    <w:multiLevelType w:val="hybridMultilevel"/>
    <w:tmpl w:val="DF6A7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1">
    <w:nsid w:val="582E1DB8"/>
    <w:multiLevelType w:val="hybridMultilevel"/>
    <w:tmpl w:val="A260D758"/>
    <w:lvl w:ilvl="0">
      <w:start w:val="1"/>
      <w:numFmt w:val="bullet"/>
      <w:lvlText w:val=""/>
      <w:lvlJc w:val="left"/>
      <w:pPr>
        <w:tabs>
          <w:tab w:val="num" w:pos="717"/>
        </w:tabs>
        <w:ind w:left="284" w:firstLine="73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2">
    <w:nsid w:val="583C3976"/>
    <w:multiLevelType w:val="hybridMultilevel"/>
    <w:tmpl w:val="38C2B2E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73">
    <w:nsid w:val="58686710"/>
    <w:multiLevelType w:val="hybridMultilevel"/>
    <w:tmpl w:val="47AAC1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>
    <w:nsid w:val="58EF135B"/>
    <w:multiLevelType w:val="singleLevel"/>
    <w:tmpl w:val="9A369CF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6">
    <w:nsid w:val="5B867B62"/>
    <w:multiLevelType w:val="singleLevel"/>
    <w:tmpl w:val="708418D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7">
    <w:nsid w:val="5B9A69EF"/>
    <w:multiLevelType w:val="hybridMultilevel"/>
    <w:tmpl w:val="6ACEC1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8">
    <w:nsid w:val="5C5E5839"/>
    <w:multiLevelType w:val="singleLevel"/>
    <w:tmpl w:val="9DD6895E"/>
    <w:lvl w:ilvl="0">
      <w:start w:val="49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9">
    <w:nsid w:val="5C877A4B"/>
    <w:multiLevelType w:val="hybridMultilevel"/>
    <w:tmpl w:val="A94667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0">
    <w:nsid w:val="5DC801F6"/>
    <w:multiLevelType w:val="singleLevel"/>
    <w:tmpl w:val="DDF0FE24"/>
    <w:lvl w:ilvl="0">
      <w:start w:val="9"/>
      <w:numFmt w:val="decimal"/>
      <w:lvlText w:val="%1."/>
      <w:lvlJc w:val="left"/>
      <w:pPr>
        <w:tabs>
          <w:tab w:val="num" w:pos="80"/>
        </w:tabs>
        <w:ind w:left="80" w:hanging="360"/>
      </w:pPr>
    </w:lvl>
  </w:abstractNum>
  <w:abstractNum w:abstractNumId="181">
    <w:nsid w:val="5F3B2D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82">
    <w:nsid w:val="5F6B4C42"/>
    <w:multiLevelType w:val="singleLevel"/>
    <w:tmpl w:val="845E86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3">
    <w:nsid w:val="5F7D1BAF"/>
    <w:multiLevelType w:val="hybridMultilevel"/>
    <w:tmpl w:val="AFA26792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184">
    <w:nsid w:val="60EB53DD"/>
    <w:multiLevelType w:val="singleLevel"/>
    <w:tmpl w:val="FDCAE0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85">
    <w:nsid w:val="615D65BF"/>
    <w:multiLevelType w:val="hybridMultilevel"/>
    <w:tmpl w:val="26A8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>
    <w:nsid w:val="61DF7D63"/>
    <w:multiLevelType w:val="hybridMultilevel"/>
    <w:tmpl w:val="9822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>
    <w:nsid w:val="62412AB6"/>
    <w:multiLevelType w:val="singleLevel"/>
    <w:tmpl w:val="621C21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8">
    <w:nsid w:val="6274511D"/>
    <w:multiLevelType w:val="singleLevel"/>
    <w:tmpl w:val="15B072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89">
    <w:nsid w:val="63631CD2"/>
    <w:multiLevelType w:val="singleLevel"/>
    <w:tmpl w:val="AD2A8F18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0">
    <w:nsid w:val="63AD33EB"/>
    <w:multiLevelType w:val="hybridMultilevel"/>
    <w:tmpl w:val="82404BE4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/>
        <w:rtl w:val="0"/>
      </w:rPr>
    </w:lvl>
  </w:abstractNum>
  <w:abstractNum w:abstractNumId="191">
    <w:nsid w:val="65BF258E"/>
    <w:multiLevelType w:val="singleLevel"/>
    <w:tmpl w:val="0405000F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92">
    <w:nsid w:val="660344FE"/>
    <w:multiLevelType w:val="hybridMultilevel"/>
    <w:tmpl w:val="FB52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3">
    <w:nsid w:val="67C712B4"/>
    <w:multiLevelType w:val="hybridMultilevel"/>
    <w:tmpl w:val="4DC626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94">
    <w:nsid w:val="680426E9"/>
    <w:multiLevelType w:val="singleLevel"/>
    <w:tmpl w:val="CC209148"/>
    <w:lvl w:ilvl="0">
      <w:start w:val="3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95">
    <w:nsid w:val="68107D29"/>
    <w:multiLevelType w:val="singleLevel"/>
    <w:tmpl w:val="E22C475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96">
    <w:nsid w:val="69BF12C8"/>
    <w:multiLevelType w:val="hybridMultilevel"/>
    <w:tmpl w:val="9E52195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>
    <w:nsid w:val="69CB4C34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198">
    <w:nsid w:val="6AC85771"/>
    <w:multiLevelType w:val="hybridMultilevel"/>
    <w:tmpl w:val="485075F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9">
    <w:nsid w:val="6B7F31FF"/>
    <w:multiLevelType w:val="singleLevel"/>
    <w:tmpl w:val="0405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0">
    <w:nsid w:val="6C110D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01">
    <w:nsid w:val="6C6E7844"/>
    <w:multiLevelType w:val="hybridMultilevel"/>
    <w:tmpl w:val="442A6E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>
    <w:nsid w:val="6CC34009"/>
    <w:multiLevelType w:val="singleLevel"/>
    <w:tmpl w:val="A990901A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660"/>
      </w:pPr>
      <w:rPr>
        <w:i w:val="0"/>
        <w:sz w:val="24"/>
        <w:rtl w:val="0"/>
      </w:rPr>
    </w:lvl>
  </w:abstractNum>
  <w:abstractNum w:abstractNumId="203">
    <w:nsid w:val="6D454829"/>
    <w:multiLevelType w:val="hybridMultilevel"/>
    <w:tmpl w:val="3AB6E12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4">
    <w:nsid w:val="6E661B63"/>
    <w:multiLevelType w:val="singleLevel"/>
    <w:tmpl w:val="DA0C77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05">
    <w:nsid w:val="6F2824F2"/>
    <w:multiLevelType w:val="singleLevel"/>
    <w:tmpl w:val="34F4FD26"/>
    <w:lvl w:ilvl="0">
      <w:start w:val="2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06">
    <w:nsid w:val="6FDB7143"/>
    <w:multiLevelType w:val="hybridMultilevel"/>
    <w:tmpl w:val="14B002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7">
    <w:nsid w:val="703D12EA"/>
    <w:multiLevelType w:val="singleLevel"/>
    <w:tmpl w:val="AB8470A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08">
    <w:nsid w:val="7059578B"/>
    <w:multiLevelType w:val="singleLevel"/>
    <w:tmpl w:val="6546CEB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09">
    <w:nsid w:val="70D56628"/>
    <w:multiLevelType w:val="hybridMultilevel"/>
    <w:tmpl w:val="8CE234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10">
    <w:nsid w:val="727837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11">
    <w:nsid w:val="732054F9"/>
    <w:multiLevelType w:val="hybridMultilevel"/>
    <w:tmpl w:val="56AE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>
    <w:nsid w:val="745C42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13">
    <w:nsid w:val="750049AA"/>
    <w:multiLevelType w:val="singleLevel"/>
    <w:tmpl w:val="63067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4">
    <w:nsid w:val="756E46FB"/>
    <w:multiLevelType w:val="singleLevel"/>
    <w:tmpl w:val="9DD22D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5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>
    <w:nsid w:val="75DF3ED0"/>
    <w:multiLevelType w:val="hybridMultilevel"/>
    <w:tmpl w:val="EAE04D4C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465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17">
    <w:nsid w:val="770C5983"/>
    <w:multiLevelType w:val="hybridMultilevel"/>
    <w:tmpl w:val="63FA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8">
    <w:nsid w:val="781046B4"/>
    <w:multiLevelType w:val="hybridMultilevel"/>
    <w:tmpl w:val="731C65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9">
    <w:nsid w:val="78C450A0"/>
    <w:multiLevelType w:val="hybridMultilevel"/>
    <w:tmpl w:val="8984FA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0">
    <w:nsid w:val="78F17619"/>
    <w:multiLevelType w:val="hybridMultilevel"/>
    <w:tmpl w:val="10BAF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1">
    <w:nsid w:val="79184D55"/>
    <w:multiLevelType w:val="hybridMultilevel"/>
    <w:tmpl w:val="2CCE6866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22">
    <w:nsid w:val="7958668F"/>
    <w:multiLevelType w:val="singleLevel"/>
    <w:tmpl w:val="8FE6D9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3">
    <w:nsid w:val="7A415445"/>
    <w:multiLevelType w:val="singleLevel"/>
    <w:tmpl w:val="0405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4">
    <w:nsid w:val="7A6F418A"/>
    <w:multiLevelType w:val="singleLevel"/>
    <w:tmpl w:val="119E5948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25">
    <w:nsid w:val="7B246F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6">
    <w:nsid w:val="7C23278D"/>
    <w:multiLevelType w:val="singleLevel"/>
    <w:tmpl w:val="ED4E80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7">
    <w:nsid w:val="7C471372"/>
    <w:multiLevelType w:val="singleLevel"/>
    <w:tmpl w:val="0405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8">
    <w:nsid w:val="7D365B9B"/>
    <w:multiLevelType w:val="singleLevel"/>
    <w:tmpl w:val="0092351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29">
    <w:nsid w:val="7D643CB4"/>
    <w:multiLevelType w:val="singleLevel"/>
    <w:tmpl w:val="0405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0">
    <w:nsid w:val="7E3039FC"/>
    <w:multiLevelType w:val="hybridMultilevel"/>
    <w:tmpl w:val="C4403FD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31">
    <w:nsid w:val="7F3C7B21"/>
    <w:multiLevelType w:val="hybridMultilevel"/>
    <w:tmpl w:val="E47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2">
    <w:nsid w:val="7FA948FC"/>
    <w:multiLevelType w:val="hybridMultilevel"/>
    <w:tmpl w:val="10365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1"/>
  </w:num>
  <w:num w:numId="2">
    <w:abstractNumId w:val="230"/>
  </w:num>
  <w:num w:numId="3">
    <w:abstractNumId w:val="157"/>
  </w:num>
  <w:num w:numId="4">
    <w:abstractNumId w:val="185"/>
  </w:num>
  <w:num w:numId="5">
    <w:abstractNumId w:val="211"/>
  </w:num>
  <w:num w:numId="6">
    <w:abstractNumId w:val="126"/>
  </w:num>
  <w:num w:numId="7">
    <w:abstractNumId w:val="192"/>
  </w:num>
  <w:num w:numId="8">
    <w:abstractNumId w:val="217"/>
  </w:num>
  <w:num w:numId="9">
    <w:abstractNumId w:val="32"/>
  </w:num>
  <w:num w:numId="10">
    <w:abstractNumId w:val="146"/>
  </w:num>
  <w:num w:numId="11">
    <w:abstractNumId w:val="86"/>
  </w:num>
  <w:num w:numId="12">
    <w:abstractNumId w:val="170"/>
  </w:num>
  <w:num w:numId="13">
    <w:abstractNumId w:val="161"/>
  </w:num>
  <w:num w:numId="14">
    <w:abstractNumId w:val="77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">
    <w:abstractNumId w:val="15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10"/>
  </w:num>
  <w:num w:numId="28">
    <w:abstractNumId w:val="188"/>
  </w:num>
  <w:num w:numId="29">
    <w:abstractNumId w:val="226"/>
  </w:num>
  <w:num w:numId="30">
    <w:abstractNumId w:val="20"/>
  </w:num>
  <w:num w:numId="31">
    <w:abstractNumId w:val="214"/>
  </w:num>
  <w:num w:numId="32">
    <w:abstractNumId w:val="27"/>
  </w:num>
  <w:num w:numId="33">
    <w:abstractNumId w:val="189"/>
  </w:num>
  <w:num w:numId="34">
    <w:abstractNumId w:val="213"/>
  </w:num>
  <w:num w:numId="35">
    <w:abstractNumId w:val="187"/>
  </w:num>
  <w:num w:numId="36">
    <w:abstractNumId w:val="222"/>
  </w:num>
  <w:num w:numId="37">
    <w:abstractNumId w:val="224"/>
  </w:num>
  <w:num w:numId="38">
    <w:abstractNumId w:val="48"/>
  </w:num>
  <w:num w:numId="39">
    <w:abstractNumId w:val="207"/>
  </w:num>
  <w:num w:numId="40">
    <w:abstractNumId w:val="132"/>
  </w:num>
  <w:num w:numId="41">
    <w:abstractNumId w:val="182"/>
  </w:num>
  <w:num w:numId="42">
    <w:abstractNumId w:val="115"/>
  </w:num>
  <w:num w:numId="43">
    <w:abstractNumId w:val="36"/>
  </w:num>
  <w:num w:numId="44">
    <w:abstractNumId w:val="26"/>
  </w:num>
  <w:num w:numId="45">
    <w:abstractNumId w:val="208"/>
  </w:num>
  <w:num w:numId="46">
    <w:abstractNumId w:val="204"/>
  </w:num>
  <w:num w:numId="47">
    <w:abstractNumId w:val="181"/>
  </w:num>
  <w:num w:numId="48">
    <w:abstractNumId w:val="28"/>
  </w:num>
  <w:num w:numId="49">
    <w:abstractNumId w:val="16"/>
  </w:num>
  <w:num w:numId="50">
    <w:abstractNumId w:val="168"/>
  </w:num>
  <w:num w:numId="51">
    <w:abstractNumId w:val="78"/>
  </w:num>
  <w:num w:numId="52">
    <w:abstractNumId w:val="149"/>
  </w:num>
  <w:num w:numId="53">
    <w:abstractNumId w:val="142"/>
  </w:num>
  <w:num w:numId="54">
    <w:abstractNumId w:val="93"/>
  </w:num>
  <w:num w:numId="55">
    <w:abstractNumId w:val="108"/>
  </w:num>
  <w:num w:numId="56">
    <w:abstractNumId w:val="106"/>
  </w:num>
  <w:num w:numId="57">
    <w:abstractNumId w:val="62"/>
  </w:num>
  <w:num w:numId="58">
    <w:abstractNumId w:val="105"/>
  </w:num>
  <w:num w:numId="59">
    <w:abstractNumId w:val="197"/>
  </w:num>
  <w:num w:numId="60">
    <w:abstractNumId w:val="225"/>
  </w:num>
  <w:num w:numId="61">
    <w:abstractNumId w:val="202"/>
  </w:num>
  <w:num w:numId="62">
    <w:abstractNumId w:val="47"/>
  </w:num>
  <w:num w:numId="63">
    <w:abstractNumId w:val="175"/>
  </w:num>
  <w:num w:numId="64">
    <w:abstractNumId w:val="160"/>
  </w:num>
  <w:num w:numId="65">
    <w:abstractNumId w:val="89"/>
  </w:num>
  <w:num w:numId="66">
    <w:abstractNumId w:val="34"/>
  </w:num>
  <w:num w:numId="67">
    <w:abstractNumId w:val="144"/>
  </w:num>
  <w:num w:numId="68">
    <w:abstractNumId w:val="205"/>
  </w:num>
  <w:num w:numId="69">
    <w:abstractNumId w:val="50"/>
  </w:num>
  <w:num w:numId="70">
    <w:abstractNumId w:val="162"/>
  </w:num>
  <w:num w:numId="71">
    <w:abstractNumId w:val="24"/>
  </w:num>
  <w:num w:numId="72">
    <w:abstractNumId w:val="184"/>
  </w:num>
  <w:num w:numId="73">
    <w:abstractNumId w:val="228"/>
  </w:num>
  <w:num w:numId="74">
    <w:abstractNumId w:val="194"/>
  </w:num>
  <w:num w:numId="75">
    <w:abstractNumId w:val="136"/>
  </w:num>
  <w:num w:numId="76">
    <w:abstractNumId w:val="195"/>
  </w:num>
  <w:num w:numId="77">
    <w:abstractNumId w:val="103"/>
  </w:num>
  <w:num w:numId="78">
    <w:abstractNumId w:val="54"/>
  </w:num>
  <w:num w:numId="79">
    <w:abstractNumId w:val="83"/>
  </w:num>
  <w:num w:numId="80">
    <w:abstractNumId w:val="151"/>
  </w:num>
  <w:num w:numId="81">
    <w:abstractNumId w:val="41"/>
  </w:num>
  <w:num w:numId="82">
    <w:abstractNumId w:val="128"/>
  </w:num>
  <w:num w:numId="83">
    <w:abstractNumId w:val="13"/>
  </w:num>
  <w:num w:numId="84">
    <w:abstractNumId w:val="15"/>
  </w:num>
  <w:num w:numId="85">
    <w:abstractNumId w:val="29"/>
  </w:num>
  <w:num w:numId="86">
    <w:abstractNumId w:val="119"/>
  </w:num>
  <w:num w:numId="87">
    <w:abstractNumId w:val="92"/>
  </w:num>
  <w:num w:numId="88">
    <w:abstractNumId w:val="69"/>
  </w:num>
  <w:num w:numId="89">
    <w:abstractNumId w:val="140"/>
  </w:num>
  <w:num w:numId="90">
    <w:abstractNumId w:val="123"/>
  </w:num>
  <w:num w:numId="91">
    <w:abstractNumId w:val="90"/>
  </w:num>
  <w:num w:numId="92">
    <w:abstractNumId w:val="191"/>
  </w:num>
  <w:num w:numId="93">
    <w:abstractNumId w:val="212"/>
  </w:num>
  <w:num w:numId="94">
    <w:abstractNumId w:val="1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/>
          <w:rtl w:val="0"/>
        </w:rPr>
      </w:lvl>
    </w:lvlOverride>
  </w:num>
  <w:num w:numId="95">
    <w:abstractNumId w:val="101"/>
  </w:num>
  <w:num w:numId="96">
    <w:abstractNumId w:val="107"/>
  </w:num>
  <w:num w:numId="97">
    <w:abstractNumId w:val="227"/>
  </w:num>
  <w:num w:numId="98">
    <w:abstractNumId w:val="143"/>
  </w:num>
  <w:num w:numId="99">
    <w:abstractNumId w:val="113"/>
  </w:num>
  <w:num w:numId="100">
    <w:abstractNumId w:val="145"/>
  </w:num>
  <w:num w:numId="101">
    <w:abstractNumId w:val="150"/>
  </w:num>
  <w:num w:numId="102">
    <w:abstractNumId w:val="133"/>
  </w:num>
  <w:num w:numId="103">
    <w:abstractNumId w:val="110"/>
  </w:num>
  <w:num w:numId="104">
    <w:abstractNumId w:val="199"/>
  </w:num>
  <w:num w:numId="105">
    <w:abstractNumId w:val="121"/>
  </w:num>
  <w:num w:numId="106">
    <w:abstractNumId w:val="180"/>
  </w:num>
  <w:num w:numId="107">
    <w:abstractNumId w:val="19"/>
  </w:num>
  <w:num w:numId="108">
    <w:abstractNumId w:val="23"/>
  </w:num>
  <w:num w:numId="109">
    <w:abstractNumId w:val="200"/>
  </w:num>
  <w:num w:numId="110">
    <w:abstractNumId w:val="51"/>
  </w:num>
  <w:num w:numId="111">
    <w:abstractNumId w:val="117"/>
  </w:num>
  <w:num w:numId="112">
    <w:abstractNumId w:val="223"/>
  </w:num>
  <w:num w:numId="113">
    <w:abstractNumId w:val="100"/>
  </w:num>
  <w:num w:numId="114">
    <w:abstractNumId w:val="66"/>
  </w:num>
  <w:num w:numId="115">
    <w:abstractNumId w:val="176"/>
  </w:num>
  <w:num w:numId="116">
    <w:abstractNumId w:val="229"/>
  </w:num>
  <w:num w:numId="117">
    <w:abstractNumId w:val="46"/>
  </w:num>
  <w:num w:numId="118">
    <w:abstractNumId w:val="206"/>
  </w:num>
  <w:num w:numId="119">
    <w:abstractNumId w:val="59"/>
  </w:num>
  <w:num w:numId="120">
    <w:abstractNumId w:val="94"/>
  </w:num>
  <w:num w:numId="121">
    <w:abstractNumId w:val="95"/>
  </w:num>
  <w:num w:numId="122">
    <w:abstractNumId w:val="84"/>
  </w:num>
  <w:num w:numId="123">
    <w:abstractNumId w:val="179"/>
  </w:num>
  <w:num w:numId="124">
    <w:abstractNumId w:val="81"/>
  </w:num>
  <w:num w:numId="125">
    <w:abstractNumId w:val="39"/>
  </w:num>
  <w:num w:numId="126">
    <w:abstractNumId w:val="166"/>
  </w:num>
  <w:num w:numId="127">
    <w:abstractNumId w:val="25"/>
  </w:num>
  <w:num w:numId="128">
    <w:abstractNumId w:val="104"/>
  </w:num>
  <w:num w:numId="129">
    <w:abstractNumId w:val="118"/>
  </w:num>
  <w:num w:numId="130">
    <w:abstractNumId w:val="167"/>
  </w:num>
  <w:num w:numId="131">
    <w:abstractNumId w:val="12"/>
  </w:num>
  <w:num w:numId="132">
    <w:abstractNumId w:val="155"/>
  </w:num>
  <w:num w:numId="133">
    <w:abstractNumId w:val="193"/>
  </w:num>
  <w:num w:numId="134">
    <w:abstractNumId w:val="97"/>
  </w:num>
  <w:num w:numId="135">
    <w:abstractNumId w:val="139"/>
  </w:num>
  <w:num w:numId="136">
    <w:abstractNumId w:val="42"/>
  </w:num>
  <w:num w:numId="137">
    <w:abstractNumId w:val="120"/>
  </w:num>
  <w:num w:numId="138">
    <w:abstractNumId w:val="45"/>
  </w:num>
  <w:num w:numId="139">
    <w:abstractNumId w:val="44"/>
  </w:num>
  <w:num w:numId="140">
    <w:abstractNumId w:val="71"/>
  </w:num>
  <w:num w:numId="141">
    <w:abstractNumId w:val="198"/>
  </w:num>
  <w:num w:numId="142">
    <w:abstractNumId w:val="218"/>
  </w:num>
  <w:num w:numId="143">
    <w:abstractNumId w:val="173"/>
  </w:num>
  <w:num w:numId="144">
    <w:abstractNumId w:val="87"/>
  </w:num>
  <w:num w:numId="145">
    <w:abstractNumId w:val="37"/>
  </w:num>
  <w:num w:numId="146">
    <w:abstractNumId w:val="76"/>
  </w:num>
  <w:num w:numId="147">
    <w:abstractNumId w:val="171"/>
  </w:num>
  <w:num w:numId="148">
    <w:abstractNumId w:val="111"/>
  </w:num>
  <w:num w:numId="149">
    <w:abstractNumId w:val="67"/>
  </w:num>
  <w:num w:numId="150">
    <w:abstractNumId w:val="61"/>
  </w:num>
  <w:num w:numId="151">
    <w:abstractNumId w:val="156"/>
  </w:num>
  <w:num w:numId="152">
    <w:abstractNumId w:val="137"/>
  </w:num>
  <w:num w:numId="153">
    <w:abstractNumId w:val="209"/>
  </w:num>
  <w:num w:numId="154">
    <w:abstractNumId w:val="18"/>
  </w:num>
  <w:num w:numId="155">
    <w:abstractNumId w:val="178"/>
  </w:num>
  <w:num w:numId="156">
    <w:abstractNumId w:val="30"/>
  </w:num>
  <w:num w:numId="157">
    <w:abstractNumId w:val="148"/>
  </w:num>
  <w:num w:numId="158">
    <w:abstractNumId w:val="85"/>
  </w:num>
  <w:num w:numId="159">
    <w:abstractNumId w:val="203"/>
  </w:num>
  <w:num w:numId="160">
    <w:abstractNumId w:val="129"/>
  </w:num>
  <w:num w:numId="161">
    <w:abstractNumId w:val="134"/>
  </w:num>
  <w:num w:numId="162">
    <w:abstractNumId w:val="13"/>
    <w:lvlOverride w:ilvl="0"/>
  </w:num>
  <w:num w:numId="163">
    <w:abstractNumId w:val="10"/>
  </w:num>
  <w:num w:numId="164">
    <w:abstractNumId w:val="10"/>
    <w:lvlOverride w:ilvl="0">
      <w:lvl w:ilvl="0">
        <w:start w:val="0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5">
    <w:abstractNumId w:val="11"/>
  </w:num>
  <w:num w:numId="166">
    <w:abstractNumId w:val="109"/>
  </w:num>
  <w:num w:numId="167">
    <w:abstractNumId w:val="130"/>
  </w:num>
  <w:num w:numId="168">
    <w:abstractNumId w:val="82"/>
  </w:num>
  <w:num w:numId="169">
    <w:abstractNumId w:val="172"/>
  </w:num>
  <w:num w:numId="170">
    <w:abstractNumId w:val="65"/>
  </w:num>
  <w:num w:numId="171">
    <w:abstractNumId w:val="35"/>
  </w:num>
  <w:num w:numId="172">
    <w:abstractNumId w:val="73"/>
  </w:num>
  <w:num w:numId="173">
    <w:abstractNumId w:val="33"/>
  </w:num>
  <w:num w:numId="174">
    <w:abstractNumId w:val="58"/>
  </w:num>
  <w:num w:numId="175">
    <w:abstractNumId w:val="17"/>
  </w:num>
  <w:num w:numId="176">
    <w:abstractNumId w:val="169"/>
  </w:num>
  <w:num w:numId="177">
    <w:abstractNumId w:val="154"/>
  </w:num>
  <w:num w:numId="178">
    <w:abstractNumId w:val="163"/>
  </w:num>
  <w:num w:numId="179">
    <w:abstractNumId w:val="60"/>
  </w:num>
  <w:num w:numId="180">
    <w:abstractNumId w:val="127"/>
  </w:num>
  <w:num w:numId="181">
    <w:abstractNumId w:val="147"/>
  </w:num>
  <w:num w:numId="182">
    <w:abstractNumId w:val="55"/>
  </w:num>
  <w:num w:numId="183">
    <w:abstractNumId w:val="116"/>
  </w:num>
  <w:num w:numId="184">
    <w:abstractNumId w:val="138"/>
  </w:num>
  <w:num w:numId="185">
    <w:abstractNumId w:val="53"/>
  </w:num>
  <w:num w:numId="186">
    <w:abstractNumId w:val="125"/>
  </w:num>
  <w:num w:numId="187">
    <w:abstractNumId w:val="112"/>
  </w:num>
  <w:num w:numId="188">
    <w:abstractNumId w:val="68"/>
  </w:num>
  <w:num w:numId="189">
    <w:abstractNumId w:val="43"/>
  </w:num>
  <w:num w:numId="190">
    <w:abstractNumId w:val="201"/>
  </w:num>
  <w:num w:numId="191">
    <w:abstractNumId w:val="219"/>
  </w:num>
  <w:num w:numId="192">
    <w:abstractNumId w:val="165"/>
  </w:num>
  <w:num w:numId="193">
    <w:abstractNumId w:val="79"/>
  </w:num>
  <w:num w:numId="194">
    <w:abstractNumId w:val="174"/>
  </w:num>
  <w:num w:numId="195">
    <w:abstractNumId w:val="21"/>
  </w:num>
  <w:num w:numId="196">
    <w:abstractNumId w:val="232"/>
  </w:num>
  <w:num w:numId="197">
    <w:abstractNumId w:val="216"/>
  </w:num>
  <w:num w:numId="198">
    <w:abstractNumId w:val="158"/>
  </w:num>
  <w:num w:numId="199">
    <w:abstractNumId w:val="122"/>
  </w:num>
  <w:num w:numId="200">
    <w:abstractNumId w:val="164"/>
  </w:num>
  <w:num w:numId="201">
    <w:abstractNumId w:val="215"/>
  </w:num>
  <w:num w:numId="202">
    <w:abstractNumId w:val="40"/>
  </w:num>
  <w:num w:numId="203">
    <w:abstractNumId w:val="220"/>
  </w:num>
  <w:num w:numId="204">
    <w:abstractNumId w:val="64"/>
  </w:num>
  <w:num w:numId="205">
    <w:abstractNumId w:val="96"/>
  </w:num>
  <w:num w:numId="206">
    <w:abstractNumId w:val="14"/>
  </w:num>
  <w:num w:numId="207">
    <w:abstractNumId w:val="231"/>
  </w:num>
  <w:num w:numId="208">
    <w:abstractNumId w:val="98"/>
  </w:num>
  <w:num w:numId="209">
    <w:abstractNumId w:val="75"/>
  </w:num>
  <w:num w:numId="210">
    <w:abstractNumId w:val="49"/>
  </w:num>
  <w:num w:numId="211">
    <w:abstractNumId w:val="99"/>
  </w:num>
  <w:num w:numId="212">
    <w:abstractNumId w:val="124"/>
  </w:num>
  <w:num w:numId="213">
    <w:abstractNumId w:val="38"/>
  </w:num>
  <w:num w:numId="214">
    <w:abstractNumId w:val="74"/>
  </w:num>
  <w:num w:numId="215">
    <w:abstractNumId w:val="70"/>
  </w:num>
  <w:num w:numId="216">
    <w:abstractNumId w:val="221"/>
  </w:num>
  <w:num w:numId="217">
    <w:abstractNumId w:val="159"/>
  </w:num>
  <w:num w:numId="218">
    <w:abstractNumId w:val="80"/>
  </w:num>
  <w:num w:numId="219">
    <w:abstractNumId w:val="91"/>
  </w:num>
  <w:num w:numId="220">
    <w:abstractNumId w:val="196"/>
  </w:num>
  <w:num w:numId="221">
    <w:abstractNumId w:val="31"/>
  </w:num>
  <w:num w:numId="222">
    <w:abstractNumId w:val="153"/>
  </w:num>
  <w:num w:numId="223">
    <w:abstractNumId w:val="72"/>
  </w:num>
  <w:num w:numId="224">
    <w:abstractNumId w:val="57"/>
  </w:num>
  <w:num w:numId="225">
    <w:abstractNumId w:val="102"/>
  </w:num>
  <w:num w:numId="226">
    <w:abstractNumId w:val="131"/>
  </w:num>
  <w:num w:numId="227">
    <w:abstractNumId w:val="56"/>
  </w:num>
  <w:num w:numId="228">
    <w:abstractNumId w:val="135"/>
  </w:num>
  <w:num w:numId="229">
    <w:abstractNumId w:val="63"/>
  </w:num>
  <w:num w:numId="230">
    <w:abstractNumId w:val="52"/>
  </w:num>
  <w:num w:numId="231">
    <w:abstractNumId w:val="190"/>
  </w:num>
  <w:num w:numId="232">
    <w:abstractNumId w:val="183"/>
  </w:num>
  <w:num w:numId="233">
    <w:abstractNumId w:val="114"/>
  </w:num>
  <w:num w:numId="234">
    <w:abstractNumId w:val="88"/>
  </w:num>
  <w:num w:numId="235">
    <w:abstractNumId w:val="22"/>
  </w:num>
  <w:num w:numId="236">
    <w:abstractNumId w:val="186"/>
  </w:num>
  <w:num w:numId="237">
    <w:abstractNumId w:val="1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1021"/>
      </w:tabs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720"/>
        <w:tab w:val="left" w:pos="1440"/>
      </w:tabs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uiPriority w:val="9"/>
    <w:qFormat/>
    <w:pPr>
      <w:keepNext/>
      <w:ind w:left="4248" w:hanging="3540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0"/>
        <w:numId w:val="174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ind w:left="360" w:firstLine="348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spacing w:line="360" w:lineRule="auto"/>
      <w:ind w:firstLine="708"/>
      <w:jc w:val="left"/>
    </w:pPr>
    <w:rPr>
      <w:b/>
      <w:bCs/>
      <w:sz w:val="28"/>
    </w:rPr>
  </w:style>
  <w:style w:type="paragraph" w:styleId="BodyText">
    <w:name w:val="Body Text"/>
    <w:basedOn w:val="Normal"/>
    <w:pPr>
      <w:jc w:val="center"/>
    </w:p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firstLine="708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BodyText3">
    <w:name w:val="Body Text 3"/>
    <w:basedOn w:val="Normal"/>
    <w:pPr>
      <w:jc w:val="both"/>
    </w:pPr>
    <w:rPr>
      <w:sz w:val="28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522</TotalTime>
  <Pages>1</Pages>
  <Words>848</Words>
  <Characters>4839</Characters>
  <Application>Microsoft Office Word</Application>
  <DocSecurity>0</DocSecurity>
  <Lines>0</Lines>
  <Paragraphs>0</Paragraphs>
  <ScaleCrop>false</ScaleCrop>
  <Manager>Magdaléna Šuchaňová</Manager>
  <Company>K NR SR, ÚPV NR SR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13. schôdza</dc:title>
  <dc:subject>schôdza 13, 20. január 2003</dc:subject>
  <dc:creator>Viera Ebringerová</dc:creator>
  <cp:lastModifiedBy>Viera Ebringerová</cp:lastModifiedBy>
  <cp:revision>117</cp:revision>
  <cp:lastPrinted>2003-01-23T13:22:00Z</cp:lastPrinted>
  <dcterms:created xsi:type="dcterms:W3CDTF">2002-12-12T13:43:00Z</dcterms:created>
  <dcterms:modified xsi:type="dcterms:W3CDTF">2003-01-30T09:46:00Z</dcterms:modified>
  <cp:category>zápisnica</cp:category>
</cp:coreProperties>
</file>