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11. schôdze Ústavnoprávneho výboru Národnej rady Slovenskej republiky  8. januára 2003 o 11,30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10 (podľa prezenčnej listiny)</w:t>
      </w:r>
    </w:p>
    <w:p>
      <w:pPr>
        <w:pStyle w:val="BodyText"/>
        <w:spacing w:line="360" w:lineRule="auto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Ospravedlnený:</w:t>
      </w:r>
      <w:r>
        <w:rPr>
          <w:rFonts w:ascii="Times New Roman" w:hAnsi="Times New Roman" w:cs="Times New Roman"/>
          <w:bCs/>
          <w:sz w:val="28"/>
        </w:rPr>
        <w:t xml:space="preserve"> </w:t>
        <w:tab/>
        <w:t>1 (V. Ondrejka).</w:t>
      </w: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Predseda výboru</w:t>
      </w:r>
      <w:r>
        <w:rPr>
          <w:rFonts w:ascii="Times New Roman" w:hAnsi="Times New Roman" w:cs="Times New Roman"/>
          <w:b/>
          <w:sz w:val="28"/>
        </w:rPr>
        <w:tab/>
        <w:t xml:space="preserve">J. Drgonec </w:t>
      </w:r>
      <w:r>
        <w:rPr>
          <w:rFonts w:ascii="Times New Roman" w:hAnsi="Times New Roman" w:cs="Times New Roman"/>
          <w:bCs/>
          <w:sz w:val="28"/>
        </w:rPr>
        <w:t>otvoril schôdzu a navrhol schváliť program rokovania vrátane doplnenia - z</w:t>
      </w:r>
      <w:r>
        <w:rPr>
          <w:rFonts w:ascii="Times New Roman" w:hAnsi="Times New Roman" w:cs="Times New Roman"/>
          <w:sz w:val="28"/>
        </w:rPr>
        <w:t xml:space="preserve">aradiť ako </w:t>
      </w:r>
      <w:r>
        <w:rPr>
          <w:rFonts w:ascii="Times New Roman" w:hAnsi="Times New Roman" w:cs="Times New Roman"/>
          <w:b/>
          <w:bCs/>
          <w:sz w:val="28"/>
        </w:rPr>
        <w:t>6.</w:t>
      </w:r>
      <w:r>
        <w:rPr>
          <w:rFonts w:ascii="Times New Roman" w:hAnsi="Times New Roman" w:cs="Times New Roman"/>
          <w:sz w:val="28"/>
        </w:rPr>
        <w:t xml:space="preserve"> (posledný bod) - návrh na  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so Zmluvou medzi Slovenskou republikou a Rakúskou republikou o sociálnom zabezpečení </w:t>
      </w:r>
      <w:r>
        <w:rPr>
          <w:rFonts w:ascii="Times New Roman" w:hAnsi="Times New Roman" w:cs="Times New Roman"/>
          <w:sz w:val="28"/>
        </w:rPr>
        <w:t>(tlač 119).</w:t>
      </w: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Konštatoval, že výbor je uznášaniaschopný. Ospravedlnil neprítomnosť poslanca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V. Ondrejka.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numPr>
          <w:ilvl w:val="0"/>
          <w:numId w:val="22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poslanca Národnej rady Slovenskej republiky Jána Drgonca, na  vydanie zákona, ktorým sa mení a dopĺňa zákon Národnej rady Slovenskej republiky č. 1</w:t>
      </w:r>
      <w:r>
        <w:rPr>
          <w:rFonts w:ascii="Times New Roman" w:hAnsi="Times New Roman" w:cs="Times New Roman"/>
          <w:sz w:val="28"/>
        </w:rPr>
        <w:t xml:space="preserve">/1993 Z. z. </w:t>
      </w:r>
      <w:r>
        <w:rPr>
          <w:rFonts w:ascii="Times New Roman" w:hAnsi="Times New Roman" w:cs="Times New Roman"/>
          <w:b/>
          <w:bCs/>
          <w:sz w:val="28"/>
        </w:rPr>
        <w:t>o Zbierke zákonov</w:t>
      </w:r>
      <w:r>
        <w:rPr>
          <w:rFonts w:ascii="Times New Roman" w:hAnsi="Times New Roman" w:cs="Times New Roman"/>
          <w:sz w:val="28"/>
        </w:rPr>
        <w:t xml:space="preserve"> v znení neskorších predpisov (tlač 95)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2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na vydanie zákona, ktorým sa mení zákon č. 366/1999 Z.z. </w:t>
      </w:r>
      <w:r>
        <w:rPr>
          <w:rFonts w:ascii="Times New Roman" w:hAnsi="Times New Roman" w:cs="Times New Roman"/>
          <w:b/>
          <w:bCs/>
          <w:sz w:val="28"/>
        </w:rPr>
        <w:t>o daniach z príjmov</w:t>
      </w:r>
      <w:r>
        <w:rPr>
          <w:rFonts w:ascii="Times New Roman" w:hAnsi="Times New Roman" w:cs="Times New Roman"/>
          <w:sz w:val="28"/>
        </w:rPr>
        <w:t xml:space="preserve"> v znení neskorších predpisov (tlač 96)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2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na vydanie zákona, ktorým sa mení a dopĺňa zákon Slovenskej národnej rady č.  511/1992 Zb. </w:t>
      </w:r>
      <w:r>
        <w:rPr>
          <w:rFonts w:ascii="Times New Roman" w:hAnsi="Times New Roman" w:cs="Times New Roman"/>
          <w:b/>
          <w:bCs/>
          <w:sz w:val="28"/>
        </w:rPr>
        <w:t>o správe daní a poplatkov</w:t>
      </w:r>
      <w:r>
        <w:rPr>
          <w:rFonts w:ascii="Times New Roman" w:hAnsi="Times New Roman" w:cs="Times New Roman"/>
          <w:sz w:val="28"/>
        </w:rPr>
        <w:t xml:space="preserve"> a o zmenách v sústave územných finančných orgánov v znení neskorších predpisov (tlač 97)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2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poslanca Národnej rady Slovenskej republiky Juraja Blanára na  vydanie zákona, ktorým sa mení zákon č. 381/2001 Z. z.</w:t>
      </w:r>
      <w:r>
        <w:rPr>
          <w:rFonts w:ascii="Times New Roman" w:hAnsi="Times New Roman" w:cs="Times New Roman"/>
          <w:b/>
          <w:bCs/>
          <w:sz w:val="28"/>
        </w:rPr>
        <w:t xml:space="preserve"> o povinnom zmluvnom poistení zodpovednosti za škodu spôsobenú prevádzkou motorového vozidla</w:t>
      </w:r>
      <w:r>
        <w:rPr>
          <w:rFonts w:ascii="Times New Roman" w:hAnsi="Times New Roman" w:cs="Times New Roman"/>
          <w:sz w:val="28"/>
        </w:rPr>
        <w:t xml:space="preserve"> a o zmene a doplnení niektorých zákonov (tlač 99)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Návrh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 o vstupe Slovenskej republiky do NATO</w:t>
      </w:r>
      <w:r>
        <w:rPr>
          <w:rFonts w:ascii="Times New Roman" w:hAnsi="Times New Roman" w:cs="Times New Roman"/>
          <w:sz w:val="28"/>
        </w:rPr>
        <w:t xml:space="preserve"> (tlač 120)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Rôzne.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Hlasovanie o programe – 8/0/0. </w:t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>Rokova</w:t>
      </w:r>
      <w:r>
        <w:rPr>
          <w:rFonts w:ascii="Times New Roman" w:hAnsi="Times New Roman" w:cs="Times New Roman"/>
          <w:sz w:val="28"/>
        </w:rPr>
        <w:t xml:space="preserve">nie o bodoch 1, 2, 3 viedol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M. Abelovský.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(tlač 95)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poslanca Národnej rady Slovenskej republiky Jána Drgonca, na  vydanie zákona, ktorým sa mení a dopĺňa zákon Národnej rady Slovenskej republiky č. 1/1993 Z. z. </w:t>
      </w:r>
      <w:r>
        <w:rPr>
          <w:rFonts w:ascii="Times New Roman" w:hAnsi="Times New Roman" w:cs="Times New Roman"/>
          <w:b/>
          <w:bCs/>
          <w:sz w:val="28"/>
        </w:rPr>
        <w:t>o Zbi</w:t>
      </w:r>
      <w:r>
        <w:rPr>
          <w:rFonts w:ascii="Times New Roman" w:hAnsi="Times New Roman" w:cs="Times New Roman"/>
          <w:b/>
          <w:bCs/>
          <w:sz w:val="28"/>
        </w:rPr>
        <w:t>erke zákonov</w:t>
      </w:r>
      <w:r>
        <w:rPr>
          <w:rFonts w:ascii="Times New Roman" w:hAnsi="Times New Roman" w:cs="Times New Roman"/>
          <w:sz w:val="28"/>
        </w:rPr>
        <w:t xml:space="preserve"> v znení neskorších predpisov (tlač 95) odôvodnil </w:t>
      </w:r>
      <w:r>
        <w:rPr>
          <w:rFonts w:ascii="Times New Roman" w:hAnsi="Times New Roman" w:cs="Times New Roman"/>
          <w:b/>
          <w:bCs/>
          <w:sz w:val="28"/>
        </w:rPr>
        <w:t xml:space="preserve">J. Drgonec, </w:t>
      </w:r>
      <w:r>
        <w:rPr>
          <w:rFonts w:ascii="Times New Roman" w:hAnsi="Times New Roman" w:cs="Times New Roman"/>
          <w:sz w:val="28"/>
        </w:rPr>
        <w:t>poslanec Národnej rady SR.</w:t>
      </w:r>
    </w:p>
    <w:p>
      <w:pPr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P. Miššík – </w:t>
      </w:r>
      <w:r>
        <w:rPr>
          <w:rFonts w:ascii="Times New Roman" w:hAnsi="Times New Roman" w:cs="Times New Roman"/>
          <w:sz w:val="28"/>
        </w:rPr>
        <w:t xml:space="preserve">poukázal na stanovisko odboru legislatívy a aproximácie práva Kancelárie NR SR (ďalej „stanovisko LO“) - 2 pozmeňovacie návrhy, ktoré v 2. bode navrhuje novelizovať zákon č.  350/1996 Z. z. o rokovacom poriadku, na negatívne stanovisko vlády. Uviedol tiež, ak nebudú formulácie zosúladené s ústavou, nebude s návrhom zákona súhlasiť. Predkladateľ návrhu poukázal na skutočnosť, že stanovisko vlády je chaotické. 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rozprave vystúpili:</w:t>
      </w: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703"/>
          <w:tab w:val="left" w:pos="3560"/>
        </w:tabs>
        <w:spacing w:line="24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A. Ivanko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navrhol prerušiť rokovanie do času, kým nebude predložený návrh, ktorým sa odstráni namietaný rozpor s ústavou a žiadal o návrhu hlasovať. 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 xml:space="preserve">Poslankyňa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J. Laššáková</w:t>
      </w:r>
      <w:r>
        <w:rPr>
          <w:rFonts w:ascii="Times New Roman" w:hAnsi="Times New Roman" w:cs="Times New Roman"/>
          <w:iCs/>
          <w:sz w:val="28"/>
          <w:lang w:val="sk-SK"/>
        </w:rPr>
        <w:t xml:space="preserve"> – predniesla úvahu, či by sa nemal meniť zákon číslo 564/1992 Zb. o spôsobe vykonania referenda.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 xml:space="preserve">Poslanec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S. Husár</w:t>
      </w:r>
      <w:r>
        <w:rPr>
          <w:rFonts w:ascii="Times New Roman" w:hAnsi="Times New Roman" w:cs="Times New Roman"/>
          <w:iCs/>
          <w:sz w:val="28"/>
          <w:lang w:val="sk-SK"/>
        </w:rPr>
        <w:t xml:space="preserve"> upriamil pozornosť opätovne na pripomienky LO (k bodu 1 k § 1 ods. 1 a doplnenie čl. II – doplnenie zákona č. 350/1996 Z. z. o rokovacom poriadku), ktorý rieši načrtnutý problém ústavnosti. Je treba, aby si ich niektorý poslanec osvojil.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 xml:space="preserve">Podpredseda NR SR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 xml:space="preserve">M. Abelovský – </w:t>
      </w:r>
      <w:r>
        <w:rPr>
          <w:rFonts w:ascii="Times New Roman" w:hAnsi="Times New Roman" w:cs="Times New Roman"/>
          <w:iCs/>
          <w:sz w:val="28"/>
          <w:lang w:val="sk-SK"/>
        </w:rPr>
        <w:t>vidí zmysel navrhovanej novely v určitej prevencii, v prípade, že referendum o vstupe do EÚ bude prvé úspešné referendum v SR. Nepovažuje za vhodné, aby následne nastali komplikácie len preto, že nebude zákonná úprava, ktorá proces dovedie do úspešného konca.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 xml:space="preserve">Zástupkyňa LO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>V. Mrázová</w:t>
      </w:r>
      <w:r>
        <w:rPr>
          <w:rFonts w:ascii="Times New Roman" w:hAnsi="Times New Roman" w:cs="Times New Roman"/>
          <w:iCs/>
          <w:sz w:val="28"/>
          <w:lang w:val="sk-SK"/>
        </w:rPr>
        <w:t xml:space="preserve"> poukázala na dôvody, ktoré viedli k návrhu stanoviska LO. Zdôraznila najmä potrebu vstúpiť do rokovacieho poriadku (ak majú byť návrhy prijaté v referende vyhlásené rovnako ako zákon, je vhodnejšie upraviť právomoc pre predsedu NR SR v tomto zákone ako v zákone o Zbierke zákonov). Rozprava sa ďalej odvíjala okolo vyhlásenia návrhov prijatých v referende, najmä v súvislosti s podpisovaním zákona tromi ústavnými činiteľmi (prezident, predseda NR a predseda vlády). Táto podmienka musí byť zachovaná i v tomto prípade, ale neplatí suspenzívne právo prezidenta. Znamená to, že aj keď bude v referende prijatý negatívny návrh, musí byť vyhlásený „ako zákon“. Podpisy troch ústavných činiteľov sú dôležité pre publikovanie zákonov (aj návrhov prijatých v referende) v Zbierke zákonov. 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 xml:space="preserve">Poslanec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 xml:space="preserve">G. Gál </w:t>
      </w:r>
      <w:r>
        <w:rPr>
          <w:rFonts w:ascii="Times New Roman" w:hAnsi="Times New Roman" w:cs="Times New Roman"/>
          <w:iCs/>
          <w:sz w:val="28"/>
          <w:lang w:val="sk-SK"/>
        </w:rPr>
        <w:t xml:space="preserve">odporučil prijať bod 1 zo stanoviska LO. </w:t>
      </w:r>
    </w:p>
    <w:p>
      <w:pPr>
        <w:pStyle w:val="TxBrc17"/>
        <w:tabs>
          <w:tab w:val="left" w:pos="3560"/>
        </w:tabs>
        <w:spacing w:line="240" w:lineRule="auto"/>
        <w:ind w:left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  <w:r>
        <w:rPr>
          <w:rFonts w:ascii="Times New Roman" w:hAnsi="Times New Roman" w:cs="Times New Roman"/>
          <w:iCs/>
          <w:sz w:val="28"/>
          <w:lang w:val="sk-SK"/>
        </w:rPr>
        <w:t>Podpredseda výbor</w:t>
      </w:r>
      <w:r>
        <w:rPr>
          <w:rFonts w:ascii="Times New Roman" w:hAnsi="Times New Roman" w:cs="Times New Roman"/>
          <w:iCs/>
          <w:sz w:val="28"/>
          <w:lang w:val="sk-SK"/>
        </w:rPr>
        <w:t xml:space="preserve">u </w:t>
      </w:r>
      <w:r>
        <w:rPr>
          <w:rFonts w:ascii="Times New Roman" w:hAnsi="Times New Roman" w:cs="Times New Roman"/>
          <w:b/>
          <w:bCs/>
          <w:iCs/>
          <w:sz w:val="28"/>
          <w:lang w:val="sk-SK"/>
        </w:rPr>
        <w:t xml:space="preserve">P. Miššík </w:t>
      </w:r>
      <w:r>
        <w:rPr>
          <w:rFonts w:ascii="Times New Roman" w:hAnsi="Times New Roman" w:cs="Times New Roman"/>
          <w:iCs/>
          <w:sz w:val="28"/>
          <w:lang w:val="sk-SK"/>
        </w:rPr>
        <w:t>informoval o záveroch prijatých na komisii o príprave referenda pre vstup do EÚ. Zástupcovia všetkých politických strán zastúpených v parlamente sa dohodli, že sa nebudú otvárať žiadne právne predpisy nadväzujúce na referendum.</w:t>
      </w:r>
    </w:p>
    <w:p>
      <w:pPr>
        <w:pStyle w:val="TxBrc17"/>
        <w:tabs>
          <w:tab w:val="left" w:pos="3560"/>
        </w:tabs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ná</w:t>
      </w:r>
      <w:r>
        <w:rPr>
          <w:rFonts w:ascii="Times New Roman" w:hAnsi="Times New Roman" w:cs="Times New Roman"/>
          <w:sz w:val="28"/>
        </w:rPr>
        <w:t xml:space="preserve">vrhu – </w:t>
      </w:r>
      <w:r>
        <w:rPr>
          <w:rFonts w:ascii="Times New Roman" w:hAnsi="Times New Roman" w:cs="Times New Roman"/>
          <w:b/>
          <w:bCs/>
          <w:sz w:val="28"/>
        </w:rPr>
        <w:t>prerušiť rokovanie</w:t>
      </w:r>
      <w:r>
        <w:rPr>
          <w:rFonts w:ascii="Times New Roman" w:hAnsi="Times New Roman" w:cs="Times New Roman"/>
          <w:sz w:val="28"/>
        </w:rPr>
        <w:t xml:space="preserve"> o návrhu (do 14. 1. 2003):   </w:t>
      </w:r>
      <w:r>
        <w:rPr>
          <w:rFonts w:ascii="Times New Roman" w:hAnsi="Times New Roman" w:cs="Times New Roman"/>
          <w:b/>
          <w:bCs/>
          <w:sz w:val="28"/>
        </w:rPr>
        <w:t>10/0/0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pStyle w:val="TxBrc17"/>
        <w:tabs>
          <w:tab w:val="left" w:pos="703"/>
          <w:tab w:val="left" w:pos="3560"/>
        </w:tabs>
        <w:spacing w:line="360" w:lineRule="auto"/>
        <w:jc w:val="both"/>
        <w:rPr>
          <w:rFonts w:ascii="Times New Roman" w:hAnsi="Times New Roman" w:cs="Times New Roman"/>
          <w:iCs/>
          <w:sz w:val="28"/>
          <w:lang w:val="sk-SK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2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96)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na vydanie zákona, ktorým sa mení zákon č. 366/1999 Z.z. </w:t>
      </w:r>
      <w:r>
        <w:rPr>
          <w:rFonts w:ascii="Times New Roman" w:hAnsi="Times New Roman" w:cs="Times New Roman"/>
          <w:b/>
          <w:bCs/>
          <w:sz w:val="28"/>
        </w:rPr>
        <w:t>o daniach z príjmov</w:t>
      </w:r>
      <w:r>
        <w:rPr>
          <w:rFonts w:ascii="Times New Roman" w:hAnsi="Times New Roman" w:cs="Times New Roman"/>
          <w:sz w:val="28"/>
        </w:rPr>
        <w:t xml:space="preserve"> v znení neskorších predpisov (tlač </w:t>
      </w:r>
      <w:r>
        <w:rPr>
          <w:rFonts w:ascii="Times New Roman" w:hAnsi="Times New Roman" w:cs="Times New Roman"/>
          <w:sz w:val="28"/>
        </w:rPr>
        <w:t xml:space="preserve">96) odôvodnil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>, poslanec Národnej rady SR.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odporučil návrh schváliť. Konštatoval, že stanovisko LO neobsahuje pripomienky.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rozprave nevystúpil nikto. </w:t>
      </w:r>
    </w:p>
    <w:p>
      <w:pPr>
        <w:ind w:firstLine="7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uznesení ústavnoprávneho výboru č. 60 (</w:t>
      </w:r>
      <w:r>
        <w:rPr>
          <w:rFonts w:ascii="Times New Roman" w:hAnsi="Times New Roman" w:cs="Times New Roman"/>
          <w:b/>
          <w:bCs/>
          <w:sz w:val="28"/>
        </w:rPr>
        <w:t>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návrh zákona):  </w:t>
      </w:r>
      <w:r>
        <w:rPr>
          <w:rFonts w:ascii="Times New Roman" w:hAnsi="Times New Roman" w:cs="Times New Roman"/>
          <w:b/>
          <w:bCs/>
          <w:sz w:val="28"/>
        </w:rPr>
        <w:t>10/0/0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3</w:t>
      </w:r>
      <w:r>
        <w:rPr>
          <w:rFonts w:ascii="Times New Roman" w:hAnsi="Times New Roman" w:cs="Times New Roman"/>
          <w:u w:val="none"/>
        </w:rPr>
        <w:t xml:space="preserve"> (tlač 97)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na vydanie zákona, ktorým sa mení a dopĺňa zákon Slovenskej národnej rady č. 511/1992 Zb. </w:t>
      </w:r>
      <w:r>
        <w:rPr>
          <w:rFonts w:ascii="Times New Roman" w:hAnsi="Times New Roman" w:cs="Times New Roman"/>
          <w:b/>
          <w:bCs/>
          <w:sz w:val="28"/>
        </w:rPr>
        <w:t>o správe daní a poplatkov</w:t>
      </w:r>
      <w:r>
        <w:rPr>
          <w:rFonts w:ascii="Times New Roman" w:hAnsi="Times New Roman" w:cs="Times New Roman"/>
          <w:sz w:val="28"/>
        </w:rPr>
        <w:t xml:space="preserve"> a o zmenách v sústave územných finančných orgánov v znení neskorších predpisov (tlač 97) odôvodnil </w:t>
      </w:r>
      <w:r>
        <w:rPr>
          <w:rFonts w:ascii="Times New Roman" w:hAnsi="Times New Roman" w:cs="Times New Roman"/>
          <w:b/>
          <w:bCs/>
          <w:sz w:val="28"/>
        </w:rPr>
        <w:t xml:space="preserve">J. Drgonec, </w:t>
      </w:r>
      <w:r>
        <w:rPr>
          <w:rFonts w:ascii="Times New Roman" w:hAnsi="Times New Roman" w:cs="Times New Roman"/>
          <w:sz w:val="28"/>
        </w:rPr>
        <w:t>poslanec Národnej rady SR.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 xml:space="preserve">M. Abelovský </w:t>
      </w:r>
      <w:r>
        <w:rPr>
          <w:rFonts w:ascii="Times New Roman" w:hAnsi="Times New Roman" w:cs="Times New Roman"/>
          <w:sz w:val="28"/>
        </w:rPr>
        <w:t xml:space="preserve">predniesol pozmeňovacie návrhy k čl. I a k § 30 ods. 7 a ods. 8. Konštatoval, že zákon je potrebný, zaväzuje daňový úrad, aby v stanovenej lehote konal. Pripomenul, že stanovisko vlády je súhlasné.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– vyslovil súhlas so zákonom.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pozmeňujúcich a doplňujúcich návrhoch, ktoré predniesol spravodajca:</w:t>
      </w:r>
    </w:p>
    <w:p>
      <w:pPr>
        <w:numPr>
          <w:ilvl w:val="0"/>
          <w:numId w:val="232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 čl. I </w:t>
      </w:r>
      <w:r>
        <w:rPr>
          <w:rFonts w:ascii="Times New Roman" w:hAnsi="Times New Roman" w:cs="Times New Roman"/>
          <w:sz w:val="28"/>
        </w:rPr>
        <w:t>(k úvodnej vete) - 9/0/1,</w:t>
      </w:r>
    </w:p>
    <w:p>
      <w:pPr>
        <w:numPr>
          <w:ilvl w:val="0"/>
          <w:numId w:val="232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 § 30 (dopĺňa sa odsek 7) - 10/0/0,</w:t>
      </w:r>
    </w:p>
    <w:p>
      <w:pPr>
        <w:numPr>
          <w:ilvl w:val="0"/>
          <w:numId w:val="232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 § 30 (dopĺňa sa odsek 8) - 10/0/0.</w:t>
      </w:r>
    </w:p>
    <w:p>
      <w:pPr>
        <w:ind w:left="708"/>
        <w:jc w:val="both"/>
        <w:rPr>
          <w:rFonts w:ascii="Times New Roman" w:hAnsi="Times New Roman" w:cs="Times New Roman"/>
          <w:sz w:val="28"/>
        </w:rPr>
      </w:pPr>
    </w:p>
    <w:p>
      <w:pPr>
        <w:ind w:firstLine="7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uznesení ústavnoprávneho výboru č. 61 (</w:t>
      </w:r>
      <w:r>
        <w:rPr>
          <w:rFonts w:ascii="Times New Roman" w:hAnsi="Times New Roman" w:cs="Times New Roman"/>
          <w:b/>
          <w:bCs/>
          <w:sz w:val="28"/>
        </w:rPr>
        <w:t xml:space="preserve">schváliť </w:t>
      </w:r>
      <w:r>
        <w:rPr>
          <w:rFonts w:ascii="Times New Roman" w:hAnsi="Times New Roman" w:cs="Times New Roman"/>
          <w:sz w:val="28"/>
        </w:rPr>
        <w:t xml:space="preserve">návrh zákona so zmenami a doplnkami):  </w:t>
      </w:r>
      <w:r>
        <w:rPr>
          <w:rFonts w:ascii="Times New Roman" w:hAnsi="Times New Roman" w:cs="Times New Roman"/>
          <w:b/>
          <w:bCs/>
          <w:sz w:val="28"/>
        </w:rPr>
        <w:t>10/0/0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pStyle w:val="Heading2"/>
        <w:tabs>
          <w:tab w:val="left" w:pos="-1985"/>
          <w:tab w:val="left" w:pos="0"/>
          <w:tab w:val="left" w:pos="720"/>
          <w:tab w:val="clear" w:pos="1021"/>
          <w:tab w:val="left" w:pos="1077"/>
        </w:tabs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 </w:t>
      </w: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4</w:t>
      </w:r>
      <w:r>
        <w:rPr>
          <w:rFonts w:ascii="Times New Roman" w:hAnsi="Times New Roman" w:cs="Times New Roman"/>
          <w:u w:val="none"/>
        </w:rPr>
        <w:t xml:space="preserve"> (tlač 99)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Návrh poslanca Národnej rady Slovenskej republiky Juraja Blanára na vydanie zákona, ktorým sa mení zákon č. 381/2001 Z. z.</w:t>
      </w:r>
      <w:r>
        <w:rPr>
          <w:rFonts w:ascii="Times New Roman" w:hAnsi="Times New Roman" w:cs="Times New Roman"/>
          <w:b/>
          <w:bCs/>
          <w:sz w:val="28"/>
        </w:rPr>
        <w:t xml:space="preserve"> o povinnom zmluvnom poistení zodpovednosti za škodu spôsobenú prevádzkou motorového vozidla</w:t>
      </w:r>
      <w:r>
        <w:rPr>
          <w:rFonts w:ascii="Times New Roman" w:hAnsi="Times New Roman" w:cs="Times New Roman"/>
          <w:sz w:val="28"/>
        </w:rPr>
        <w:t xml:space="preserve"> a o zmene a doplnení niektorých zákonov (tlač 99) odôvodnil </w:t>
      </w:r>
      <w:r>
        <w:rPr>
          <w:rFonts w:ascii="Times New Roman" w:hAnsi="Times New Roman" w:cs="Times New Roman"/>
          <w:b/>
          <w:bCs/>
          <w:sz w:val="28"/>
        </w:rPr>
        <w:t>J. Bl</w:t>
      </w:r>
      <w:r>
        <w:rPr>
          <w:rFonts w:ascii="Times New Roman" w:hAnsi="Times New Roman" w:cs="Times New Roman"/>
          <w:b/>
          <w:bCs/>
          <w:sz w:val="28"/>
        </w:rPr>
        <w:t>anár</w:t>
      </w:r>
      <w:r>
        <w:rPr>
          <w:rFonts w:ascii="Times New Roman" w:hAnsi="Times New Roman" w:cs="Times New Roman"/>
          <w:sz w:val="28"/>
        </w:rPr>
        <w:t>, poslanec Národnej rady SR.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výboru </w:t>
      </w:r>
      <w:r>
        <w:rPr>
          <w:rFonts w:ascii="Times New Roman" w:hAnsi="Times New Roman" w:cs="Times New Roman"/>
          <w:b/>
          <w:bCs/>
          <w:sz w:val="28"/>
        </w:rPr>
        <w:t xml:space="preserve">V. Ondrejka </w:t>
      </w:r>
      <w:r>
        <w:rPr>
          <w:rFonts w:ascii="Times New Roman" w:hAnsi="Times New Roman" w:cs="Times New Roman"/>
          <w:sz w:val="28"/>
        </w:rPr>
        <w:t xml:space="preserve">(neprítomný), v zastúpení vystúpila poslankyňa </w:t>
      </w:r>
      <w:r>
        <w:rPr>
          <w:rFonts w:ascii="Times New Roman" w:hAnsi="Times New Roman" w:cs="Times New Roman"/>
          <w:b/>
          <w:bCs/>
          <w:sz w:val="28"/>
        </w:rPr>
        <w:t>J. Laššáková</w:t>
      </w:r>
      <w:r>
        <w:rPr>
          <w:rFonts w:ascii="Times New Roman" w:hAnsi="Times New Roman" w:cs="Times New Roman"/>
          <w:sz w:val="28"/>
        </w:rPr>
        <w:t xml:space="preserve">. Osvojila si pripomienky LO (2) a navrhla hlasovať o pozitívnom uznesení. </w:t>
      </w:r>
    </w:p>
    <w:p>
      <w:pPr>
        <w:ind w:left="4248" w:hanging="354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vystúpili: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</w:t>
      </w:r>
      <w:r>
        <w:rPr>
          <w:rFonts w:ascii="Times New Roman" w:hAnsi="Times New Roman" w:cs="Times New Roman"/>
          <w:b/>
          <w:bCs/>
          <w:sz w:val="28"/>
        </w:rPr>
        <w:t>nec</w:t>
      </w:r>
      <w:r>
        <w:rPr>
          <w:rFonts w:ascii="Times New Roman" w:hAnsi="Times New Roman" w:cs="Times New Roman"/>
          <w:sz w:val="28"/>
        </w:rPr>
        <w:t xml:space="preserve"> sa obrátil na predkladateľa s otázkou, kto bude zodpovedný za škodu, ak ju spôsobia nepoistené vozidlá ponechané na  ceste. (Všeobecná zodpovednosť, reagoval predkladateľ).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– žiadal informáciu; akého množstva automobilov (prípadne v Sk) sa navrhovaný zákon bude týkať. (Asi 200 mil. Sk.)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Podpredseda výboru</w:t>
      </w:r>
      <w:r>
        <w:rPr>
          <w:rFonts w:ascii="Times New Roman" w:hAnsi="Times New Roman" w:cs="Times New Roman"/>
          <w:b/>
          <w:bCs/>
          <w:sz w:val="28"/>
        </w:rPr>
        <w:t xml:space="preserve"> M. Abelovský</w:t>
      </w:r>
      <w:r>
        <w:rPr>
          <w:rFonts w:ascii="Times New Roman" w:hAnsi="Times New Roman" w:cs="Times New Roman"/>
          <w:sz w:val="28"/>
        </w:rPr>
        <w:t xml:space="preserve"> – uviedol príklad (v USA pri zákonnom poistení je možné poistenie len na určité mesiace, dodržiavanie je kontrolované a sankcionované). Možno by bolo treba vychádzať z tohto modelu. Nie je proti navrhovanému, treba sa však zaoberať aj kontrolnými mechanizmami, aby nedochádzalo k zneužívaniu zákona. Je toho názoru, že Národná rada, ako najvyšší orgán štátnej moci a najvyšší zákonodarný orgán, by mala prijímanými zákonmi predovšetkým chrániť radových občanov.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G. Gál</w:t>
      </w:r>
      <w:r>
        <w:rPr>
          <w:rFonts w:ascii="Times New Roman" w:hAnsi="Times New Roman" w:cs="Times New Roman"/>
          <w:sz w:val="28"/>
        </w:rPr>
        <w:t xml:space="preserve"> – požiadal o bližšie vysvetlenie pojmu – krátkodobé vyradenie motorového vozidla z cestnej premávky a vyradenie vozidla z cestnej premávky.  Obáva sa, že výhody pre jednu skupinu občanov môže znamenať nevýhody pre druhú skupinu. Pojmy sú vymedzené v zákone o pozemných komunikáciách, reagoval predkladateľ.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Poslanci </w:t>
      </w:r>
      <w:r>
        <w:rPr>
          <w:rFonts w:ascii="Times New Roman" w:hAnsi="Times New Roman" w:cs="Times New Roman"/>
          <w:b/>
          <w:bCs/>
          <w:sz w:val="28"/>
        </w:rPr>
        <w:t>S. Husár</w:t>
      </w:r>
      <w:r>
        <w:rPr>
          <w:rFonts w:ascii="Times New Roman" w:hAnsi="Times New Roman" w:cs="Times New Roman"/>
          <w:sz w:val="28"/>
        </w:rPr>
        <w:t xml:space="preserve">  a </w:t>
      </w:r>
      <w:r>
        <w:rPr>
          <w:rFonts w:ascii="Times New Roman" w:hAnsi="Times New Roman" w:cs="Times New Roman"/>
          <w:b/>
          <w:bCs/>
          <w:sz w:val="28"/>
        </w:rPr>
        <w:t xml:space="preserve">J. Elsner </w:t>
      </w:r>
      <w:r>
        <w:rPr>
          <w:rFonts w:ascii="Times New Roman" w:hAnsi="Times New Roman" w:cs="Times New Roman"/>
          <w:sz w:val="28"/>
        </w:rPr>
        <w:t xml:space="preserve">– podporili návrh. Predniesli tiež úvahu, či by nemal byť súbežne doplnený zákon o priestupkoch, ktorý by zakotvil skutkovú podstatu porušenia zákonom uloženej povinnosti.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pozmeňujúcich návrhoch spravodajkyne:</w:t>
      </w:r>
    </w:p>
    <w:p>
      <w:pPr>
        <w:numPr>
          <w:ilvl w:val="0"/>
          <w:numId w:val="233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 názvu zákona – 9/0/1,</w:t>
      </w:r>
    </w:p>
    <w:p>
      <w:pPr>
        <w:numPr>
          <w:ilvl w:val="0"/>
          <w:numId w:val="233"/>
        </w:numPr>
        <w:tabs>
          <w:tab w:val="left" w:pos="10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 čl. 1 v § 9 ods. 1 písm. f) – 10/0/0.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o uznesení ústavnoprávneho výboru č. 62 (</w:t>
      </w:r>
      <w:r>
        <w:rPr>
          <w:rFonts w:ascii="Times New Roman" w:hAnsi="Times New Roman" w:cs="Times New Roman"/>
          <w:b/>
          <w:bCs/>
          <w:sz w:val="28"/>
        </w:rPr>
        <w:t>schváliť</w:t>
      </w:r>
      <w:r>
        <w:rPr>
          <w:rFonts w:ascii="Times New Roman" w:hAnsi="Times New Roman" w:cs="Times New Roman"/>
          <w:sz w:val="28"/>
        </w:rPr>
        <w:t xml:space="preserve"> návrh zá</w:t>
      </w:r>
      <w:r>
        <w:rPr>
          <w:rFonts w:ascii="Times New Roman" w:hAnsi="Times New Roman" w:cs="Times New Roman"/>
          <w:sz w:val="28"/>
        </w:rPr>
        <w:t xml:space="preserve">kona so zmenami a doplnkami):  </w:t>
      </w:r>
      <w:r>
        <w:rPr>
          <w:rFonts w:ascii="Times New Roman" w:hAnsi="Times New Roman" w:cs="Times New Roman"/>
          <w:b/>
          <w:bCs/>
          <w:sz w:val="28"/>
        </w:rPr>
        <w:t>9/0/1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5</w:t>
      </w:r>
      <w:r>
        <w:rPr>
          <w:rFonts w:ascii="Times New Roman" w:hAnsi="Times New Roman" w:cs="Times New Roman"/>
          <w:u w:val="none"/>
        </w:rPr>
        <w:t xml:space="preserve"> (tlač 120)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 o vstupe Slovenskej republiky do NATO</w:t>
      </w:r>
      <w:r>
        <w:rPr>
          <w:rFonts w:ascii="Times New Roman" w:hAnsi="Times New Roman" w:cs="Times New Roman"/>
          <w:sz w:val="28"/>
        </w:rPr>
        <w:t xml:space="preserve"> (tlač 120) odôvodn</w:t>
      </w:r>
      <w:r>
        <w:rPr>
          <w:rFonts w:ascii="Times New Roman" w:hAnsi="Times New Roman" w:cs="Times New Roman"/>
          <w:sz w:val="28"/>
        </w:rPr>
        <w:t xml:space="preserve">il </w:t>
      </w:r>
      <w:r>
        <w:rPr>
          <w:rFonts w:ascii="Times New Roman" w:hAnsi="Times New Roman" w:cs="Times New Roman"/>
          <w:b/>
          <w:bCs/>
          <w:sz w:val="28"/>
        </w:rPr>
        <w:t>H. Arvay</w:t>
      </w:r>
      <w:r>
        <w:rPr>
          <w:rFonts w:ascii="Times New Roman" w:hAnsi="Times New Roman" w:cs="Times New Roman"/>
          <w:sz w:val="28"/>
        </w:rPr>
        <w:t>, poslanec Národnej rady SR.</w:t>
      </w:r>
    </w:p>
    <w:p>
      <w:pPr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 </w:t>
      </w:r>
      <w:r>
        <w:rPr>
          <w:rFonts w:ascii="Times New Roman" w:hAnsi="Times New Roman" w:cs="Times New Roman"/>
          <w:sz w:val="28"/>
        </w:rPr>
        <w:t xml:space="preserve">stručne poukázal na úlohu ústavnoprávneho výboru v procese rokovania o predloženom návrhu poslancov. Úlohou je rozhodnúť o ústavnosti navrhovaného, čo znamená, že výbor nebude otázku riešiť ani vecne ani politicky. Ide o fakultatívnu možnosť vyhlásenia referenda. Predložený návrh je v súlade s Ústavou SR.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Odporúčal rokovanie prerušiť do utorka 14. januára 2003, čo podporil po svojom vystúpení i podpredseda výboru</w:t>
      </w:r>
      <w:r>
        <w:rPr>
          <w:rFonts w:ascii="Times New Roman" w:hAnsi="Times New Roman" w:cs="Times New Roman"/>
          <w:b/>
          <w:bCs/>
          <w:sz w:val="28"/>
        </w:rPr>
        <w:t xml:space="preserve"> P. Miššík. </w:t>
      </w:r>
      <w:r>
        <w:rPr>
          <w:rFonts w:ascii="Times New Roman" w:hAnsi="Times New Roman" w:cs="Times New Roman"/>
          <w:sz w:val="28"/>
        </w:rPr>
        <w:t>Náv</w:t>
      </w:r>
      <w:r>
        <w:rPr>
          <w:rFonts w:ascii="Times New Roman" w:hAnsi="Times New Roman" w:cs="Times New Roman"/>
          <w:sz w:val="28"/>
        </w:rPr>
        <w:t xml:space="preserve">rh bol akceptovaný.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záver ešte odznelo niekoľko poznámok na danú tému (</w:t>
      </w:r>
      <w:r>
        <w:rPr>
          <w:rFonts w:ascii="Times New Roman" w:hAnsi="Times New Roman" w:cs="Times New Roman"/>
          <w:b/>
          <w:bCs/>
          <w:sz w:val="28"/>
        </w:rPr>
        <w:t>P. Miššík, J. Laššáková, S. Husár</w:t>
      </w:r>
      <w:r>
        <w:rPr>
          <w:rFonts w:ascii="Times New Roman" w:hAnsi="Times New Roman" w:cs="Times New Roman"/>
          <w:sz w:val="28"/>
        </w:rPr>
        <w:t xml:space="preserve">) ide o najdôležitejší  prvok priamej demokracie, nejde o rozpor s ústavou. 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– nesúhlasí s názorom prezentovaným predkladateľom, že ohľadne vstupu do paktu NATO bola doteraz slabá osveta, poukázal tiež na skutočnosť, že ide o problematiku, ktorá bola riešená vo  volebných programoch všetkých parlamentných politických strán s výnimkou KSS.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Rokovanie o návrhu </w:t>
      </w:r>
      <w:r>
        <w:rPr>
          <w:rFonts w:ascii="Times New Roman" w:hAnsi="Times New Roman" w:cs="Times New Roman"/>
          <w:b/>
          <w:bCs/>
          <w:sz w:val="28"/>
        </w:rPr>
        <w:t xml:space="preserve">prerušené. 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Heading6"/>
        <w:spacing w:line="36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</w:rPr>
        <w:t>K bodu 6</w:t>
      </w:r>
      <w:r>
        <w:rPr>
          <w:rFonts w:ascii="Times New Roman" w:hAnsi="Times New Roman" w:cs="Times New Roman"/>
          <w:u w:val="none"/>
        </w:rPr>
        <w:t xml:space="preserve"> (tlač 119)</w:t>
      </w: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na vyslovenie súhlasu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so Zmluvou medzi Slovenskou republikou a Rakúskou republikou o sociálnom zabezpečení </w:t>
      </w:r>
      <w:r>
        <w:rPr>
          <w:rFonts w:ascii="Times New Roman" w:hAnsi="Times New Roman" w:cs="Times New Roman"/>
          <w:sz w:val="28"/>
        </w:rPr>
        <w:t xml:space="preserve">(tlač 119) odôvodnil </w:t>
      </w:r>
      <w:r>
        <w:rPr>
          <w:rFonts w:ascii="Times New Roman" w:hAnsi="Times New Roman" w:cs="Times New Roman"/>
          <w:b/>
          <w:bCs/>
          <w:sz w:val="28"/>
        </w:rPr>
        <w:t xml:space="preserve">M. Horváth, </w:t>
      </w:r>
      <w:r>
        <w:rPr>
          <w:rFonts w:ascii="Times New Roman" w:hAnsi="Times New Roman" w:cs="Times New Roman"/>
          <w:sz w:val="28"/>
        </w:rPr>
        <w:t>štátny tajomník Ministerstva práce, sociálnych vecí a rodiny SR.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Footer"/>
        <w:tabs>
          <w:tab w:val="clear" w:pos="4536"/>
          <w:tab w:val="clear" w:pos="9072"/>
        </w:tabs>
        <w:ind w:left="360"/>
        <w:rPr>
          <w:rFonts w:ascii="Times New Roman" w:hAnsi="Times New Roman" w:cs="Times New Roman"/>
          <w:sz w:val="28"/>
        </w:rPr>
      </w:pP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poslanec </w:t>
      </w:r>
      <w:r>
        <w:rPr>
          <w:rFonts w:ascii="Times New Roman" w:hAnsi="Times New Roman" w:cs="Times New Roman"/>
          <w:b/>
          <w:bCs/>
          <w:sz w:val="28"/>
        </w:rPr>
        <w:t xml:space="preserve">S. Husár </w:t>
      </w:r>
      <w:r>
        <w:rPr>
          <w:rFonts w:ascii="Times New Roman" w:hAnsi="Times New Roman" w:cs="Times New Roman"/>
          <w:sz w:val="28"/>
        </w:rPr>
        <w:t>predložil návrh uznesenia.</w:t>
      </w:r>
    </w:p>
    <w:p>
      <w:pPr>
        <w:ind w:left="4248" w:hanging="354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</w:t>
      </w:r>
      <w:r>
        <w:rPr>
          <w:rFonts w:ascii="Times New Roman" w:hAnsi="Times New Roman" w:cs="Times New Roman"/>
          <w:sz w:val="28"/>
        </w:rPr>
        <w:t xml:space="preserve"> ústavnoprávneho výboru </w:t>
      </w:r>
      <w:r>
        <w:rPr>
          <w:rFonts w:ascii="Times New Roman" w:hAnsi="Times New Roman" w:cs="Times New Roman"/>
          <w:b/>
          <w:bCs/>
          <w:sz w:val="28"/>
        </w:rPr>
        <w:t xml:space="preserve">č. 64: </w:t>
      </w:r>
    </w:p>
    <w:p>
      <w:p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výbor Národnej rady SR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234"/>
        </w:numPr>
        <w:tabs>
          <w:tab w:val="left" w:pos="1021"/>
          <w:tab w:val="left" w:pos="1425"/>
        </w:tabs>
        <w:ind w:hanging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k o n š t a t u j e ,</w:t>
      </w:r>
    </w:p>
    <w:p>
      <w:pPr>
        <w:tabs>
          <w:tab w:val="left" w:pos="1021"/>
        </w:tabs>
        <w:ind w:left="1020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Indent"/>
        <w:spacing w:line="240" w:lineRule="auto"/>
        <w:ind w:firstLine="12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že ide o medzinárodnú zmluvu podľa čl. 7 ods. 5 Ústavy Slovenskej republiky a táto zmluva má prednosť pred zákonmi;</w:t>
      </w:r>
    </w:p>
    <w:p>
      <w:pPr>
        <w:tabs>
          <w:tab w:val="left" w:pos="1021"/>
        </w:tabs>
        <w:ind w:left="1020"/>
        <w:jc w:val="both"/>
        <w:rPr>
          <w:rFonts w:ascii="Times New Roman" w:hAnsi="Times New Roman" w:cs="Times New Roman"/>
        </w:rPr>
      </w:pPr>
    </w:p>
    <w:p>
      <w:pPr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B.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o d p o r ú č a</w:t>
      </w:r>
    </w:p>
    <w:p>
      <w:pPr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tabs>
          <w:tab w:val="left" w:pos="720"/>
          <w:tab w:val="left" w:pos="12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 xml:space="preserve">Národnej rade Slovenskej republiky </w:t>
      </w:r>
    </w:p>
    <w:p>
      <w:pPr>
        <w:tabs>
          <w:tab w:val="left" w:pos="720"/>
          <w:tab w:val="left" w:pos="1260"/>
          <w:tab w:val="left" w:pos="144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>podľa článku 86 písm. d) Ústavy Slovenskej republiky</w:t>
      </w:r>
    </w:p>
    <w:p>
      <w:pPr>
        <w:pStyle w:val="BodyText2"/>
        <w:tabs>
          <w:tab w:val="left" w:pos="1440"/>
        </w:tabs>
        <w:ind w:left="340"/>
        <w:rPr>
          <w:rFonts w:ascii="Times New Roman" w:hAnsi="Times New Roman" w:cs="Times New Roman"/>
          <w:bCs/>
          <w:sz w:val="28"/>
        </w:rPr>
      </w:pPr>
    </w:p>
    <w:p>
      <w:pPr>
        <w:pStyle w:val="BodyText2"/>
        <w:tabs>
          <w:tab w:val="left" w:pos="1440"/>
        </w:tabs>
        <w:ind w:left="34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1.   v y s l o v i ť   s ú h l a s   </w:t>
      </w:r>
    </w:p>
    <w:p>
      <w:pPr>
        <w:pStyle w:val="BodyText"/>
        <w:tabs>
          <w:tab w:val="left" w:pos="0"/>
          <w:tab w:val="left" w:pos="18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so Zmluvou medzi Slovenskou republikou a  Rakúskou republikou o sociálnom zabezpečení (tlač 119);</w:t>
      </w:r>
    </w:p>
    <w:p>
      <w:pPr>
        <w:pStyle w:val="BodyTextIndent"/>
        <w:tabs>
          <w:tab w:val="left" w:pos="180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>
      <w:pPr>
        <w:pStyle w:val="BodyText2"/>
        <w:tabs>
          <w:tab w:val="left" w:pos="144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  r o z h o d n ú ť, </w:t>
      </w:r>
    </w:p>
    <w:p>
      <w:pPr>
        <w:pStyle w:val="BodyText2"/>
        <w:tabs>
          <w:tab w:val="left" w:pos="360"/>
          <w:tab w:val="left" w:pos="1800"/>
        </w:tabs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  <w:r>
        <w:rPr>
          <w:rFonts w:ascii="Times New Roman" w:hAnsi="Times New Roman" w:cs="Times New Roman"/>
          <w:b w:val="0"/>
          <w:bCs/>
          <w:sz w:val="28"/>
        </w:rPr>
        <w:t xml:space="preserve">že ide o medzinárodnú zmluvu podľa čl. 7 ods. 5 Ústavy Slovenskej republiky.  </w:t>
      </w:r>
    </w:p>
    <w:p>
      <w:pPr>
        <w:ind w:left="708"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Hlasovanie 8/</w:t>
      </w:r>
      <w:r>
        <w:rPr>
          <w:rFonts w:ascii="Times New Roman" w:hAnsi="Times New Roman" w:cs="Times New Roman"/>
          <w:b/>
          <w:bCs/>
          <w:sz w:val="28"/>
        </w:rPr>
        <w:t>0/0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ind w:left="708" w:firstLine="708"/>
        <w:jc w:val="both"/>
        <w:rPr>
          <w:rFonts w:ascii="Times New Roman" w:hAnsi="Times New Roman" w:cs="Times New Roman"/>
          <w:sz w:val="28"/>
        </w:rPr>
      </w:pPr>
    </w:p>
    <w:p>
      <w:pPr>
        <w:ind w:left="708"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Heading9"/>
        <w:spacing w:line="360" w:lineRule="auto"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bodu 7 – Rôzne</w:t>
      </w:r>
    </w:p>
    <w:p>
      <w:pPr>
        <w:rPr>
          <w:rFonts w:ascii="Times New Roman" w:hAnsi="Times New Roman" w:cs="Times New Roman"/>
        </w:rPr>
      </w:pPr>
    </w:p>
    <w:p>
      <w:pPr>
        <w:ind w:left="340" w:firstLine="3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dal poslancom do pozornosti materiály:</w:t>
      </w:r>
    </w:p>
    <w:p>
      <w:pPr>
        <w:ind w:left="340"/>
        <w:jc w:val="both"/>
        <w:rPr>
          <w:rFonts w:ascii="Times New Roman" w:hAnsi="Times New Roman" w:cs="Times New Roman"/>
          <w:sz w:val="28"/>
        </w:rPr>
      </w:pPr>
    </w:p>
    <w:p>
      <w:pPr>
        <w:ind w:left="3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   Plán legislatívnych úloh vlády Slovenskej republiky na rok 2003 </w:t>
      </w:r>
    </w:p>
    <w:p>
      <w:pPr>
        <w:pStyle w:val="Heading3"/>
        <w:ind w:left="720" w:hanging="38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- </w:t>
        <w:tab/>
        <w:t xml:space="preserve">Plán práce Ústavnoprávneho výboru Národnej rady Slovenskej republiky   na  I.  polrok 2003. </w:t>
      </w:r>
    </w:p>
    <w:p>
      <w:pPr>
        <w:rPr>
          <w:rFonts w:ascii="Times New Roman" w:hAnsi="Times New Roman" w:cs="Times New Roman"/>
          <w:b/>
          <w:bCs/>
          <w:sz w:val="28"/>
        </w:rPr>
      </w:pPr>
    </w:p>
    <w:p>
      <w:pPr>
        <w:pStyle w:val="BodyText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Zároveň informoval o termíne konania gestorského výboru – </w:t>
      </w:r>
      <w:r>
        <w:rPr>
          <w:rFonts w:ascii="Times New Roman" w:hAnsi="Times New Roman" w:cs="Times New Roman"/>
          <w:b/>
          <w:bCs/>
        </w:rPr>
        <w:t>14. januára 2003 o 12,00 h.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konštatoval, že pri ústavnoprávnom výbore v minulých volebných obdobiach pracovala Komisia pre väzenstvo. Mal otázku, či bude pracovať aj v tomto volebnom období.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informoval, že ku komisiám pri  ústavnoprávnom výbore bolo už prijaté uznesenie, ale je možné k problematike sa vrátiť. </w:t>
      </w:r>
    </w:p>
    <w:p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</w:rPr>
        <w:tab/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Heading4"/>
        <w:tabs>
          <w:tab w:val="clear" w:pos="720"/>
          <w:tab w:val="left" w:pos="1021"/>
          <w:tab w:val="clear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6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9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1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4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6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7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9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1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7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8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0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1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4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6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7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8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1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2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5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7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0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2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5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6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7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8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1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3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6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7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8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0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2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3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4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6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7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9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0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1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2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3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4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5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6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7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8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1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3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4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6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7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59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0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1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62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4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6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8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69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0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1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72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5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6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7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8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79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0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1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82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3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5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6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188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89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1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92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3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95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6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7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8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00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1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2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3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4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5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6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7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8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0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1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4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6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9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0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1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2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3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4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5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6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7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28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0"/>
  </w:num>
  <w:num w:numId="2">
    <w:abstractNumId w:val="227"/>
  </w:num>
  <w:num w:numId="3">
    <w:abstractNumId w:val="156"/>
  </w:num>
  <w:num w:numId="4">
    <w:abstractNumId w:val="183"/>
  </w:num>
  <w:num w:numId="5">
    <w:abstractNumId w:val="208"/>
  </w:num>
  <w:num w:numId="6">
    <w:abstractNumId w:val="125"/>
  </w:num>
  <w:num w:numId="7">
    <w:abstractNumId w:val="189"/>
  </w:num>
  <w:num w:numId="8">
    <w:abstractNumId w:val="214"/>
  </w:num>
  <w:num w:numId="9">
    <w:abstractNumId w:val="31"/>
  </w:num>
  <w:num w:numId="10">
    <w:abstractNumId w:val="145"/>
  </w:num>
  <w:num w:numId="11">
    <w:abstractNumId w:val="85"/>
  </w:num>
  <w:num w:numId="12">
    <w:abstractNumId w:val="169"/>
  </w:num>
  <w:num w:numId="13">
    <w:abstractNumId w:val="160"/>
  </w:num>
  <w:num w:numId="14">
    <w:abstractNumId w:val="76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7"/>
  </w:num>
  <w:num w:numId="28">
    <w:abstractNumId w:val="185"/>
  </w:num>
  <w:num w:numId="29">
    <w:abstractNumId w:val="223"/>
  </w:num>
  <w:num w:numId="30">
    <w:abstractNumId w:val="20"/>
  </w:num>
  <w:num w:numId="31">
    <w:abstractNumId w:val="211"/>
  </w:num>
  <w:num w:numId="32">
    <w:abstractNumId w:val="26"/>
  </w:num>
  <w:num w:numId="33">
    <w:abstractNumId w:val="186"/>
  </w:num>
  <w:num w:numId="34">
    <w:abstractNumId w:val="210"/>
  </w:num>
  <w:num w:numId="35">
    <w:abstractNumId w:val="184"/>
  </w:num>
  <w:num w:numId="36">
    <w:abstractNumId w:val="219"/>
  </w:num>
  <w:num w:numId="37">
    <w:abstractNumId w:val="221"/>
  </w:num>
  <w:num w:numId="38">
    <w:abstractNumId w:val="47"/>
  </w:num>
  <w:num w:numId="39">
    <w:abstractNumId w:val="204"/>
  </w:num>
  <w:num w:numId="40">
    <w:abstractNumId w:val="131"/>
  </w:num>
  <w:num w:numId="41">
    <w:abstractNumId w:val="180"/>
  </w:num>
  <w:num w:numId="42">
    <w:abstractNumId w:val="114"/>
  </w:num>
  <w:num w:numId="43">
    <w:abstractNumId w:val="35"/>
  </w:num>
  <w:num w:numId="44">
    <w:abstractNumId w:val="25"/>
  </w:num>
  <w:num w:numId="45">
    <w:abstractNumId w:val="205"/>
  </w:num>
  <w:num w:numId="46">
    <w:abstractNumId w:val="201"/>
  </w:num>
  <w:num w:numId="47">
    <w:abstractNumId w:val="179"/>
  </w:num>
  <w:num w:numId="48">
    <w:abstractNumId w:val="27"/>
  </w:num>
  <w:num w:numId="49">
    <w:abstractNumId w:val="16"/>
  </w:num>
  <w:num w:numId="50">
    <w:abstractNumId w:val="167"/>
  </w:num>
  <w:num w:numId="51">
    <w:abstractNumId w:val="77"/>
  </w:num>
  <w:num w:numId="52">
    <w:abstractNumId w:val="148"/>
  </w:num>
  <w:num w:numId="53">
    <w:abstractNumId w:val="141"/>
  </w:num>
  <w:num w:numId="54">
    <w:abstractNumId w:val="92"/>
  </w:num>
  <w:num w:numId="55">
    <w:abstractNumId w:val="107"/>
  </w:num>
  <w:num w:numId="56">
    <w:abstractNumId w:val="105"/>
  </w:num>
  <w:num w:numId="57">
    <w:abstractNumId w:val="61"/>
  </w:num>
  <w:num w:numId="58">
    <w:abstractNumId w:val="104"/>
  </w:num>
  <w:num w:numId="59">
    <w:abstractNumId w:val="194"/>
  </w:num>
  <w:num w:numId="60">
    <w:abstractNumId w:val="222"/>
  </w:num>
  <w:num w:numId="61">
    <w:abstractNumId w:val="199"/>
  </w:num>
  <w:num w:numId="62">
    <w:abstractNumId w:val="46"/>
  </w:num>
  <w:num w:numId="63">
    <w:abstractNumId w:val="174"/>
  </w:num>
  <w:num w:numId="64">
    <w:abstractNumId w:val="159"/>
  </w:num>
  <w:num w:numId="65">
    <w:abstractNumId w:val="88"/>
  </w:num>
  <w:num w:numId="66">
    <w:abstractNumId w:val="33"/>
  </w:num>
  <w:num w:numId="67">
    <w:abstractNumId w:val="143"/>
  </w:num>
  <w:num w:numId="68">
    <w:abstractNumId w:val="202"/>
  </w:num>
  <w:num w:numId="69">
    <w:abstractNumId w:val="49"/>
  </w:num>
  <w:num w:numId="70">
    <w:abstractNumId w:val="161"/>
  </w:num>
  <w:num w:numId="71">
    <w:abstractNumId w:val="23"/>
  </w:num>
  <w:num w:numId="72">
    <w:abstractNumId w:val="182"/>
  </w:num>
  <w:num w:numId="73">
    <w:abstractNumId w:val="225"/>
  </w:num>
  <w:num w:numId="74">
    <w:abstractNumId w:val="191"/>
  </w:num>
  <w:num w:numId="75">
    <w:abstractNumId w:val="135"/>
  </w:num>
  <w:num w:numId="76">
    <w:abstractNumId w:val="192"/>
  </w:num>
  <w:num w:numId="77">
    <w:abstractNumId w:val="102"/>
  </w:num>
  <w:num w:numId="78">
    <w:abstractNumId w:val="53"/>
  </w:num>
  <w:num w:numId="79">
    <w:abstractNumId w:val="82"/>
  </w:num>
  <w:num w:numId="80">
    <w:abstractNumId w:val="150"/>
  </w:num>
  <w:num w:numId="81">
    <w:abstractNumId w:val="40"/>
  </w:num>
  <w:num w:numId="82">
    <w:abstractNumId w:val="127"/>
  </w:num>
  <w:num w:numId="83">
    <w:abstractNumId w:val="13"/>
  </w:num>
  <w:num w:numId="84">
    <w:abstractNumId w:val="15"/>
  </w:num>
  <w:num w:numId="85">
    <w:abstractNumId w:val="28"/>
  </w:num>
  <w:num w:numId="86">
    <w:abstractNumId w:val="118"/>
  </w:num>
  <w:num w:numId="87">
    <w:abstractNumId w:val="91"/>
  </w:num>
  <w:num w:numId="88">
    <w:abstractNumId w:val="68"/>
  </w:num>
  <w:num w:numId="89">
    <w:abstractNumId w:val="139"/>
  </w:num>
  <w:num w:numId="90">
    <w:abstractNumId w:val="122"/>
  </w:num>
  <w:num w:numId="91">
    <w:abstractNumId w:val="89"/>
  </w:num>
  <w:num w:numId="92">
    <w:abstractNumId w:val="188"/>
  </w:num>
  <w:num w:numId="93">
    <w:abstractNumId w:val="209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0"/>
  </w:num>
  <w:num w:numId="96">
    <w:abstractNumId w:val="106"/>
  </w:num>
  <w:num w:numId="97">
    <w:abstractNumId w:val="224"/>
  </w:num>
  <w:num w:numId="98">
    <w:abstractNumId w:val="142"/>
  </w:num>
  <w:num w:numId="99">
    <w:abstractNumId w:val="112"/>
  </w:num>
  <w:num w:numId="100">
    <w:abstractNumId w:val="144"/>
  </w:num>
  <w:num w:numId="101">
    <w:abstractNumId w:val="149"/>
  </w:num>
  <w:num w:numId="102">
    <w:abstractNumId w:val="132"/>
  </w:num>
  <w:num w:numId="103">
    <w:abstractNumId w:val="109"/>
  </w:num>
  <w:num w:numId="104">
    <w:abstractNumId w:val="196"/>
  </w:num>
  <w:num w:numId="105">
    <w:abstractNumId w:val="120"/>
  </w:num>
  <w:num w:numId="106">
    <w:abstractNumId w:val="178"/>
  </w:num>
  <w:num w:numId="107">
    <w:abstractNumId w:val="19"/>
  </w:num>
  <w:num w:numId="108">
    <w:abstractNumId w:val="22"/>
  </w:num>
  <w:num w:numId="109">
    <w:abstractNumId w:val="197"/>
  </w:num>
  <w:num w:numId="110">
    <w:abstractNumId w:val="50"/>
  </w:num>
  <w:num w:numId="111">
    <w:abstractNumId w:val="116"/>
  </w:num>
  <w:num w:numId="112">
    <w:abstractNumId w:val="220"/>
  </w:num>
  <w:num w:numId="113">
    <w:abstractNumId w:val="99"/>
  </w:num>
  <w:num w:numId="114">
    <w:abstractNumId w:val="65"/>
  </w:num>
  <w:num w:numId="115">
    <w:abstractNumId w:val="175"/>
  </w:num>
  <w:num w:numId="116">
    <w:abstractNumId w:val="226"/>
  </w:num>
  <w:num w:numId="117">
    <w:abstractNumId w:val="45"/>
  </w:num>
  <w:num w:numId="118">
    <w:abstractNumId w:val="203"/>
  </w:num>
  <w:num w:numId="119">
    <w:abstractNumId w:val="58"/>
  </w:num>
  <w:num w:numId="120">
    <w:abstractNumId w:val="93"/>
  </w:num>
  <w:num w:numId="121">
    <w:abstractNumId w:val="94"/>
  </w:num>
  <w:num w:numId="122">
    <w:abstractNumId w:val="83"/>
  </w:num>
  <w:num w:numId="123">
    <w:abstractNumId w:val="177"/>
  </w:num>
  <w:num w:numId="124">
    <w:abstractNumId w:val="80"/>
  </w:num>
  <w:num w:numId="125">
    <w:abstractNumId w:val="38"/>
  </w:num>
  <w:num w:numId="126">
    <w:abstractNumId w:val="165"/>
  </w:num>
  <w:num w:numId="127">
    <w:abstractNumId w:val="24"/>
  </w:num>
  <w:num w:numId="128">
    <w:abstractNumId w:val="103"/>
  </w:num>
  <w:num w:numId="129">
    <w:abstractNumId w:val="117"/>
  </w:num>
  <w:num w:numId="130">
    <w:abstractNumId w:val="166"/>
  </w:num>
  <w:num w:numId="131">
    <w:abstractNumId w:val="12"/>
  </w:num>
  <w:num w:numId="132">
    <w:abstractNumId w:val="154"/>
  </w:num>
  <w:num w:numId="133">
    <w:abstractNumId w:val="190"/>
  </w:num>
  <w:num w:numId="134">
    <w:abstractNumId w:val="96"/>
  </w:num>
  <w:num w:numId="135">
    <w:abstractNumId w:val="138"/>
  </w:num>
  <w:num w:numId="136">
    <w:abstractNumId w:val="41"/>
  </w:num>
  <w:num w:numId="137">
    <w:abstractNumId w:val="119"/>
  </w:num>
  <w:num w:numId="138">
    <w:abstractNumId w:val="44"/>
  </w:num>
  <w:num w:numId="139">
    <w:abstractNumId w:val="43"/>
  </w:num>
  <w:num w:numId="140">
    <w:abstractNumId w:val="70"/>
  </w:num>
  <w:num w:numId="141">
    <w:abstractNumId w:val="195"/>
  </w:num>
  <w:num w:numId="142">
    <w:abstractNumId w:val="215"/>
  </w:num>
  <w:num w:numId="143">
    <w:abstractNumId w:val="172"/>
  </w:num>
  <w:num w:numId="144">
    <w:abstractNumId w:val="86"/>
  </w:num>
  <w:num w:numId="145">
    <w:abstractNumId w:val="36"/>
  </w:num>
  <w:num w:numId="146">
    <w:abstractNumId w:val="75"/>
  </w:num>
  <w:num w:numId="147">
    <w:abstractNumId w:val="170"/>
  </w:num>
  <w:num w:numId="148">
    <w:abstractNumId w:val="110"/>
  </w:num>
  <w:num w:numId="149">
    <w:abstractNumId w:val="66"/>
  </w:num>
  <w:num w:numId="150">
    <w:abstractNumId w:val="60"/>
  </w:num>
  <w:num w:numId="151">
    <w:abstractNumId w:val="155"/>
  </w:num>
  <w:num w:numId="152">
    <w:abstractNumId w:val="136"/>
  </w:num>
  <w:num w:numId="153">
    <w:abstractNumId w:val="206"/>
  </w:num>
  <w:num w:numId="154">
    <w:abstractNumId w:val="18"/>
  </w:num>
  <w:num w:numId="155">
    <w:abstractNumId w:val="176"/>
  </w:num>
  <w:num w:numId="156">
    <w:abstractNumId w:val="29"/>
  </w:num>
  <w:num w:numId="157">
    <w:abstractNumId w:val="147"/>
  </w:num>
  <w:num w:numId="158">
    <w:abstractNumId w:val="84"/>
  </w:num>
  <w:num w:numId="159">
    <w:abstractNumId w:val="200"/>
  </w:num>
  <w:num w:numId="160">
    <w:abstractNumId w:val="128"/>
  </w:num>
  <w:num w:numId="161">
    <w:abstractNumId w:val="13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8"/>
  </w:num>
  <w:num w:numId="167">
    <w:abstractNumId w:val="129"/>
  </w:num>
  <w:num w:numId="168">
    <w:abstractNumId w:val="81"/>
  </w:num>
  <w:num w:numId="169">
    <w:abstractNumId w:val="171"/>
  </w:num>
  <w:num w:numId="170">
    <w:abstractNumId w:val="64"/>
  </w:num>
  <w:num w:numId="171">
    <w:abstractNumId w:val="34"/>
  </w:num>
  <w:num w:numId="172">
    <w:abstractNumId w:val="72"/>
  </w:num>
  <w:num w:numId="173">
    <w:abstractNumId w:val="32"/>
  </w:num>
  <w:num w:numId="174">
    <w:abstractNumId w:val="57"/>
  </w:num>
  <w:num w:numId="175">
    <w:abstractNumId w:val="17"/>
  </w:num>
  <w:num w:numId="176">
    <w:abstractNumId w:val="168"/>
  </w:num>
  <w:num w:numId="177">
    <w:abstractNumId w:val="153"/>
  </w:num>
  <w:num w:numId="178">
    <w:abstractNumId w:val="162"/>
  </w:num>
  <w:num w:numId="179">
    <w:abstractNumId w:val="59"/>
  </w:num>
  <w:num w:numId="180">
    <w:abstractNumId w:val="126"/>
  </w:num>
  <w:num w:numId="181">
    <w:abstractNumId w:val="146"/>
  </w:num>
  <w:num w:numId="182">
    <w:abstractNumId w:val="54"/>
  </w:num>
  <w:num w:numId="183">
    <w:abstractNumId w:val="115"/>
  </w:num>
  <w:num w:numId="184">
    <w:abstractNumId w:val="137"/>
  </w:num>
  <w:num w:numId="185">
    <w:abstractNumId w:val="52"/>
  </w:num>
  <w:num w:numId="186">
    <w:abstractNumId w:val="124"/>
  </w:num>
  <w:num w:numId="187">
    <w:abstractNumId w:val="111"/>
  </w:num>
  <w:num w:numId="188">
    <w:abstractNumId w:val="67"/>
  </w:num>
  <w:num w:numId="189">
    <w:abstractNumId w:val="42"/>
  </w:num>
  <w:num w:numId="190">
    <w:abstractNumId w:val="198"/>
  </w:num>
  <w:num w:numId="191">
    <w:abstractNumId w:val="216"/>
  </w:num>
  <w:num w:numId="192">
    <w:abstractNumId w:val="164"/>
  </w:num>
  <w:num w:numId="193">
    <w:abstractNumId w:val="78"/>
  </w:num>
  <w:num w:numId="194">
    <w:abstractNumId w:val="173"/>
  </w:num>
  <w:num w:numId="195">
    <w:abstractNumId w:val="21"/>
  </w:num>
  <w:num w:numId="196">
    <w:abstractNumId w:val="229"/>
  </w:num>
  <w:num w:numId="197">
    <w:abstractNumId w:val="213"/>
  </w:num>
  <w:num w:numId="198">
    <w:abstractNumId w:val="157"/>
  </w:num>
  <w:num w:numId="199">
    <w:abstractNumId w:val="121"/>
  </w:num>
  <w:num w:numId="200">
    <w:abstractNumId w:val="163"/>
  </w:num>
  <w:num w:numId="201">
    <w:abstractNumId w:val="212"/>
  </w:num>
  <w:num w:numId="202">
    <w:abstractNumId w:val="39"/>
  </w:num>
  <w:num w:numId="203">
    <w:abstractNumId w:val="217"/>
  </w:num>
  <w:num w:numId="204">
    <w:abstractNumId w:val="63"/>
  </w:num>
  <w:num w:numId="205">
    <w:abstractNumId w:val="95"/>
  </w:num>
  <w:num w:numId="206">
    <w:abstractNumId w:val="14"/>
  </w:num>
  <w:num w:numId="207">
    <w:abstractNumId w:val="228"/>
  </w:num>
  <w:num w:numId="208">
    <w:abstractNumId w:val="97"/>
  </w:num>
  <w:num w:numId="209">
    <w:abstractNumId w:val="74"/>
  </w:num>
  <w:num w:numId="210">
    <w:abstractNumId w:val="48"/>
  </w:num>
  <w:num w:numId="211">
    <w:abstractNumId w:val="98"/>
  </w:num>
  <w:num w:numId="212">
    <w:abstractNumId w:val="123"/>
  </w:num>
  <w:num w:numId="213">
    <w:abstractNumId w:val="37"/>
  </w:num>
  <w:num w:numId="214">
    <w:abstractNumId w:val="73"/>
  </w:num>
  <w:num w:numId="215">
    <w:abstractNumId w:val="69"/>
  </w:num>
  <w:num w:numId="216">
    <w:abstractNumId w:val="218"/>
  </w:num>
  <w:num w:numId="217">
    <w:abstractNumId w:val="158"/>
  </w:num>
  <w:num w:numId="218">
    <w:abstractNumId w:val="79"/>
  </w:num>
  <w:num w:numId="219">
    <w:abstractNumId w:val="90"/>
  </w:num>
  <w:num w:numId="220">
    <w:abstractNumId w:val="193"/>
  </w:num>
  <w:num w:numId="221">
    <w:abstractNumId w:val="30"/>
  </w:num>
  <w:num w:numId="222">
    <w:abstractNumId w:val="152"/>
  </w:num>
  <w:num w:numId="223">
    <w:abstractNumId w:val="71"/>
  </w:num>
  <w:num w:numId="224">
    <w:abstractNumId w:val="56"/>
  </w:num>
  <w:num w:numId="225">
    <w:abstractNumId w:val="101"/>
  </w:num>
  <w:num w:numId="226">
    <w:abstractNumId w:val="130"/>
  </w:num>
  <w:num w:numId="227">
    <w:abstractNumId w:val="55"/>
  </w:num>
  <w:num w:numId="228">
    <w:abstractNumId w:val="134"/>
  </w:num>
  <w:num w:numId="229">
    <w:abstractNumId w:val="62"/>
  </w:num>
  <w:num w:numId="230">
    <w:abstractNumId w:val="51"/>
  </w:num>
  <w:num w:numId="231">
    <w:abstractNumId w:val="187"/>
  </w:num>
  <w:num w:numId="232">
    <w:abstractNumId w:val="181"/>
  </w:num>
  <w:num w:numId="233">
    <w:abstractNumId w:val="113"/>
  </w:num>
  <w:num w:numId="234">
    <w:abstractNumId w:val="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  <w:tab w:val="left" w:pos="1440"/>
      </w:tabs>
      <w:jc w:val="both"/>
      <w:outlineLvl w:val="3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firstLine="708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3">
    <w:name w:val="Body Text 3"/>
    <w:basedOn w:val="Normal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310</TotalTime>
  <Pages>1</Pages>
  <Words>1664</Words>
  <Characters>9489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11. schôdza</dc:title>
  <dc:subject>schôdza 11, 8. január 2003</dc:subject>
  <dc:creator>Viera Ebringerová</dc:creator>
  <cp:lastModifiedBy>Viera Ebringerová</cp:lastModifiedBy>
  <cp:revision>55</cp:revision>
  <cp:lastPrinted>2003-01-16T12:37:00Z</cp:lastPrinted>
  <dcterms:created xsi:type="dcterms:W3CDTF">2002-12-12T13:43:00Z</dcterms:created>
  <dcterms:modified xsi:type="dcterms:W3CDTF">2003-01-17T09:15:00Z</dcterms:modified>
  <cp:category>zápisnica</cp:category>
</cp:coreProperties>
</file>