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10. schôdze Ústavnoprávneho výboru Národnej rady Slovenskej republiky  12. decembra 2002 o 13,30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7 (podľa prezenčnej listiny)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Ospravedlnení:</w:t>
      </w:r>
      <w:r>
        <w:rPr>
          <w:rFonts w:ascii="Times New Roman" w:hAnsi="Times New Roman" w:cs="Times New Roman"/>
          <w:bCs/>
          <w:sz w:val="28"/>
        </w:rPr>
        <w:t xml:space="preserve"> M. Ábelovský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       J. Elsner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       S. Husár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       G. </w:t>
      </w:r>
      <w:r>
        <w:rPr>
          <w:rFonts w:ascii="Times New Roman" w:hAnsi="Times New Roman" w:cs="Times New Roman"/>
          <w:bCs/>
          <w:sz w:val="28"/>
        </w:rPr>
        <w:t xml:space="preserve">Gál.    </w:t>
      </w: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Predseda výboru</w:t>
      </w:r>
      <w:r>
        <w:rPr>
          <w:rFonts w:ascii="Times New Roman" w:hAnsi="Times New Roman" w:cs="Times New Roman"/>
          <w:b/>
          <w:sz w:val="28"/>
        </w:rPr>
        <w:tab/>
        <w:t>J. Drgonec otvoril</w:t>
      </w:r>
      <w:r>
        <w:rPr>
          <w:rFonts w:ascii="Times New Roman" w:hAnsi="Times New Roman" w:cs="Times New Roman"/>
          <w:bCs/>
          <w:sz w:val="28"/>
        </w:rPr>
        <w:t xml:space="preserve"> schôdzu a navrhol schváliť program rokovania </w:t>
      </w:r>
      <w:r>
        <w:rPr>
          <w:rFonts w:ascii="Times New Roman" w:hAnsi="Times New Roman" w:cs="Times New Roman"/>
          <w:b/>
          <w:sz w:val="28"/>
        </w:rPr>
        <w:t>7/0/0.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28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Tvorba zákonov na návrh výborov Národnej rady Slovenskej republiky a na návrh poslancov Národnej rady Slovenskej republiky – právomoc Legislat</w:t>
      </w:r>
      <w:r>
        <w:rPr>
          <w:rFonts w:ascii="Times New Roman" w:hAnsi="Times New Roman" w:cs="Times New Roman"/>
          <w:b/>
          <w:bCs/>
          <w:sz w:val="28"/>
        </w:rPr>
        <w:t>ívnej rady vlády Slovenskej republiky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</w:rPr>
        <w:t>návrh uznesenia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28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Agenda pomoci Európskej komisie asociovaným krajinám v oblasti odborného vzdelávania</w:t>
      </w:r>
      <w:r>
        <w:rPr>
          <w:rFonts w:ascii="Times New Roman" w:hAnsi="Times New Roman" w:cs="Times New Roman"/>
          <w:sz w:val="28"/>
        </w:rPr>
        <w:t xml:space="preserve"> – organizovaná Úradom pre výmenu informácií o technickej pomoci (TAIEX) so sídlom v Bruseli </w:t>
      </w:r>
      <w:r>
        <w:rPr>
          <w:rFonts w:ascii="Times New Roman" w:hAnsi="Times New Roman" w:cs="Times New Roman"/>
          <w:b/>
          <w:bCs/>
          <w:sz w:val="28"/>
        </w:rPr>
        <w:t xml:space="preserve">– návrh uznesenia </w:t>
      </w:r>
      <w:r>
        <w:rPr>
          <w:rFonts w:ascii="Times New Roman" w:hAnsi="Times New Roman" w:cs="Times New Roman"/>
          <w:sz w:val="28"/>
        </w:rPr>
        <w:t>v spo</w:t>
      </w:r>
      <w:r>
        <w:rPr>
          <w:rFonts w:ascii="Times New Roman" w:hAnsi="Times New Roman" w:cs="Times New Roman"/>
          <w:sz w:val="28"/>
        </w:rPr>
        <w:t>jitosti s účasťou člena ústavnoprávneho výboru v dňoch 4. – 5. 12. 2002</w:t>
      </w:r>
    </w:p>
    <w:p>
      <w:pPr>
        <w:spacing w:line="360" w:lineRule="auto"/>
        <w:ind w:left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28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Uznesenie vlády Slovenskej republiky zo 14. novembra 2002 č. 1249</w:t>
      </w:r>
      <w:r>
        <w:rPr>
          <w:rFonts w:ascii="Times New Roman" w:hAnsi="Times New Roman" w:cs="Times New Roman"/>
          <w:b/>
          <w:bCs/>
          <w:sz w:val="28"/>
        </w:rPr>
        <w:t xml:space="preserve"> k návrhu na  postup členov vlády podľa § 94 ods. 2 zákona Národnej rady Slovenskej republiky č.  350/1996 Z. z. o rok</w:t>
      </w:r>
      <w:r>
        <w:rPr>
          <w:rFonts w:ascii="Times New Roman" w:hAnsi="Times New Roman" w:cs="Times New Roman"/>
          <w:b/>
          <w:bCs/>
          <w:sz w:val="28"/>
        </w:rPr>
        <w:t>ovacom poriadku Národnej rady Slovenskej republiky v znení neskorších predpisov pri prerokúvaní vládnych návrhov zákonov v Národnej rade Slovenskej republiky – návrh uznesenia</w:t>
      </w:r>
    </w:p>
    <w:p>
      <w:pPr>
        <w:spacing w:line="360" w:lineRule="auto"/>
        <w:ind w:left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28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Návrh účastníka</w:t>
      </w:r>
      <w:r>
        <w:rPr>
          <w:rFonts w:ascii="Times New Roman" w:hAnsi="Times New Roman" w:cs="Times New Roman"/>
          <w:sz w:val="28"/>
        </w:rPr>
        <w:t xml:space="preserve"> – člena Ústavnoprávneho výboru Národnej rady Slovenskej republi</w:t>
      </w:r>
      <w:r>
        <w:rPr>
          <w:rFonts w:ascii="Times New Roman" w:hAnsi="Times New Roman" w:cs="Times New Roman"/>
          <w:sz w:val="28"/>
        </w:rPr>
        <w:t>ky -na seminár pod názvom „</w:t>
      </w:r>
      <w:r>
        <w:rPr>
          <w:rFonts w:ascii="Times New Roman" w:hAnsi="Times New Roman" w:cs="Times New Roman"/>
          <w:b/>
          <w:bCs/>
          <w:sz w:val="28"/>
        </w:rPr>
        <w:t xml:space="preserve">Práva intelektuálneho vlastníctva“ </w:t>
      </w:r>
      <w:r>
        <w:rPr>
          <w:rFonts w:ascii="Times New Roman" w:hAnsi="Times New Roman" w:cs="Times New Roman"/>
          <w:sz w:val="28"/>
        </w:rPr>
        <w:t xml:space="preserve">organizovaný Úradom pre  výmenu informácií o technickej pomoci </w:t>
      </w:r>
      <w:r>
        <w:rPr>
          <w:rFonts w:ascii="Times New Roman" w:hAnsi="Times New Roman" w:cs="Times New Roman"/>
          <w:b/>
          <w:bCs/>
          <w:sz w:val="28"/>
        </w:rPr>
        <w:t>(TAIEX)</w:t>
      </w:r>
      <w:r>
        <w:rPr>
          <w:rFonts w:ascii="Times New Roman" w:hAnsi="Times New Roman" w:cs="Times New Roman"/>
          <w:sz w:val="28"/>
        </w:rPr>
        <w:t xml:space="preserve"> so sídlom v Bruseli, </w:t>
      </w:r>
      <w:r>
        <w:rPr>
          <w:rFonts w:ascii="Times New Roman" w:hAnsi="Times New Roman" w:cs="Times New Roman"/>
          <w:b/>
          <w:bCs/>
          <w:sz w:val="28"/>
        </w:rPr>
        <w:t>v dňoch 6. – 7. februára 2003</w:t>
      </w:r>
    </w:p>
    <w:p>
      <w:pPr>
        <w:spacing w:line="360" w:lineRule="auto"/>
        <w:ind w:left="42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</w:r>
    </w:p>
    <w:p>
      <w:pPr>
        <w:pStyle w:val="BodyTextIndent2"/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</w:rPr>
        <w:t xml:space="preserve">Rôzne </w:t>
      </w:r>
      <w:r>
        <w:rPr>
          <w:rFonts w:ascii="Times New Roman" w:hAnsi="Times New Roman" w:cs="Times New Roman"/>
          <w:sz w:val="28"/>
        </w:rPr>
        <w:t xml:space="preserve">  </w:t>
      </w: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Tvorba zákonov na návrh výborov Národnej rady</w:t>
      </w:r>
      <w:r>
        <w:rPr>
          <w:rFonts w:ascii="Times New Roman" w:hAnsi="Times New Roman" w:cs="Times New Roman"/>
          <w:b/>
          <w:bCs/>
          <w:sz w:val="28"/>
        </w:rPr>
        <w:t xml:space="preserve"> Slovenskej republiky a na návrh poslancov Národnej rady Slovenskej republiky – právomoc Legislatívnej rady vlády Slovenskej republiky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</w:rPr>
        <w:t>návrh uznesenia.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Rokovanie k tomuto bodu viedol 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nadviazal na rokovanie výboru na 9. schôdzi 9. decembra 2002 o danej téme. Dal do pozornosti list z 9. decembra 2002, ktorý v danej súvislosti zaslal Legislatívnej rade vlády Slovenskej republiky. Tento </w:t>
      </w:r>
      <w:r>
        <w:rPr>
          <w:rFonts w:ascii="Times New Roman" w:hAnsi="Times New Roman" w:cs="Times New Roman"/>
          <w:sz w:val="28"/>
        </w:rPr>
        <w:t xml:space="preserve">obsahuje argumentáciu použiteľnú ako odôvodnenie uznesenia, pokiaľ bude prijaté.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rozprave vystúpila poslankyňa </w:t>
      </w:r>
      <w:r>
        <w:rPr>
          <w:rFonts w:ascii="Times New Roman" w:hAnsi="Times New Roman" w:cs="Times New Roman"/>
          <w:b/>
          <w:bCs/>
          <w:sz w:val="28"/>
        </w:rPr>
        <w:t xml:space="preserve">J. Laššáková. </w:t>
      </w:r>
      <w:r>
        <w:rPr>
          <w:rFonts w:ascii="Times New Roman" w:hAnsi="Times New Roman" w:cs="Times New Roman"/>
          <w:sz w:val="28"/>
        </w:rPr>
        <w:t xml:space="preserve">Obsah listu je dobrou analýzou problému. Podľa získaných informácií (od svojich straníckych kolegov) prejednávanie zákona v legislatívnej rade je v záujme legislatívnej kontinuity a vzájomnej koordinácie a podľa týchto poznatkov nie je tento postup nedôvodný.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súhlasí s argumentami uvedenými v liste. Zamyslel sa nad otázkou, podľa akého predpisu bude výbor uznesenie k danej téme prijímať.  § 59 rokovacieho poriadku ustanovuje kompetencie výboru, nie síce taxatívne, ale v záujme konštruktívnosti konania treba sa ním riadiť. Navrhol, aby výbor vzal uznesenie  na vedomie.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 </w:t>
      </w:r>
      <w:r>
        <w:rPr>
          <w:rFonts w:ascii="Times New Roman" w:hAnsi="Times New Roman" w:cs="Times New Roman"/>
          <w:sz w:val="28"/>
        </w:rPr>
        <w:t>násle</w:t>
      </w:r>
      <w:r>
        <w:rPr>
          <w:rFonts w:ascii="Times New Roman" w:hAnsi="Times New Roman" w:cs="Times New Roman"/>
          <w:sz w:val="28"/>
        </w:rPr>
        <w:t xml:space="preserve">dne zobral stiahol svoj návrh.   </w:t>
      </w:r>
    </w:p>
    <w:p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>
      <w:pPr>
        <w:pStyle w:val="Heading2"/>
        <w:tabs>
          <w:tab w:val="left" w:pos="-1985"/>
          <w:tab w:val="left" w:pos="709"/>
        </w:tabs>
        <w:spacing w:line="360" w:lineRule="auto"/>
        <w:ind w:firstLine="360"/>
        <w:rPr>
          <w:rFonts w:ascii="Times New Roman" w:hAnsi="Times New Roman" w:cs="Times New Roman"/>
          <w:sz w:val="28"/>
          <w:u w:val="none"/>
        </w:rPr>
      </w:pPr>
    </w:p>
    <w:p>
      <w:pPr>
        <w:pStyle w:val="Heading2"/>
        <w:tabs>
          <w:tab w:val="left" w:pos="-1985"/>
          <w:tab w:val="left" w:pos="709"/>
        </w:tabs>
        <w:spacing w:line="360" w:lineRule="auto"/>
        <w:ind w:firstLine="360"/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ab/>
        <w:t>Agenda pomoci Európskej komisie asociovaným krajinám v oblasti odborného vzdelávania – organizovaná Úradom pre výmenu informácií o technickej pomoci (TAIEX) so sídlom v Bruseli – návrh uznesenia v spojitosti s účasťou člena ústavnoprávneho výboru v dňoch 4. – 5. 12. 2002.</w:t>
      </w:r>
    </w:p>
    <w:p>
      <w:pPr>
        <w:pStyle w:val="Heading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 w:val="0"/>
          <w:bCs/>
          <w:u w:val="none"/>
        </w:rPr>
      </w:pPr>
      <w:r>
        <w:rPr>
          <w:rFonts w:ascii="Times New Roman" w:hAnsi="Times New Roman" w:cs="Times New Roman"/>
          <w:b w:val="0"/>
          <w:bCs/>
          <w:u w:val="none"/>
        </w:rPr>
        <w:tab/>
      </w:r>
    </w:p>
    <w:p>
      <w:pPr>
        <w:pStyle w:val="Heading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u w:val="none"/>
        </w:rPr>
        <w:tab/>
      </w:r>
      <w:r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Poslanec </w:t>
      </w:r>
      <w:r>
        <w:rPr>
          <w:rFonts w:ascii="Times New Roman" w:hAnsi="Times New Roman" w:cs="Times New Roman"/>
          <w:sz w:val="28"/>
          <w:u w:val="none"/>
        </w:rPr>
        <w:t>R. Madej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 uviedol návrh na uznesenie, navrhol istú formu protestu a informoval o jeho obsahu. 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rozprave vystúpil 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, navrhol </w:t>
      </w:r>
      <w:r>
        <w:rPr>
          <w:rFonts w:ascii="Times New Roman" w:hAnsi="Times New Roman" w:cs="Times New Roman"/>
          <w:b/>
          <w:bCs/>
          <w:sz w:val="28"/>
        </w:rPr>
        <w:t xml:space="preserve">vypustiť v bode C. posledný odsek a druhý odsek preformulovať </w:t>
      </w:r>
      <w:r>
        <w:rPr>
          <w:rFonts w:ascii="Times New Roman" w:hAnsi="Times New Roman" w:cs="Times New Roman"/>
          <w:sz w:val="28"/>
        </w:rPr>
        <w:t>v znení: „šetrenie výdavkov na zahraničné pracovné cesty v minimálnom objeme v tomto prípade, vzhľadom k preplateniu celých nákladov zahraničným partnerom, bolo zjavne neefektívne.“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 podporil pozmeňovací návrh. 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Hlasovanie: </w:t>
      </w:r>
      <w:r>
        <w:rPr>
          <w:rFonts w:ascii="Times New Roman" w:hAnsi="Times New Roman" w:cs="Times New Roman"/>
          <w:b/>
          <w:bCs/>
          <w:sz w:val="28"/>
        </w:rPr>
        <w:t>7/0/0</w:t>
      </w:r>
      <w:r>
        <w:rPr>
          <w:rFonts w:ascii="Times New Roman" w:hAnsi="Times New Roman" w:cs="Times New Roman"/>
          <w:sz w:val="28"/>
        </w:rPr>
        <w:t>.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odporučil v časti B návrhu uznesenia zmeniť slovo „protestujem“ na slová „vyjadruje nesúhlas“. Považuje to za vhodnejšiu štylizáciu.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Hlasovanie: </w:t>
      </w:r>
      <w:r>
        <w:rPr>
          <w:rFonts w:ascii="Times New Roman" w:hAnsi="Times New Roman" w:cs="Times New Roman"/>
          <w:b/>
          <w:bCs/>
          <w:sz w:val="28"/>
        </w:rPr>
        <w:t>6/0/1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uznesení ústavnoprávneho výboru č. 57: </w:t>
      </w:r>
      <w:r>
        <w:rPr>
          <w:rFonts w:ascii="Times New Roman" w:hAnsi="Times New Roman" w:cs="Times New Roman"/>
          <w:b/>
          <w:bCs/>
          <w:sz w:val="28"/>
        </w:rPr>
        <w:t>7/0/0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pStyle w:val="BodyTextIndent2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3</w:t>
      </w: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spacing w:line="360" w:lineRule="auto"/>
        <w:ind w:firstLine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ab/>
      </w: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spacing w:line="360" w:lineRule="auto"/>
        <w:ind w:firstLine="360"/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ab/>
        <w:t xml:space="preserve">Uznesenie vlády Slovenskej republiky zo 14. novembra 2002 č. 1249 </w:t>
      </w:r>
      <w:r>
        <w:rPr>
          <w:rFonts w:ascii="Times New Roman" w:hAnsi="Times New Roman" w:cs="Times New Roman"/>
          <w:sz w:val="28"/>
          <w:u w:val="none"/>
        </w:rPr>
        <w:t>k návrhu na  postup členov vlády podľa § 94 ods. 2 zákona Národnej rady Slovenskej republiky č.  350/1996 Z. z. o rokovacom poriadku Národnej rady Slovenskej republi</w:t>
      </w:r>
      <w:r>
        <w:rPr>
          <w:rFonts w:ascii="Times New Roman" w:hAnsi="Times New Roman" w:cs="Times New Roman"/>
          <w:sz w:val="28"/>
          <w:u w:val="none"/>
        </w:rPr>
        <w:t>ky v znení neskorších predpisov pri prerokúvaní vládnych návrhov zákonov v Národnej rade Slovenskej republiky – návrh uznesenia.</w:t>
      </w: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spacing w:line="360" w:lineRule="auto"/>
        <w:ind w:firstLine="360"/>
        <w:rPr>
          <w:rFonts w:ascii="Times New Roman" w:hAnsi="Times New Roman" w:cs="Times New Roman"/>
          <w:sz w:val="28"/>
          <w:u w:val="none"/>
        </w:rPr>
      </w:pP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spacing w:line="360" w:lineRule="auto"/>
        <w:ind w:firstLine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ab/>
        <w:t xml:space="preserve">Predseda výboru </w:t>
      </w:r>
      <w:r>
        <w:rPr>
          <w:rFonts w:ascii="Times New Roman" w:hAnsi="Times New Roman" w:cs="Times New Roman"/>
          <w:sz w:val="28"/>
          <w:u w:val="none"/>
        </w:rPr>
        <w:t>J. Drgonec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 konštatoval, že iniciátor témy poslanec </w:t>
      </w:r>
      <w:r>
        <w:rPr>
          <w:rFonts w:ascii="Times New Roman" w:hAnsi="Times New Roman" w:cs="Times New Roman"/>
          <w:sz w:val="28"/>
          <w:u w:val="none"/>
        </w:rPr>
        <w:t>S. Husár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, nie je prítomný, preto sa o probléme nemôže rokovať.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Návrh účastníka</w:t>
      </w:r>
      <w:r>
        <w:rPr>
          <w:rFonts w:ascii="Times New Roman" w:hAnsi="Times New Roman" w:cs="Times New Roman"/>
          <w:sz w:val="28"/>
        </w:rPr>
        <w:t xml:space="preserve"> – člena Ústavnoprávneho výboru Národnej rady Slovenskej republiky -na seminár pod názvom „</w:t>
      </w:r>
      <w:r>
        <w:rPr>
          <w:rFonts w:ascii="Times New Roman" w:hAnsi="Times New Roman" w:cs="Times New Roman"/>
          <w:b/>
          <w:bCs/>
          <w:sz w:val="28"/>
        </w:rPr>
        <w:t xml:space="preserve">Práva intelektuálneho vlastníctva“ </w:t>
      </w:r>
      <w:r>
        <w:rPr>
          <w:rFonts w:ascii="Times New Roman" w:hAnsi="Times New Roman" w:cs="Times New Roman"/>
          <w:sz w:val="28"/>
        </w:rPr>
        <w:t xml:space="preserve">organizovaný Úradom pre  výmenu informácií o technickej pomoci </w:t>
      </w:r>
      <w:r>
        <w:rPr>
          <w:rFonts w:ascii="Times New Roman" w:hAnsi="Times New Roman" w:cs="Times New Roman"/>
          <w:b/>
          <w:bCs/>
          <w:sz w:val="28"/>
        </w:rPr>
        <w:t>(TAIEX)</w:t>
      </w:r>
      <w:r>
        <w:rPr>
          <w:rFonts w:ascii="Times New Roman" w:hAnsi="Times New Roman" w:cs="Times New Roman"/>
          <w:sz w:val="28"/>
        </w:rPr>
        <w:t xml:space="preserve"> so sídlom v Bruseli, </w:t>
      </w:r>
      <w:r>
        <w:rPr>
          <w:rFonts w:ascii="Times New Roman" w:hAnsi="Times New Roman" w:cs="Times New Roman"/>
          <w:b/>
          <w:bCs/>
          <w:sz w:val="28"/>
        </w:rPr>
        <w:t>v dňoch 6. – 7. februára 2003.</w:t>
      </w:r>
    </w:p>
    <w:p>
      <w:pPr>
        <w:pStyle w:val="Heading9"/>
        <w:spacing w:line="360" w:lineRule="auto"/>
        <w:rPr>
          <w:rFonts w:ascii="Times New Roman" w:hAnsi="Times New Roman" w:cs="Times New Roman"/>
          <w:b w:val="0"/>
          <w:bCs w:val="0"/>
        </w:rPr>
      </w:pPr>
    </w:p>
    <w:p>
      <w:pPr>
        <w:pStyle w:val="Heading9"/>
        <w:spacing w:line="360" w:lineRule="auto"/>
        <w:ind w:left="0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Podpredseda výboru </w:t>
      </w:r>
      <w:r>
        <w:rPr>
          <w:rFonts w:ascii="Times New Roman" w:hAnsi="Times New Roman" w:cs="Times New Roman"/>
        </w:rPr>
        <w:t>P. Miššík</w:t>
      </w:r>
      <w:r>
        <w:rPr>
          <w:rFonts w:ascii="Times New Roman" w:hAnsi="Times New Roman" w:cs="Times New Roman"/>
          <w:b w:val="0"/>
          <w:bCs w:val="0"/>
        </w:rPr>
        <w:t xml:space="preserve"> navrhol, aby sa seminára zúčastnil predseda ústavnoprávneho výboru </w:t>
      </w:r>
      <w:r>
        <w:rPr>
          <w:rFonts w:ascii="Times New Roman" w:hAnsi="Times New Roman" w:cs="Times New Roman"/>
        </w:rPr>
        <w:t xml:space="preserve">J. Drgonec, </w:t>
      </w:r>
      <w:r>
        <w:rPr>
          <w:rFonts w:ascii="Times New Roman" w:hAnsi="Times New Roman" w:cs="Times New Roman"/>
          <w:b w:val="0"/>
          <w:bCs w:val="0"/>
        </w:rPr>
        <w:t xml:space="preserve">ktorý s uvedeným vyjadril súhlas. 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uznesení ústavnoprávneho výboru č. 58: </w:t>
      </w:r>
      <w:r>
        <w:rPr>
          <w:rFonts w:ascii="Times New Roman" w:hAnsi="Times New Roman" w:cs="Times New Roman"/>
          <w:b/>
          <w:bCs/>
          <w:sz w:val="28"/>
        </w:rPr>
        <w:t>7/0/0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pStyle w:val="Heading9"/>
        <w:spacing w:line="360" w:lineRule="auto"/>
        <w:ind w:left="0" w:firstLine="0"/>
        <w:rPr>
          <w:rFonts w:ascii="Times New Roman" w:hAnsi="Times New Roman" w:cs="Times New Roman"/>
          <w:u w:val="single"/>
        </w:rPr>
      </w:pPr>
    </w:p>
    <w:p>
      <w:pPr>
        <w:pStyle w:val="Heading9"/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Rôzne</w:t>
      </w:r>
    </w:p>
    <w:p>
      <w:pPr>
        <w:pStyle w:val="BodyTextIndent2"/>
        <w:spacing w:line="360" w:lineRule="auto"/>
        <w:ind w:left="0" w:firstLine="0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</w:p>
    <w:p>
      <w:pPr>
        <w:pStyle w:val="BodyTextIndent2"/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>.  Informácia</w:t>
      </w:r>
      <w:r>
        <w:rPr>
          <w:rFonts w:ascii="Times New Roman" w:hAnsi="Times New Roman" w:cs="Times New Roman"/>
          <w:sz w:val="28"/>
        </w:rPr>
        <w:t xml:space="preserve"> – Podnety na novelizáciu právnych predpisov, návrhy, pripomienky, žiadosti občanov. Bola písomne doručená členom ústavnoprávneho výboru. </w:t>
      </w:r>
      <w:r>
        <w:rPr>
          <w:rFonts w:ascii="Times New Roman" w:hAnsi="Times New Roman" w:cs="Times New Roman"/>
          <w:iCs/>
          <w:sz w:val="28"/>
        </w:rPr>
        <w:tab/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>Stručne uviedla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tajomníčka výboru </w:t>
      </w:r>
      <w:r>
        <w:rPr>
          <w:rFonts w:ascii="Times New Roman" w:hAnsi="Times New Roman" w:cs="Times New Roman"/>
          <w:b/>
          <w:bCs/>
          <w:sz w:val="28"/>
        </w:rPr>
        <w:t>M. Šucháňová.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rozprave reagoval 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>. Podnety občanov považuje za nesystematické, neústavné a zmätočné.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navrhol, aby sa návrhmi osobitne výbor nezaoberal na rokovaní. Sú písomne doručené členom výboru, treba ich vziať na vedomie a rokovať o nich len podľa aktuálnej situácie. 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Na  záver predseda výboru oznámil predpokladaný termín ďalšej schôdze výboru  - </w:t>
      </w:r>
      <w:r>
        <w:rPr>
          <w:rFonts w:ascii="Times New Roman" w:hAnsi="Times New Roman" w:cs="Times New Roman"/>
          <w:b/>
          <w:bCs/>
          <w:sz w:val="28"/>
        </w:rPr>
        <w:t xml:space="preserve">8. január 2003 (streda) o 11,30 h. </w:t>
      </w:r>
      <w:r>
        <w:rPr>
          <w:rFonts w:ascii="Times New Roman" w:hAnsi="Times New Roman" w:cs="Times New Roman"/>
          <w:sz w:val="28"/>
        </w:rPr>
        <w:t>Pozvánka bude zaslaná poštou.</w:t>
      </w:r>
    </w:p>
    <w:p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Všetky písomnosti, na ktoré sa zápisnica odvoláva, sú jej súčasťou.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6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9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1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4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6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7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9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1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7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8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0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1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3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5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6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7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9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0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1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2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3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5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7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8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9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0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3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5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9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4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7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9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0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1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3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4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6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7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98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9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0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2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3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4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5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7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8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09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0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1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3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4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6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7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4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7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28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29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2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6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38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9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40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1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5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6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7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48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9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2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3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55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6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7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58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0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2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4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65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6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7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68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1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2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3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4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7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7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8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0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1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2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83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5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86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7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89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0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1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2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194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5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6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7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8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9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0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1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2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4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5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6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08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0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3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4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5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16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7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8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9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0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1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22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6"/>
  </w:num>
  <w:num w:numId="2">
    <w:abstractNumId w:val="221"/>
  </w:num>
  <w:num w:numId="3">
    <w:abstractNumId w:val="152"/>
  </w:num>
  <w:num w:numId="4">
    <w:abstractNumId w:val="178"/>
  </w:num>
  <w:num w:numId="5">
    <w:abstractNumId w:val="202"/>
  </w:num>
  <w:num w:numId="6">
    <w:abstractNumId w:val="121"/>
  </w:num>
  <w:num w:numId="7">
    <w:abstractNumId w:val="183"/>
  </w:num>
  <w:num w:numId="8">
    <w:abstractNumId w:val="208"/>
  </w:num>
  <w:num w:numId="9">
    <w:abstractNumId w:val="31"/>
  </w:num>
  <w:num w:numId="10">
    <w:abstractNumId w:val="141"/>
  </w:num>
  <w:num w:numId="11">
    <w:abstractNumId w:val="83"/>
  </w:num>
  <w:num w:numId="12">
    <w:abstractNumId w:val="165"/>
  </w:num>
  <w:num w:numId="13">
    <w:abstractNumId w:val="156"/>
  </w:num>
  <w:num w:numId="14">
    <w:abstractNumId w:val="74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4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1"/>
  </w:num>
  <w:num w:numId="28">
    <w:abstractNumId w:val="180"/>
  </w:num>
  <w:num w:numId="29">
    <w:abstractNumId w:val="217"/>
  </w:num>
  <w:num w:numId="30">
    <w:abstractNumId w:val="20"/>
  </w:num>
  <w:num w:numId="31">
    <w:abstractNumId w:val="205"/>
  </w:num>
  <w:num w:numId="32">
    <w:abstractNumId w:val="26"/>
  </w:num>
  <w:num w:numId="33">
    <w:abstractNumId w:val="181"/>
  </w:num>
  <w:num w:numId="34">
    <w:abstractNumId w:val="204"/>
  </w:num>
  <w:num w:numId="35">
    <w:abstractNumId w:val="179"/>
  </w:num>
  <w:num w:numId="36">
    <w:abstractNumId w:val="213"/>
  </w:num>
  <w:num w:numId="37">
    <w:abstractNumId w:val="215"/>
  </w:num>
  <w:num w:numId="38">
    <w:abstractNumId w:val="47"/>
  </w:num>
  <w:num w:numId="39">
    <w:abstractNumId w:val="198"/>
  </w:num>
  <w:num w:numId="40">
    <w:abstractNumId w:val="127"/>
  </w:num>
  <w:num w:numId="41">
    <w:abstractNumId w:val="176"/>
  </w:num>
  <w:num w:numId="42">
    <w:abstractNumId w:val="110"/>
  </w:num>
  <w:num w:numId="43">
    <w:abstractNumId w:val="35"/>
  </w:num>
  <w:num w:numId="44">
    <w:abstractNumId w:val="25"/>
  </w:num>
  <w:num w:numId="45">
    <w:abstractNumId w:val="199"/>
  </w:num>
  <w:num w:numId="46">
    <w:abstractNumId w:val="195"/>
  </w:num>
  <w:num w:numId="47">
    <w:abstractNumId w:val="175"/>
  </w:num>
  <w:num w:numId="48">
    <w:abstractNumId w:val="27"/>
  </w:num>
  <w:num w:numId="49">
    <w:abstractNumId w:val="16"/>
  </w:num>
  <w:num w:numId="50">
    <w:abstractNumId w:val="163"/>
  </w:num>
  <w:num w:numId="51">
    <w:abstractNumId w:val="75"/>
  </w:num>
  <w:num w:numId="52">
    <w:abstractNumId w:val="144"/>
  </w:num>
  <w:num w:numId="53">
    <w:abstractNumId w:val="137"/>
  </w:num>
  <w:num w:numId="54">
    <w:abstractNumId w:val="89"/>
  </w:num>
  <w:num w:numId="55">
    <w:abstractNumId w:val="104"/>
  </w:num>
  <w:num w:numId="56">
    <w:abstractNumId w:val="102"/>
  </w:num>
  <w:num w:numId="57">
    <w:abstractNumId w:val="60"/>
  </w:num>
  <w:num w:numId="58">
    <w:abstractNumId w:val="101"/>
  </w:num>
  <w:num w:numId="59">
    <w:abstractNumId w:val="188"/>
  </w:num>
  <w:num w:numId="60">
    <w:abstractNumId w:val="216"/>
  </w:num>
  <w:num w:numId="61">
    <w:abstractNumId w:val="193"/>
  </w:num>
  <w:num w:numId="62">
    <w:abstractNumId w:val="46"/>
  </w:num>
  <w:num w:numId="63">
    <w:abstractNumId w:val="170"/>
  </w:num>
  <w:num w:numId="64">
    <w:abstractNumId w:val="155"/>
  </w:num>
  <w:num w:numId="65">
    <w:abstractNumId w:val="85"/>
  </w:num>
  <w:num w:numId="66">
    <w:abstractNumId w:val="33"/>
  </w:num>
  <w:num w:numId="67">
    <w:abstractNumId w:val="139"/>
  </w:num>
  <w:num w:numId="68">
    <w:abstractNumId w:val="196"/>
  </w:num>
  <w:num w:numId="69">
    <w:abstractNumId w:val="49"/>
  </w:num>
  <w:num w:numId="70">
    <w:abstractNumId w:val="157"/>
  </w:num>
  <w:num w:numId="71">
    <w:abstractNumId w:val="23"/>
  </w:num>
  <w:num w:numId="72">
    <w:abstractNumId w:val="177"/>
  </w:num>
  <w:num w:numId="73">
    <w:abstractNumId w:val="219"/>
  </w:num>
  <w:num w:numId="74">
    <w:abstractNumId w:val="185"/>
  </w:num>
  <w:num w:numId="75">
    <w:abstractNumId w:val="131"/>
  </w:num>
  <w:num w:numId="76">
    <w:abstractNumId w:val="186"/>
  </w:num>
  <w:num w:numId="77">
    <w:abstractNumId w:val="99"/>
  </w:num>
  <w:num w:numId="78">
    <w:abstractNumId w:val="52"/>
  </w:num>
  <w:num w:numId="79">
    <w:abstractNumId w:val="80"/>
  </w:num>
  <w:num w:numId="80">
    <w:abstractNumId w:val="146"/>
  </w:num>
  <w:num w:numId="81">
    <w:abstractNumId w:val="40"/>
  </w:num>
  <w:num w:numId="82">
    <w:abstractNumId w:val="123"/>
  </w:num>
  <w:num w:numId="83">
    <w:abstractNumId w:val="13"/>
  </w:num>
  <w:num w:numId="84">
    <w:abstractNumId w:val="15"/>
  </w:num>
  <w:num w:numId="85">
    <w:abstractNumId w:val="28"/>
  </w:num>
  <w:num w:numId="86">
    <w:abstractNumId w:val="114"/>
  </w:num>
  <w:num w:numId="87">
    <w:abstractNumId w:val="88"/>
  </w:num>
  <w:num w:numId="88">
    <w:abstractNumId w:val="66"/>
  </w:num>
  <w:num w:numId="89">
    <w:abstractNumId w:val="135"/>
  </w:num>
  <w:num w:numId="90">
    <w:abstractNumId w:val="118"/>
  </w:num>
  <w:num w:numId="91">
    <w:abstractNumId w:val="86"/>
  </w:num>
  <w:num w:numId="92">
    <w:abstractNumId w:val="182"/>
  </w:num>
  <w:num w:numId="93">
    <w:abstractNumId w:val="203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97"/>
  </w:num>
  <w:num w:numId="96">
    <w:abstractNumId w:val="103"/>
  </w:num>
  <w:num w:numId="97">
    <w:abstractNumId w:val="218"/>
  </w:num>
  <w:num w:numId="98">
    <w:abstractNumId w:val="138"/>
  </w:num>
  <w:num w:numId="99">
    <w:abstractNumId w:val="109"/>
  </w:num>
  <w:num w:numId="100">
    <w:abstractNumId w:val="140"/>
  </w:num>
  <w:num w:numId="101">
    <w:abstractNumId w:val="145"/>
  </w:num>
  <w:num w:numId="102">
    <w:abstractNumId w:val="128"/>
  </w:num>
  <w:num w:numId="103">
    <w:abstractNumId w:val="106"/>
  </w:num>
  <w:num w:numId="104">
    <w:abstractNumId w:val="190"/>
  </w:num>
  <w:num w:numId="105">
    <w:abstractNumId w:val="116"/>
  </w:num>
  <w:num w:numId="106">
    <w:abstractNumId w:val="174"/>
  </w:num>
  <w:num w:numId="107">
    <w:abstractNumId w:val="19"/>
  </w:num>
  <w:num w:numId="108">
    <w:abstractNumId w:val="22"/>
  </w:num>
  <w:num w:numId="109">
    <w:abstractNumId w:val="191"/>
  </w:num>
  <w:num w:numId="110">
    <w:abstractNumId w:val="50"/>
  </w:num>
  <w:num w:numId="111">
    <w:abstractNumId w:val="112"/>
  </w:num>
  <w:num w:numId="112">
    <w:abstractNumId w:val="214"/>
  </w:num>
  <w:num w:numId="113">
    <w:abstractNumId w:val="96"/>
  </w:num>
  <w:num w:numId="114">
    <w:abstractNumId w:val="63"/>
  </w:num>
  <w:num w:numId="115">
    <w:abstractNumId w:val="171"/>
  </w:num>
  <w:num w:numId="116">
    <w:abstractNumId w:val="220"/>
  </w:num>
  <w:num w:numId="117">
    <w:abstractNumId w:val="45"/>
  </w:num>
  <w:num w:numId="118">
    <w:abstractNumId w:val="197"/>
  </w:num>
  <w:num w:numId="119">
    <w:abstractNumId w:val="57"/>
  </w:num>
  <w:num w:numId="120">
    <w:abstractNumId w:val="90"/>
  </w:num>
  <w:num w:numId="121">
    <w:abstractNumId w:val="91"/>
  </w:num>
  <w:num w:numId="122">
    <w:abstractNumId w:val="81"/>
  </w:num>
  <w:num w:numId="123">
    <w:abstractNumId w:val="173"/>
  </w:num>
  <w:num w:numId="124">
    <w:abstractNumId w:val="78"/>
  </w:num>
  <w:num w:numId="125">
    <w:abstractNumId w:val="38"/>
  </w:num>
  <w:num w:numId="126">
    <w:abstractNumId w:val="161"/>
  </w:num>
  <w:num w:numId="127">
    <w:abstractNumId w:val="24"/>
  </w:num>
  <w:num w:numId="128">
    <w:abstractNumId w:val="100"/>
  </w:num>
  <w:num w:numId="129">
    <w:abstractNumId w:val="113"/>
  </w:num>
  <w:num w:numId="130">
    <w:abstractNumId w:val="162"/>
  </w:num>
  <w:num w:numId="131">
    <w:abstractNumId w:val="12"/>
  </w:num>
  <w:num w:numId="132">
    <w:abstractNumId w:val="150"/>
  </w:num>
  <w:num w:numId="133">
    <w:abstractNumId w:val="184"/>
  </w:num>
  <w:num w:numId="134">
    <w:abstractNumId w:val="93"/>
  </w:num>
  <w:num w:numId="135">
    <w:abstractNumId w:val="134"/>
  </w:num>
  <w:num w:numId="136">
    <w:abstractNumId w:val="41"/>
  </w:num>
  <w:num w:numId="137">
    <w:abstractNumId w:val="115"/>
  </w:num>
  <w:num w:numId="138">
    <w:abstractNumId w:val="44"/>
  </w:num>
  <w:num w:numId="139">
    <w:abstractNumId w:val="43"/>
  </w:num>
  <w:num w:numId="140">
    <w:abstractNumId w:val="68"/>
  </w:num>
  <w:num w:numId="141">
    <w:abstractNumId w:val="189"/>
  </w:num>
  <w:num w:numId="142">
    <w:abstractNumId w:val="209"/>
  </w:num>
  <w:num w:numId="143">
    <w:abstractNumId w:val="168"/>
  </w:num>
  <w:num w:numId="144">
    <w:abstractNumId w:val="84"/>
  </w:num>
  <w:num w:numId="145">
    <w:abstractNumId w:val="36"/>
  </w:num>
  <w:num w:numId="146">
    <w:abstractNumId w:val="73"/>
  </w:num>
  <w:num w:numId="147">
    <w:abstractNumId w:val="166"/>
  </w:num>
  <w:num w:numId="148">
    <w:abstractNumId w:val="107"/>
  </w:num>
  <w:num w:numId="149">
    <w:abstractNumId w:val="64"/>
  </w:num>
  <w:num w:numId="150">
    <w:abstractNumId w:val="59"/>
  </w:num>
  <w:num w:numId="151">
    <w:abstractNumId w:val="151"/>
  </w:num>
  <w:num w:numId="152">
    <w:abstractNumId w:val="132"/>
  </w:num>
  <w:num w:numId="153">
    <w:abstractNumId w:val="200"/>
  </w:num>
  <w:num w:numId="154">
    <w:abstractNumId w:val="18"/>
  </w:num>
  <w:num w:numId="155">
    <w:abstractNumId w:val="172"/>
  </w:num>
  <w:num w:numId="156">
    <w:abstractNumId w:val="29"/>
  </w:num>
  <w:num w:numId="157">
    <w:abstractNumId w:val="143"/>
  </w:num>
  <w:num w:numId="158">
    <w:abstractNumId w:val="82"/>
  </w:num>
  <w:num w:numId="159">
    <w:abstractNumId w:val="194"/>
  </w:num>
  <w:num w:numId="160">
    <w:abstractNumId w:val="124"/>
  </w:num>
  <w:num w:numId="161">
    <w:abstractNumId w:val="129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5"/>
  </w:num>
  <w:num w:numId="167">
    <w:abstractNumId w:val="125"/>
  </w:num>
  <w:num w:numId="168">
    <w:abstractNumId w:val="79"/>
  </w:num>
  <w:num w:numId="169">
    <w:abstractNumId w:val="167"/>
  </w:num>
  <w:num w:numId="170">
    <w:abstractNumId w:val="62"/>
  </w:num>
  <w:num w:numId="171">
    <w:abstractNumId w:val="34"/>
  </w:num>
  <w:num w:numId="172">
    <w:abstractNumId w:val="70"/>
  </w:num>
  <w:num w:numId="173">
    <w:abstractNumId w:val="32"/>
  </w:num>
  <w:num w:numId="174">
    <w:abstractNumId w:val="56"/>
  </w:num>
  <w:num w:numId="175">
    <w:abstractNumId w:val="17"/>
  </w:num>
  <w:num w:numId="176">
    <w:abstractNumId w:val="164"/>
  </w:num>
  <w:num w:numId="177">
    <w:abstractNumId w:val="149"/>
  </w:num>
  <w:num w:numId="178">
    <w:abstractNumId w:val="158"/>
  </w:num>
  <w:num w:numId="179">
    <w:abstractNumId w:val="58"/>
  </w:num>
  <w:num w:numId="180">
    <w:abstractNumId w:val="122"/>
  </w:num>
  <w:num w:numId="181">
    <w:abstractNumId w:val="142"/>
  </w:num>
  <w:num w:numId="182">
    <w:abstractNumId w:val="53"/>
  </w:num>
  <w:num w:numId="183">
    <w:abstractNumId w:val="111"/>
  </w:num>
  <w:num w:numId="184">
    <w:abstractNumId w:val="133"/>
  </w:num>
  <w:num w:numId="185">
    <w:abstractNumId w:val="51"/>
  </w:num>
  <w:num w:numId="186">
    <w:abstractNumId w:val="120"/>
  </w:num>
  <w:num w:numId="187">
    <w:abstractNumId w:val="108"/>
  </w:num>
  <w:num w:numId="188">
    <w:abstractNumId w:val="65"/>
  </w:num>
  <w:num w:numId="189">
    <w:abstractNumId w:val="42"/>
  </w:num>
  <w:num w:numId="190">
    <w:abstractNumId w:val="192"/>
  </w:num>
  <w:num w:numId="191">
    <w:abstractNumId w:val="210"/>
  </w:num>
  <w:num w:numId="192">
    <w:abstractNumId w:val="160"/>
  </w:num>
  <w:num w:numId="193">
    <w:abstractNumId w:val="76"/>
  </w:num>
  <w:num w:numId="194">
    <w:abstractNumId w:val="169"/>
  </w:num>
  <w:num w:numId="195">
    <w:abstractNumId w:val="21"/>
  </w:num>
  <w:num w:numId="196">
    <w:abstractNumId w:val="223"/>
  </w:num>
  <w:num w:numId="197">
    <w:abstractNumId w:val="207"/>
  </w:num>
  <w:num w:numId="198">
    <w:abstractNumId w:val="153"/>
  </w:num>
  <w:num w:numId="199">
    <w:abstractNumId w:val="117"/>
  </w:num>
  <w:num w:numId="200">
    <w:abstractNumId w:val="159"/>
  </w:num>
  <w:num w:numId="201">
    <w:abstractNumId w:val="206"/>
  </w:num>
  <w:num w:numId="202">
    <w:abstractNumId w:val="39"/>
  </w:num>
  <w:num w:numId="203">
    <w:abstractNumId w:val="211"/>
  </w:num>
  <w:num w:numId="204">
    <w:abstractNumId w:val="61"/>
  </w:num>
  <w:num w:numId="205">
    <w:abstractNumId w:val="92"/>
  </w:num>
  <w:num w:numId="206">
    <w:abstractNumId w:val="14"/>
  </w:num>
  <w:num w:numId="207">
    <w:abstractNumId w:val="222"/>
  </w:num>
  <w:num w:numId="208">
    <w:abstractNumId w:val="94"/>
  </w:num>
  <w:num w:numId="209">
    <w:abstractNumId w:val="72"/>
  </w:num>
  <w:num w:numId="210">
    <w:abstractNumId w:val="48"/>
  </w:num>
  <w:num w:numId="211">
    <w:abstractNumId w:val="95"/>
  </w:num>
  <w:num w:numId="212">
    <w:abstractNumId w:val="119"/>
  </w:num>
  <w:num w:numId="213">
    <w:abstractNumId w:val="37"/>
  </w:num>
  <w:num w:numId="214">
    <w:abstractNumId w:val="71"/>
  </w:num>
  <w:num w:numId="215">
    <w:abstractNumId w:val="67"/>
  </w:num>
  <w:num w:numId="216">
    <w:abstractNumId w:val="212"/>
  </w:num>
  <w:num w:numId="217">
    <w:abstractNumId w:val="154"/>
  </w:num>
  <w:num w:numId="218">
    <w:abstractNumId w:val="77"/>
  </w:num>
  <w:num w:numId="219">
    <w:abstractNumId w:val="87"/>
  </w:num>
  <w:num w:numId="220">
    <w:abstractNumId w:val="187"/>
  </w:num>
  <w:num w:numId="221">
    <w:abstractNumId w:val="30"/>
  </w:num>
  <w:num w:numId="222">
    <w:abstractNumId w:val="148"/>
  </w:num>
  <w:num w:numId="223">
    <w:abstractNumId w:val="69"/>
  </w:num>
  <w:num w:numId="224">
    <w:abstractNumId w:val="55"/>
  </w:num>
  <w:num w:numId="225">
    <w:abstractNumId w:val="98"/>
  </w:num>
  <w:num w:numId="226">
    <w:abstractNumId w:val="126"/>
  </w:num>
  <w:num w:numId="227">
    <w:abstractNumId w:val="54"/>
  </w:num>
  <w:num w:numId="228">
    <w:abstractNumId w:val="1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1</Pages>
  <Words>850</Words>
  <Characters>4845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10. schôdza</dc:title>
  <dc:subject>schôdza 10, 12. december 2002</dc:subject>
  <dc:creator>Viera Ebringerová</dc:creator>
  <cp:lastModifiedBy>Viera Ebringerová</cp:lastModifiedBy>
  <cp:revision>10</cp:revision>
  <cp:lastPrinted>2002-12-12T15:00:00Z</cp:lastPrinted>
  <dcterms:created xsi:type="dcterms:W3CDTF">2002-12-12T13:43:00Z</dcterms:created>
  <dcterms:modified xsi:type="dcterms:W3CDTF">2002-12-17T08:26:00Z</dcterms:modified>
  <cp:category>zápisnica</cp:category>
</cp:coreProperties>
</file>