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1. (ustanovujúcej) schôdze Ústavnoprávneho výboru Národnej rady Slovenskej republiky  15. októbra 2002 o 20,00 h v budove Národnej rady Slovenskej republiky, Námestie Alexandra Du</w:t>
      </w:r>
      <w:r>
        <w:rPr>
          <w:rFonts w:ascii="Times New Roman" w:hAnsi="Times New Roman" w:cs="Times New Roman"/>
          <w:b/>
          <w:sz w:val="28"/>
        </w:rPr>
        <w:t>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10 prítomní (podľa prezenčnej listiny)</w:t>
      </w:r>
    </w:p>
    <w:p>
      <w:pPr>
        <w:pStyle w:val="BodyText"/>
        <w:spacing w:line="360" w:lineRule="auto"/>
        <w:ind w:left="888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1 ospravedlnený. </w:t>
      </w: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Schôdza zvolaná predsedom výboru</w:t>
      </w:r>
      <w:r>
        <w:rPr>
          <w:rFonts w:ascii="Times New Roman" w:hAnsi="Times New Roman" w:cs="Times New Roman"/>
          <w:b/>
          <w:sz w:val="28"/>
        </w:rPr>
        <w:t xml:space="preserve"> J. Drgon</w:t>
      </w:r>
      <w:r>
        <w:rPr>
          <w:rFonts w:ascii="Times New Roman" w:hAnsi="Times New Roman" w:cs="Times New Roman"/>
          <w:b/>
          <w:sz w:val="28"/>
        </w:rPr>
        <w:t xml:space="preserve">com </w:t>
      </w:r>
      <w:r>
        <w:rPr>
          <w:rFonts w:ascii="Times New Roman" w:hAnsi="Times New Roman" w:cs="Times New Roman"/>
          <w:bCs/>
          <w:sz w:val="28"/>
        </w:rPr>
        <w:t xml:space="preserve">ústne následne po ukončení ustanovujúcej schôdze Národnej rady Slovenskej republiky.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18"/>
        </w:numPr>
        <w:tabs>
          <w:tab w:val="left" w:pos="72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Voľba podpredsedu (podpredsedov) výborov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18"/>
        </w:numPr>
        <w:tabs>
          <w:tab w:val="left" w:pos="72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Voľba overovateľov výboru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18"/>
        </w:numPr>
        <w:tabs>
          <w:tab w:val="left" w:pos="72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Rôzne.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Prvú, ustanovujúcu, schôdzu Ústavnoprávneho výboru Národnej rady Slovenskej </w:t>
      </w:r>
      <w:r>
        <w:rPr>
          <w:rFonts w:ascii="Times New Roman" w:hAnsi="Times New Roman" w:cs="Times New Roman"/>
          <w:sz w:val="28"/>
        </w:rPr>
        <w:t xml:space="preserve">republiky otvoril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, predseda ústavnoprávneho výboru.  </w:t>
      </w:r>
    </w:p>
    <w:p>
      <w:pPr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Na jeho návrh sa poslanci vzájomne predstavili. Na záver predseda predstavil zamestnankyne sekretariátu: </w:t>
      </w:r>
      <w:r>
        <w:rPr>
          <w:rFonts w:ascii="Times New Roman" w:hAnsi="Times New Roman" w:cs="Times New Roman"/>
          <w:b/>
          <w:bCs/>
          <w:sz w:val="28"/>
        </w:rPr>
        <w:t>M. Šuchaňovú,</w:t>
      </w:r>
      <w:r>
        <w:rPr>
          <w:rFonts w:ascii="Times New Roman" w:hAnsi="Times New Roman" w:cs="Times New Roman"/>
          <w:sz w:val="28"/>
        </w:rPr>
        <w:t xml:space="preserve"> tajomníčku výboru a </w:t>
      </w:r>
      <w:r>
        <w:rPr>
          <w:rFonts w:ascii="Times New Roman" w:hAnsi="Times New Roman" w:cs="Times New Roman"/>
          <w:b/>
          <w:bCs/>
          <w:sz w:val="28"/>
        </w:rPr>
        <w:t>V.  Ebringerovú,</w:t>
      </w:r>
      <w:r>
        <w:rPr>
          <w:rFonts w:ascii="Times New Roman" w:hAnsi="Times New Roman" w:cs="Times New Roman"/>
          <w:sz w:val="28"/>
        </w:rPr>
        <w:t xml:space="preserve"> odbornú referentku.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 ďalšom predseda informoval, že program ustanovujúcej schôdze je stanovený v § 48 zákona Národnej rady Slovenskej republiky č. 350/1996 Z. z. o rokovacom poriadku Národnej rady Slovenskej republiky v znení neskorších predpisov. V zmysle cit. ustanovenia sa na tejto </w:t>
      </w:r>
      <w:r>
        <w:rPr>
          <w:rFonts w:ascii="Times New Roman" w:hAnsi="Times New Roman" w:cs="Times New Roman"/>
          <w:sz w:val="28"/>
        </w:rPr>
        <w:t xml:space="preserve">schôdzi volí (volia) </w:t>
      </w:r>
      <w:r>
        <w:rPr>
          <w:rFonts w:ascii="Times New Roman" w:hAnsi="Times New Roman" w:cs="Times New Roman"/>
          <w:b/>
          <w:bCs/>
          <w:sz w:val="28"/>
        </w:rPr>
        <w:t>podpredseda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(podpredsedovia) výboru a dvaja overovatelia.</w:t>
      </w:r>
      <w:r>
        <w:rPr>
          <w:rFonts w:ascii="Times New Roman" w:hAnsi="Times New Roman" w:cs="Times New Roman"/>
          <w:sz w:val="28"/>
        </w:rPr>
        <w:t xml:space="preserve"> Uviedol tiež, že v zmysle politických dohovorov by mal výbor </w:t>
      </w:r>
      <w:r>
        <w:rPr>
          <w:rFonts w:ascii="Times New Roman" w:hAnsi="Times New Roman" w:cs="Times New Roman"/>
          <w:b/>
          <w:bCs/>
          <w:sz w:val="28"/>
        </w:rPr>
        <w:t>zvoliť dvoch podpredsedov,</w:t>
      </w:r>
      <w:r>
        <w:rPr>
          <w:rFonts w:ascii="Times New Roman" w:hAnsi="Times New Roman" w:cs="Times New Roman"/>
          <w:sz w:val="28"/>
        </w:rPr>
        <w:t xml:space="preserve"> jedného za koalíciu, druhého za opozíciu. Vyzval prítomných poslancov aby predložili návr</w:t>
      </w:r>
      <w:r>
        <w:rPr>
          <w:rFonts w:ascii="Times New Roman" w:hAnsi="Times New Roman" w:cs="Times New Roman"/>
          <w:sz w:val="28"/>
        </w:rPr>
        <w:t xml:space="preserve">h kandidátov.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Za koalíciu vystúpil 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a navrhol, aby funkciu podpredsedu vykonával poslanec </w:t>
      </w:r>
      <w:r>
        <w:rPr>
          <w:rFonts w:ascii="Times New Roman" w:hAnsi="Times New Roman" w:cs="Times New Roman"/>
          <w:b/>
          <w:bCs/>
          <w:sz w:val="28"/>
        </w:rPr>
        <w:t>P. Miššík.</w:t>
      </w:r>
      <w:r>
        <w:rPr>
          <w:rFonts w:ascii="Times New Roman" w:hAnsi="Times New Roman" w:cs="Times New Roman"/>
          <w:sz w:val="28"/>
        </w:rPr>
        <w:t xml:space="preserve"> Hlasovanie </w:t>
      </w:r>
      <w:r>
        <w:rPr>
          <w:rFonts w:ascii="Times New Roman" w:hAnsi="Times New Roman" w:cs="Times New Roman"/>
          <w:b/>
          <w:bCs/>
          <w:sz w:val="28"/>
        </w:rPr>
        <w:t>9/0/1</w:t>
      </w:r>
      <w:r>
        <w:rPr>
          <w:rFonts w:ascii="Times New Roman" w:hAnsi="Times New Roman" w:cs="Times New Roman"/>
          <w:sz w:val="28"/>
        </w:rPr>
        <w:t xml:space="preserve"> (uznesenie č. 1).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z HZDS navrhol opozičného kandidáta </w:t>
      </w:r>
      <w:r>
        <w:rPr>
          <w:rFonts w:ascii="Times New Roman" w:hAnsi="Times New Roman" w:cs="Times New Roman"/>
          <w:b/>
          <w:bCs/>
          <w:sz w:val="28"/>
        </w:rPr>
        <w:t>M. Abelovského.</w:t>
      </w:r>
      <w:r>
        <w:rPr>
          <w:rFonts w:ascii="Times New Roman" w:hAnsi="Times New Roman" w:cs="Times New Roman"/>
          <w:sz w:val="28"/>
        </w:rPr>
        <w:t xml:space="preserve"> Hlasovanie </w:t>
      </w:r>
      <w:r>
        <w:rPr>
          <w:rFonts w:ascii="Times New Roman" w:hAnsi="Times New Roman" w:cs="Times New Roman"/>
          <w:b/>
          <w:bCs/>
          <w:sz w:val="28"/>
        </w:rPr>
        <w:t>9/0/1</w:t>
      </w:r>
      <w:r>
        <w:rPr>
          <w:rFonts w:ascii="Times New Roman" w:hAnsi="Times New Roman" w:cs="Times New Roman"/>
          <w:sz w:val="28"/>
        </w:rPr>
        <w:t xml:space="preserve"> (uznesenie č. 2).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Predseda výboru následne požiadal poslancov o predloženie kandidátov na funkciu overovateľa.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 rozprave vystúpil </w:t>
      </w:r>
      <w:r>
        <w:rPr>
          <w:rFonts w:ascii="Times New Roman" w:hAnsi="Times New Roman" w:cs="Times New Roman"/>
          <w:b/>
          <w:bCs/>
          <w:sz w:val="28"/>
        </w:rPr>
        <w:t>S. Husár,</w:t>
      </w:r>
      <w:r>
        <w:rPr>
          <w:rFonts w:ascii="Times New Roman" w:hAnsi="Times New Roman" w:cs="Times New Roman"/>
          <w:sz w:val="28"/>
        </w:rPr>
        <w:t xml:space="preserve"> ktorý odporučil, aby overovateľmi boli poslanci z Bratislavy (možnosť operatívnejších kontaktov so sekretariátom výboru).</w:t>
      </w:r>
      <w:r>
        <w:rPr>
          <w:rFonts w:ascii="Times New Roman" w:hAnsi="Times New Roman" w:cs="Times New Roman"/>
          <w:sz w:val="28"/>
        </w:rPr>
        <w:t xml:space="preserve"> Výsledkom krátkej diskusie boli nakoniec kandidáti: </w:t>
      </w:r>
      <w:r>
        <w:rPr>
          <w:rFonts w:ascii="Times New Roman" w:hAnsi="Times New Roman" w:cs="Times New Roman"/>
          <w:b/>
          <w:bCs/>
          <w:sz w:val="28"/>
        </w:rPr>
        <w:t>G. Gál a R. Madej.</w:t>
      </w:r>
      <w:r>
        <w:rPr>
          <w:rFonts w:ascii="Times New Roman" w:hAnsi="Times New Roman" w:cs="Times New Roman"/>
          <w:sz w:val="28"/>
        </w:rPr>
        <w:t xml:space="preserve"> Uznesením č. 3 boli obaja do funkcie overovateľa  zvolení pomerom hlasov </w:t>
      </w:r>
      <w:r>
        <w:rPr>
          <w:rFonts w:ascii="Times New Roman" w:hAnsi="Times New Roman" w:cs="Times New Roman"/>
          <w:b/>
          <w:bCs/>
          <w:sz w:val="28"/>
        </w:rPr>
        <w:t xml:space="preserve">8/0/2.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 rôznom 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informoval prítomných o materiáli </w:t>
      </w:r>
      <w:r>
        <w:rPr>
          <w:rFonts w:ascii="Times New Roman" w:hAnsi="Times New Roman" w:cs="Times New Roman"/>
          <w:b/>
          <w:bCs/>
          <w:sz w:val="28"/>
        </w:rPr>
        <w:t>Pravidlá rokovania Ústavnoprávn</w:t>
      </w:r>
      <w:r>
        <w:rPr>
          <w:rFonts w:ascii="Times New Roman" w:hAnsi="Times New Roman" w:cs="Times New Roman"/>
          <w:b/>
          <w:bCs/>
          <w:sz w:val="28"/>
        </w:rPr>
        <w:t>eho výboru Národnej rady Slovenskej republiky,</w:t>
      </w:r>
      <w:r>
        <w:rPr>
          <w:rFonts w:ascii="Times New Roman" w:hAnsi="Times New Roman" w:cs="Times New Roman"/>
          <w:sz w:val="28"/>
        </w:rPr>
        <w:t xml:space="preserve"> ktoré sú metodickou pomôckou pri rokovaní výboru.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Požiadal, aby sa na najbližšej schôdzi  k materiálu vyjadrili.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Dal tiež do pozornosti pripravený dotazník slúžiaci pre komunikáciu sekretariátu s členmi vý</w:t>
      </w:r>
      <w:r>
        <w:rPr>
          <w:rFonts w:ascii="Times New Roman" w:hAnsi="Times New Roman" w:cs="Times New Roman"/>
          <w:sz w:val="28"/>
        </w:rPr>
        <w:t xml:space="preserve">boru.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O nasledujúcej schôdzi budú poslanci písomne informovaní. Predpokladá, že sa uskutoční najskôr o dva týždne, po predložení programového vyhlásenia, uviedol v závere. 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6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9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3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5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6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8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0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6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7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9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0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2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4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7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8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9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0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2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4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5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6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69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0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2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5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77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9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0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1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2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3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4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85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6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8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9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1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2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93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4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5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6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7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98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9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2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03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21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22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4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28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30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1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32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3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37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8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9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40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3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4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46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7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8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49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51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3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55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56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7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8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59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2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3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4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5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66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67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8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9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1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2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3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74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6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77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8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179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0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1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2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184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5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6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7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8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9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0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1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2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4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5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6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98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0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03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4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5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06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7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8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9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0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1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12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8"/>
  </w:num>
  <w:num w:numId="2">
    <w:abstractNumId w:val="211"/>
  </w:num>
  <w:num w:numId="3">
    <w:abstractNumId w:val="143"/>
  </w:num>
  <w:num w:numId="4">
    <w:abstractNumId w:val="169"/>
  </w:num>
  <w:num w:numId="5">
    <w:abstractNumId w:val="192"/>
  </w:num>
  <w:num w:numId="6">
    <w:abstractNumId w:val="115"/>
  </w:num>
  <w:num w:numId="7">
    <w:abstractNumId w:val="174"/>
  </w:num>
  <w:num w:numId="8">
    <w:abstractNumId w:val="198"/>
  </w:num>
  <w:num w:numId="9">
    <w:abstractNumId w:val="30"/>
  </w:num>
  <w:num w:numId="10">
    <w:abstractNumId w:val="133"/>
  </w:num>
  <w:num w:numId="11">
    <w:abstractNumId w:val="79"/>
  </w:num>
  <w:num w:numId="12">
    <w:abstractNumId w:val="156"/>
  </w:num>
  <w:num w:numId="13">
    <w:abstractNumId w:val="147"/>
  </w:num>
  <w:num w:numId="14">
    <w:abstractNumId w:val="70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3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91"/>
  </w:num>
  <w:num w:numId="28">
    <w:abstractNumId w:val="171"/>
  </w:num>
  <w:num w:numId="29">
    <w:abstractNumId w:val="207"/>
  </w:num>
  <w:num w:numId="30">
    <w:abstractNumId w:val="20"/>
  </w:num>
  <w:num w:numId="31">
    <w:abstractNumId w:val="195"/>
  </w:num>
  <w:num w:numId="32">
    <w:abstractNumId w:val="26"/>
  </w:num>
  <w:num w:numId="33">
    <w:abstractNumId w:val="172"/>
  </w:num>
  <w:num w:numId="34">
    <w:abstractNumId w:val="194"/>
  </w:num>
  <w:num w:numId="35">
    <w:abstractNumId w:val="170"/>
  </w:num>
  <w:num w:numId="36">
    <w:abstractNumId w:val="203"/>
  </w:num>
  <w:num w:numId="37">
    <w:abstractNumId w:val="205"/>
  </w:num>
  <w:num w:numId="38">
    <w:abstractNumId w:val="46"/>
  </w:num>
  <w:num w:numId="39">
    <w:abstractNumId w:val="188"/>
  </w:num>
  <w:num w:numId="40">
    <w:abstractNumId w:val="120"/>
  </w:num>
  <w:num w:numId="41">
    <w:abstractNumId w:val="167"/>
  </w:num>
  <w:num w:numId="42">
    <w:abstractNumId w:val="104"/>
  </w:num>
  <w:num w:numId="43">
    <w:abstractNumId w:val="34"/>
  </w:num>
  <w:num w:numId="44">
    <w:abstractNumId w:val="25"/>
  </w:num>
  <w:num w:numId="45">
    <w:abstractNumId w:val="189"/>
  </w:num>
  <w:num w:numId="46">
    <w:abstractNumId w:val="185"/>
  </w:num>
  <w:num w:numId="47">
    <w:abstractNumId w:val="166"/>
  </w:num>
  <w:num w:numId="48">
    <w:abstractNumId w:val="27"/>
  </w:num>
  <w:num w:numId="49">
    <w:abstractNumId w:val="16"/>
  </w:num>
  <w:num w:numId="50">
    <w:abstractNumId w:val="154"/>
  </w:num>
  <w:num w:numId="51">
    <w:abstractNumId w:val="71"/>
  </w:num>
  <w:num w:numId="52">
    <w:abstractNumId w:val="136"/>
  </w:num>
  <w:num w:numId="53">
    <w:abstractNumId w:val="129"/>
  </w:num>
  <w:num w:numId="54">
    <w:abstractNumId w:val="84"/>
  </w:num>
  <w:num w:numId="55">
    <w:abstractNumId w:val="98"/>
  </w:num>
  <w:num w:numId="56">
    <w:abstractNumId w:val="96"/>
  </w:num>
  <w:num w:numId="57">
    <w:abstractNumId w:val="57"/>
  </w:num>
  <w:num w:numId="58">
    <w:abstractNumId w:val="95"/>
  </w:num>
  <w:num w:numId="59">
    <w:abstractNumId w:val="178"/>
  </w:num>
  <w:num w:numId="60">
    <w:abstractNumId w:val="206"/>
  </w:num>
  <w:num w:numId="61">
    <w:abstractNumId w:val="183"/>
  </w:num>
  <w:num w:numId="62">
    <w:abstractNumId w:val="45"/>
  </w:num>
  <w:num w:numId="63">
    <w:abstractNumId w:val="161"/>
  </w:num>
  <w:num w:numId="64">
    <w:abstractNumId w:val="146"/>
  </w:num>
  <w:num w:numId="65">
    <w:abstractNumId w:val="81"/>
  </w:num>
  <w:num w:numId="66">
    <w:abstractNumId w:val="32"/>
  </w:num>
  <w:num w:numId="67">
    <w:abstractNumId w:val="131"/>
  </w:num>
  <w:num w:numId="68">
    <w:abstractNumId w:val="186"/>
  </w:num>
  <w:num w:numId="69">
    <w:abstractNumId w:val="48"/>
  </w:num>
  <w:num w:numId="70">
    <w:abstractNumId w:val="148"/>
  </w:num>
  <w:num w:numId="71">
    <w:abstractNumId w:val="23"/>
  </w:num>
  <w:num w:numId="72">
    <w:abstractNumId w:val="168"/>
  </w:num>
  <w:num w:numId="73">
    <w:abstractNumId w:val="209"/>
  </w:num>
  <w:num w:numId="74">
    <w:abstractNumId w:val="176"/>
  </w:num>
  <w:num w:numId="75">
    <w:abstractNumId w:val="123"/>
  </w:num>
  <w:num w:numId="76">
    <w:abstractNumId w:val="177"/>
  </w:num>
  <w:num w:numId="77">
    <w:abstractNumId w:val="93"/>
  </w:num>
  <w:num w:numId="78">
    <w:abstractNumId w:val="51"/>
  </w:num>
  <w:num w:numId="79">
    <w:abstractNumId w:val="76"/>
  </w:num>
  <w:num w:numId="80">
    <w:abstractNumId w:val="138"/>
  </w:num>
  <w:num w:numId="81">
    <w:abstractNumId w:val="39"/>
  </w:num>
  <w:num w:numId="82">
    <w:abstractNumId w:val="117"/>
  </w:num>
  <w:num w:numId="83">
    <w:abstractNumId w:val="13"/>
  </w:num>
  <w:num w:numId="84">
    <w:abstractNumId w:val="15"/>
  </w:num>
  <w:num w:numId="85">
    <w:abstractNumId w:val="28"/>
  </w:num>
  <w:num w:numId="86">
    <w:abstractNumId w:val="108"/>
  </w:num>
  <w:num w:numId="87">
    <w:abstractNumId w:val="83"/>
  </w:num>
  <w:num w:numId="88">
    <w:abstractNumId w:val="63"/>
  </w:num>
  <w:num w:numId="89">
    <w:abstractNumId w:val="127"/>
  </w:num>
  <w:num w:numId="90">
    <w:abstractNumId w:val="112"/>
  </w:num>
  <w:num w:numId="91">
    <w:abstractNumId w:val="82"/>
  </w:num>
  <w:num w:numId="92">
    <w:abstractNumId w:val="173"/>
  </w:num>
  <w:num w:numId="93">
    <w:abstractNumId w:val="193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92"/>
  </w:num>
  <w:num w:numId="96">
    <w:abstractNumId w:val="97"/>
  </w:num>
  <w:num w:numId="97">
    <w:abstractNumId w:val="208"/>
  </w:num>
  <w:num w:numId="98">
    <w:abstractNumId w:val="130"/>
  </w:num>
  <w:num w:numId="99">
    <w:abstractNumId w:val="103"/>
  </w:num>
  <w:num w:numId="100">
    <w:abstractNumId w:val="132"/>
  </w:num>
  <w:num w:numId="101">
    <w:abstractNumId w:val="137"/>
  </w:num>
  <w:num w:numId="102">
    <w:abstractNumId w:val="121"/>
  </w:num>
  <w:num w:numId="103">
    <w:abstractNumId w:val="100"/>
  </w:num>
  <w:num w:numId="104">
    <w:abstractNumId w:val="180"/>
  </w:num>
  <w:num w:numId="105">
    <w:abstractNumId w:val="110"/>
  </w:num>
  <w:num w:numId="106">
    <w:abstractNumId w:val="165"/>
  </w:num>
  <w:num w:numId="107">
    <w:abstractNumId w:val="19"/>
  </w:num>
  <w:num w:numId="108">
    <w:abstractNumId w:val="22"/>
  </w:num>
  <w:num w:numId="109">
    <w:abstractNumId w:val="181"/>
  </w:num>
  <w:num w:numId="110">
    <w:abstractNumId w:val="49"/>
  </w:num>
  <w:num w:numId="111">
    <w:abstractNumId w:val="106"/>
  </w:num>
  <w:num w:numId="112">
    <w:abstractNumId w:val="204"/>
  </w:num>
  <w:num w:numId="113">
    <w:abstractNumId w:val="91"/>
  </w:num>
  <w:num w:numId="114">
    <w:abstractNumId w:val="60"/>
  </w:num>
  <w:num w:numId="115">
    <w:abstractNumId w:val="162"/>
  </w:num>
  <w:num w:numId="116">
    <w:abstractNumId w:val="210"/>
  </w:num>
  <w:num w:numId="117">
    <w:abstractNumId w:val="44"/>
  </w:num>
  <w:num w:numId="118">
    <w:abstractNumId w:val="187"/>
  </w:num>
  <w:num w:numId="119">
    <w:abstractNumId w:val="54"/>
  </w:num>
  <w:num w:numId="120">
    <w:abstractNumId w:val="85"/>
  </w:num>
  <w:num w:numId="121">
    <w:abstractNumId w:val="86"/>
  </w:num>
  <w:num w:numId="122">
    <w:abstractNumId w:val="77"/>
  </w:num>
  <w:num w:numId="123">
    <w:abstractNumId w:val="164"/>
  </w:num>
  <w:num w:numId="124">
    <w:abstractNumId w:val="74"/>
  </w:num>
  <w:num w:numId="125">
    <w:abstractNumId w:val="37"/>
  </w:num>
  <w:num w:numId="126">
    <w:abstractNumId w:val="152"/>
  </w:num>
  <w:num w:numId="127">
    <w:abstractNumId w:val="24"/>
  </w:num>
  <w:num w:numId="128">
    <w:abstractNumId w:val="94"/>
  </w:num>
  <w:num w:numId="129">
    <w:abstractNumId w:val="107"/>
  </w:num>
  <w:num w:numId="130">
    <w:abstractNumId w:val="153"/>
  </w:num>
  <w:num w:numId="131">
    <w:abstractNumId w:val="12"/>
  </w:num>
  <w:num w:numId="132">
    <w:abstractNumId w:val="141"/>
  </w:num>
  <w:num w:numId="133">
    <w:abstractNumId w:val="175"/>
  </w:num>
  <w:num w:numId="134">
    <w:abstractNumId w:val="88"/>
  </w:num>
  <w:num w:numId="135">
    <w:abstractNumId w:val="126"/>
  </w:num>
  <w:num w:numId="136">
    <w:abstractNumId w:val="40"/>
  </w:num>
  <w:num w:numId="137">
    <w:abstractNumId w:val="109"/>
  </w:num>
  <w:num w:numId="138">
    <w:abstractNumId w:val="43"/>
  </w:num>
  <w:num w:numId="139">
    <w:abstractNumId w:val="42"/>
  </w:num>
  <w:num w:numId="140">
    <w:abstractNumId w:val="65"/>
  </w:num>
  <w:num w:numId="141">
    <w:abstractNumId w:val="179"/>
  </w:num>
  <w:num w:numId="142">
    <w:abstractNumId w:val="199"/>
  </w:num>
  <w:num w:numId="143">
    <w:abstractNumId w:val="159"/>
  </w:num>
  <w:num w:numId="144">
    <w:abstractNumId w:val="80"/>
  </w:num>
  <w:num w:numId="145">
    <w:abstractNumId w:val="35"/>
  </w:num>
  <w:num w:numId="146">
    <w:abstractNumId w:val="69"/>
  </w:num>
  <w:num w:numId="147">
    <w:abstractNumId w:val="157"/>
  </w:num>
  <w:num w:numId="148">
    <w:abstractNumId w:val="101"/>
  </w:num>
  <w:num w:numId="149">
    <w:abstractNumId w:val="61"/>
  </w:num>
  <w:num w:numId="150">
    <w:abstractNumId w:val="56"/>
  </w:num>
  <w:num w:numId="151">
    <w:abstractNumId w:val="142"/>
  </w:num>
  <w:num w:numId="152">
    <w:abstractNumId w:val="124"/>
  </w:num>
  <w:num w:numId="153">
    <w:abstractNumId w:val="190"/>
  </w:num>
  <w:num w:numId="154">
    <w:abstractNumId w:val="18"/>
  </w:num>
  <w:num w:numId="155">
    <w:abstractNumId w:val="163"/>
  </w:num>
  <w:num w:numId="156">
    <w:abstractNumId w:val="29"/>
  </w:num>
  <w:num w:numId="157">
    <w:abstractNumId w:val="135"/>
  </w:num>
  <w:num w:numId="158">
    <w:abstractNumId w:val="78"/>
  </w:num>
  <w:num w:numId="159">
    <w:abstractNumId w:val="184"/>
  </w:num>
  <w:num w:numId="160">
    <w:abstractNumId w:val="118"/>
  </w:num>
  <w:num w:numId="161">
    <w:abstractNumId w:val="122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99"/>
  </w:num>
  <w:num w:numId="167">
    <w:abstractNumId w:val="119"/>
  </w:num>
  <w:num w:numId="168">
    <w:abstractNumId w:val="75"/>
  </w:num>
  <w:num w:numId="169">
    <w:abstractNumId w:val="158"/>
  </w:num>
  <w:num w:numId="170">
    <w:abstractNumId w:val="59"/>
  </w:num>
  <w:num w:numId="171">
    <w:abstractNumId w:val="33"/>
  </w:num>
  <w:num w:numId="172">
    <w:abstractNumId w:val="66"/>
  </w:num>
  <w:num w:numId="173">
    <w:abstractNumId w:val="31"/>
  </w:num>
  <w:num w:numId="174">
    <w:abstractNumId w:val="53"/>
  </w:num>
  <w:num w:numId="175">
    <w:abstractNumId w:val="17"/>
  </w:num>
  <w:num w:numId="176">
    <w:abstractNumId w:val="155"/>
  </w:num>
  <w:num w:numId="177">
    <w:abstractNumId w:val="140"/>
  </w:num>
  <w:num w:numId="178">
    <w:abstractNumId w:val="149"/>
  </w:num>
  <w:num w:numId="179">
    <w:abstractNumId w:val="55"/>
  </w:num>
  <w:num w:numId="180">
    <w:abstractNumId w:val="116"/>
  </w:num>
  <w:num w:numId="181">
    <w:abstractNumId w:val="134"/>
  </w:num>
  <w:num w:numId="182">
    <w:abstractNumId w:val="52"/>
  </w:num>
  <w:num w:numId="183">
    <w:abstractNumId w:val="105"/>
  </w:num>
  <w:num w:numId="184">
    <w:abstractNumId w:val="125"/>
  </w:num>
  <w:num w:numId="185">
    <w:abstractNumId w:val="50"/>
  </w:num>
  <w:num w:numId="186">
    <w:abstractNumId w:val="114"/>
  </w:num>
  <w:num w:numId="187">
    <w:abstractNumId w:val="102"/>
  </w:num>
  <w:num w:numId="188">
    <w:abstractNumId w:val="62"/>
  </w:num>
  <w:num w:numId="189">
    <w:abstractNumId w:val="41"/>
  </w:num>
  <w:num w:numId="190">
    <w:abstractNumId w:val="182"/>
  </w:num>
  <w:num w:numId="191">
    <w:abstractNumId w:val="200"/>
  </w:num>
  <w:num w:numId="192">
    <w:abstractNumId w:val="151"/>
  </w:num>
  <w:num w:numId="193">
    <w:abstractNumId w:val="72"/>
  </w:num>
  <w:num w:numId="194">
    <w:abstractNumId w:val="160"/>
  </w:num>
  <w:num w:numId="195">
    <w:abstractNumId w:val="21"/>
  </w:num>
  <w:num w:numId="196">
    <w:abstractNumId w:val="213"/>
  </w:num>
  <w:num w:numId="197">
    <w:abstractNumId w:val="197"/>
  </w:num>
  <w:num w:numId="198">
    <w:abstractNumId w:val="144"/>
  </w:num>
  <w:num w:numId="199">
    <w:abstractNumId w:val="111"/>
  </w:num>
  <w:num w:numId="200">
    <w:abstractNumId w:val="150"/>
  </w:num>
  <w:num w:numId="201">
    <w:abstractNumId w:val="196"/>
  </w:num>
  <w:num w:numId="202">
    <w:abstractNumId w:val="38"/>
  </w:num>
  <w:num w:numId="203">
    <w:abstractNumId w:val="201"/>
  </w:num>
  <w:num w:numId="204">
    <w:abstractNumId w:val="58"/>
  </w:num>
  <w:num w:numId="205">
    <w:abstractNumId w:val="87"/>
  </w:num>
  <w:num w:numId="206">
    <w:abstractNumId w:val="14"/>
  </w:num>
  <w:num w:numId="207">
    <w:abstractNumId w:val="212"/>
  </w:num>
  <w:num w:numId="208">
    <w:abstractNumId w:val="89"/>
  </w:num>
  <w:num w:numId="209">
    <w:abstractNumId w:val="68"/>
  </w:num>
  <w:num w:numId="210">
    <w:abstractNumId w:val="47"/>
  </w:num>
  <w:num w:numId="211">
    <w:abstractNumId w:val="90"/>
  </w:num>
  <w:num w:numId="212">
    <w:abstractNumId w:val="113"/>
  </w:num>
  <w:num w:numId="213">
    <w:abstractNumId w:val="36"/>
  </w:num>
  <w:num w:numId="214">
    <w:abstractNumId w:val="67"/>
  </w:num>
  <w:num w:numId="215">
    <w:abstractNumId w:val="64"/>
  </w:num>
  <w:num w:numId="216">
    <w:abstractNumId w:val="202"/>
  </w:num>
  <w:num w:numId="217">
    <w:abstractNumId w:val="145"/>
  </w:num>
  <w:num w:numId="218">
    <w:abstractNumId w:val="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1344</TotalTime>
  <Pages>1</Pages>
  <Words>415</Words>
  <Characters>2366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ÚPV 1</dc:title>
  <dc:subject>schôdza 1, 15. október 2002</dc:subject>
  <dc:creator>Viera Ebringerová</dc:creator>
  <cp:lastModifiedBy>Viera Ebringerová</cp:lastModifiedBy>
  <cp:revision>275</cp:revision>
  <cp:lastPrinted>2002-10-16T13:01:00Z</cp:lastPrinted>
  <dcterms:created xsi:type="dcterms:W3CDTF">2001-11-14T06:59:00Z</dcterms:created>
  <dcterms:modified xsi:type="dcterms:W3CDTF">2002-10-16T13:02:00Z</dcterms:modified>
  <cp:category>zápisnica</cp:category>
</cp:coreProperties>
</file>