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</w:pPr>
      <w:r>
        <w:t>Národná rada Slovenskej republiky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298/2005</w:t>
      </w:r>
    </w:p>
    <w:p>
      <w:pPr>
        <w:rPr>
          <w:rFonts w:ascii="Times New Roman" w:hAnsi="Times New Roman" w:cs="Times New Roman"/>
          <w:u w:val="single"/>
        </w:rPr>
      </w:pPr>
    </w:p>
    <w:p>
      <w:pPr>
        <w:rPr>
          <w:rFonts w:ascii="Times New Roman" w:hAnsi="Times New Roman" w:cs="Times New Roman"/>
          <w:u w:val="single"/>
        </w:rPr>
      </w:pPr>
    </w:p>
    <w:p>
      <w:pPr>
        <w:rPr>
          <w:rFonts w:ascii="Times New Roman" w:hAnsi="Times New Roman" w:cs="Times New Roman"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1044a</w:t>
      </w:r>
    </w:p>
    <w:p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/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 výsledku prerokovani</w:t>
      </w:r>
      <w:r>
        <w:rPr>
          <w:rFonts w:ascii="Times New Roman" w:hAnsi="Times New Roman" w:cs="Times New Roman"/>
        </w:rPr>
        <w:t>a vládneho návrhu zákona</w:t>
      </w:r>
      <w:r>
        <w:t xml:space="preserve">      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rPr>
          <w:rFonts w:ascii="Times New Roman" w:hAnsi="Times New Roman" w:cs="Times New Roman"/>
        </w:rPr>
        <w:t xml:space="preserve"> v druhom čítaní</w:t>
      </w:r>
    </w:p>
    <w:p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ako gestorský výbor (ďalej len „gestorský výbor“) k vládnemu návrhu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rPr>
          <w:rFonts w:ascii="Times New Roman" w:hAnsi="Times New Roman" w:cs="Times New Roman"/>
        </w:rPr>
        <w:t xml:space="preserve"> v druhom čítaní v súlade s § 79 zákona NR SR č. 350/1996 Z. z. o rokovacom poriadku Národnej rady Slovenskej republiky (ďalej len „rokovací poriadok“) podáva Národnej rade Slovenskej republiky spoločnú správu výborov Národnej rady Slovenskej republiky.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1512  z 15. marca 2005 pridelila vl</w:t>
      </w:r>
      <w:r>
        <w:rPr>
          <w:rFonts w:ascii="Times New Roman" w:hAnsi="Times New Roman" w:cs="Times New Roman"/>
        </w:rPr>
        <w:t>ádny 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rPr>
          <w:rFonts w:ascii="Times New Roman" w:hAnsi="Times New Roman" w:cs="Times New Roman"/>
        </w:rPr>
        <w:t xml:space="preserve"> na prerokovanie v druhom čítaní vo výboroch do 4. mája 2005  a v gestorskom výbore   do 6. mája  2005:</w:t>
      </w:r>
    </w:p>
    <w:p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</w:t>
      </w:r>
      <w:r>
        <w:rPr>
          <w:rFonts w:ascii="Times New Roman" w:hAnsi="Times New Roman" w:cs="Times New Roman"/>
        </w:rPr>
        <w:t>árodnej rady Slovenskej republiky</w:t>
      </w: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 menu</w:t>
      </w: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pôdohospodárstvo. </w:t>
      </w:r>
    </w:p>
    <w:p>
      <w:pPr>
        <w:ind w:firstLine="540"/>
        <w:rPr>
          <w:rFonts w:ascii="Times New Roman" w:hAnsi="Times New Roman" w:cs="Times New Roman"/>
        </w:rPr>
      </w:pPr>
    </w:p>
    <w:p>
      <w:pPr>
        <w:ind w:firstLine="540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určila Výbor Národnej rady Slovenskej republiky pre hospodárstvo, privatizáciu a podnikanie. </w:t>
      </w:r>
    </w:p>
    <w:p>
      <w:pPr>
        <w:ind w:firstLine="567"/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výbory Národnej rady Slovenskej republiky návrh zákona neprerokovali. </w:t>
      </w:r>
    </w:p>
    <w:p>
      <w:pPr>
        <w:ind w:firstLine="567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>
      <w:pPr>
        <w:ind w:firstLine="567"/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</w:pPr>
      <w:r>
        <w:rPr>
          <w:rFonts w:ascii="Times New Roman" w:hAnsi="Times New Roman" w:cs="Times New Roman"/>
        </w:rPr>
        <w:t>Vládny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Ústavnoprávny výbor Národnej rady Slovenskej republiky prerokoval návrh zákona 26. apríla  2005 a uznesením č. 782 odporučil Národnej rade Slovenskej republiky návrh zákona schváliť.</w:t>
      </w:r>
    </w:p>
    <w:p>
      <w:pPr>
        <w:ind w:firstLine="540"/>
        <w:rPr>
          <w:rFonts w:ascii="Times New Roman" w:hAnsi="Times New Roman" w:cs="Times New Roman"/>
        </w:rPr>
      </w:pPr>
    </w:p>
    <w:p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 menu prerokoval návrh zákona 29. apríla  2005 a uznesením č. 583 odporučil Národnej rade Slovenskej republiky návrh zákona schváliť s pozmeňujúcimi a doplňujúcimi návrhmi  uvedenými v prílohe uznesenia.</w:t>
      </w:r>
    </w:p>
    <w:p>
      <w:pPr>
        <w:ind w:firstLine="567"/>
        <w:jc w:val="both"/>
        <w:rPr>
          <w:rFonts w:ascii="Times New Roman" w:hAnsi="Times New Roman" w:cs="Times New Roman"/>
          <w:u w:val="single"/>
        </w:rPr>
      </w:pPr>
    </w:p>
    <w:p>
      <w:pPr>
        <w:pStyle w:val="BodyText"/>
        <w:tabs>
          <w:tab w:val="left" w:pos="-1985"/>
        </w:tabs>
      </w:pPr>
      <w:r>
        <w:t xml:space="preserve">         Výbor Národnej rady Slovenskej republiky pre hospodárstvo, privatizáciu a podnikanie  prerokoval návrh zákona 27. apríla  2005 a uznesením č. 539 odporučil Národnej rade Slovenskej republiky návrh zákona schváliť so zmenami a doplnkami  uvedenými v prílohe uznesenia. </w:t>
      </w:r>
    </w:p>
    <w:p>
      <w:pPr>
        <w:tabs>
          <w:tab w:val="left" w:pos="-1985"/>
        </w:tabs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Výbor Národnej rady Slovenskej republiky pre pôdohospodárstvo prerokoval návrh zákona 3. mája 2005 a  uznesením č. 325 odporučil Národnej rade Slovenskej republiky návrh zákona schváliť  s pripomienkami  uvedenými v prílohe uznesenia.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>
      <w:pPr>
        <w:pStyle w:val="StylNorm2"/>
        <w:adjustRightInd w:val="0"/>
        <w:spacing w:before="0"/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>
      <w:pPr>
        <w:rPr>
          <w:rFonts w:ascii="Times New Roman" w:hAnsi="Times New Roman" w:cs="Times New Roman"/>
          <w:u w:val="single"/>
        </w:rPr>
      </w:pPr>
    </w:p>
    <w:p>
      <w:pPr>
        <w:pStyle w:val="BodyTextIndent2"/>
        <w:numPr>
          <w:ilvl w:val="1"/>
          <w:numId w:val="57"/>
        </w:numPr>
        <w:tabs>
          <w:tab w:val="left" w:pos="-1276"/>
          <w:tab w:val="clear" w:pos="2148"/>
        </w:tabs>
        <w:ind w:left="360"/>
      </w:pPr>
      <w:r>
        <w:t>V § 2 písmeno b) znie: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„b) finančnou službou služba poskytovaná </w:t>
      </w:r>
    </w:p>
    <w:p>
      <w:pPr>
        <w:numPr>
          <w:ilvl w:val="0"/>
          <w:numId w:val="5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poisťovňou, poisťovňou z iného členského štátu, zahraničnou poisťovňou alebo ich pobočkami,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obchodníkom s cennými papiermi, zahraničným obchodníkom s cennými papiermi, pobočkou zahraničného obchodníka s cennými papiermi,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-426"/>
          <w:tab w:val="clear" w:pos="720"/>
        </w:tabs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správcovskou spoločnosťou, zahraničnou správcovskou spoločnosťou, pobočkou zahraničnej správcovskej spoločnosti,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bankou, zahraničnou bankou, pobočkou zahraničnej banky,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doplnkovou dôchodkovou spoločnosťou,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inštitúciou elektronických peňazí, zahraničnou inštitúciou elektronických peňazí, pobočkou zahraničnej inštitúcie elektronických peňazí</w:t>
      </w:r>
      <w:r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58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veriteľom, ktorý poskytuje spotrebiteľský úver v rámci svojho podnikania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>, alebo</w:t>
      </w:r>
    </w:p>
    <w:p>
      <w:pPr>
        <w:numPr>
          <w:ilvl w:val="0"/>
          <w:numId w:val="5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inou osobou s obdobným predmetom činnosti ako majú osoby uvedené v bodoch 1 až 7,“.</w:t>
      </w:r>
    </w:p>
    <w:p>
      <w:pPr>
        <w:pStyle w:val="BodyText2"/>
        <w:spacing w:after="0" w:line="240" w:lineRule="auto"/>
      </w:pPr>
    </w:p>
    <w:p>
      <w:pPr>
        <w:pStyle w:val="BodyText2"/>
        <w:spacing w:after="0" w:line="240" w:lineRule="auto"/>
        <w:ind w:left="360"/>
      </w:pPr>
      <w:r>
        <w:t>Poznámky k odka</w:t>
      </w:r>
      <w:r>
        <w:t>zom pod čiarou 1 až 7 znejú:</w:t>
      </w:r>
    </w:p>
    <w:p>
      <w:pPr>
        <w:pStyle w:val="FootnoteTex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„1) Zákon č. 95/2002 Z. z. o poisťovníctve a o zmene a doplnení niektorých zákonov v znení neskorších predpisov.</w:t>
      </w:r>
    </w:p>
    <w:p>
      <w:pPr>
        <w:pStyle w:val="FootnoteTex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Zákon č. 381/2001 Z. z. o povinnom zmluvnom poistení zodpovednosti za škodu spôsobenú prevádzkou motorového vozidla a o zmene a doplnení niektorých zákonov v znení neskorších predpisov.</w:t>
      </w:r>
    </w:p>
    <w:p>
      <w:pPr>
        <w:pStyle w:val="BodyText2"/>
        <w:spacing w:after="0" w:line="240" w:lineRule="auto"/>
        <w:ind w:left="360"/>
      </w:pPr>
      <w:r>
        <w:t>2) Zákon č. 566/2001 Z. z. o cenných papieroch a investičných službách a o zmene a doplnení niektorých zákonov (zákon o cenných papieroch) v znení neskorších predpisov.</w:t>
      </w:r>
    </w:p>
    <w:p>
      <w:pPr>
        <w:pStyle w:val="BodyText2"/>
        <w:spacing w:after="0" w:line="240" w:lineRule="auto"/>
        <w:ind w:left="360"/>
      </w:pPr>
      <w:r>
        <w:t>3) Zákon č. 594/2003 Z. z. o kolektívnom investovaní a o zmene a doplnení niektorých zákonov v znení neskorších predpisov.</w:t>
      </w:r>
    </w:p>
    <w:p>
      <w:pPr>
        <w:pStyle w:val="BodyText2"/>
        <w:spacing w:after="0" w:line="240" w:lineRule="auto"/>
        <w:ind w:left="360"/>
      </w:pPr>
      <w:r>
        <w:t>4) Zákon č. 483/2001 Z. z. o bankách a o zmene a doplnení niektorých zákonov  v znení neskorších predpisov.</w:t>
      </w:r>
    </w:p>
    <w:p>
      <w:pPr>
        <w:pStyle w:val="BodyText2"/>
        <w:spacing w:after="0" w:line="240" w:lineRule="auto"/>
        <w:ind w:left="360"/>
      </w:pPr>
      <w:r>
        <w:t>5) Zákon č. 650/2004 Z. z. o doplnkovom dôchodkovom sporení a o zmene a doplnení niektorých zákonov.</w:t>
      </w:r>
    </w:p>
    <w:p>
      <w:pPr>
        <w:pStyle w:val="BodyText2"/>
        <w:spacing w:after="0" w:line="240" w:lineRule="auto"/>
        <w:ind w:left="360"/>
      </w:pPr>
      <w:r>
        <w:t>6) Zákon č. 510/2002 Z. z. o platobnom styku a o zmene a doplnení niektorých zákonov v znení neskorších predpisov.</w:t>
      </w:r>
    </w:p>
    <w:p>
      <w:pPr>
        <w:pStyle w:val="BodyText2"/>
        <w:spacing w:after="0" w:line="240" w:lineRule="auto"/>
        <w:ind w:left="360"/>
      </w:pPr>
      <w:r>
        <w:t xml:space="preserve"> 7) § 3 zákona č. 258/2001 Z. z. o spotrebiteľských úveroch a o zmene a doplnení zákona Slovenskej národnej rady č. 71/1986 Zb. o Slovenskej obchodnej inšpekcii v znení neskorších predpisov.“.</w:t>
      </w:r>
    </w:p>
    <w:p>
      <w:pPr>
        <w:pStyle w:val="BodyText2"/>
        <w:spacing w:after="0" w:line="240" w:lineRule="auto"/>
      </w:pPr>
    </w:p>
    <w:p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Úprava vyplynula z akceptácie pripomienky zo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Táto definíc</w:t>
      </w:r>
      <w:r>
        <w:rPr>
          <w:rFonts w:ascii="Times New Roman" w:hAnsi="Times New Roman" w:cs="Times New Roman"/>
          <w:color w:val="000000"/>
          <w:szCs w:val="20"/>
        </w:rPr>
        <w:t>ia finančnej služby by mala zabezpečiť, aby nedošlo k zúženiu rozsahu finančných služieb, na ktoré sa vzťahuje smernica 2002/65.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2"/>
        <w:spacing w:after="0" w:line="240" w:lineRule="auto"/>
      </w:pPr>
    </w:p>
    <w:p>
      <w:pPr>
        <w:pStyle w:val="BodyTextIndent2"/>
        <w:numPr>
          <w:ilvl w:val="1"/>
          <w:numId w:val="57"/>
        </w:numPr>
        <w:tabs>
          <w:tab w:val="left" w:pos="-1418"/>
          <w:tab w:val="left" w:pos="-142"/>
          <w:tab w:val="clear" w:pos="2148"/>
        </w:tabs>
        <w:ind w:left="360"/>
      </w:pPr>
      <w:r>
        <w:t>§ 2 sa dopĺňa písmenami i) a j), ktoré znejú:</w:t>
      </w:r>
    </w:p>
    <w:p>
      <w:pPr>
        <w:pStyle w:val="BodyText2"/>
        <w:spacing w:after="0" w:line="240" w:lineRule="auto"/>
        <w:ind w:left="360"/>
      </w:pPr>
      <w:r>
        <w:t>„i) sprostredkovateľom fyzická osoba alebo právnická osoba, ktorá podľa osobitného zákona</w:t>
      </w:r>
      <w:r>
        <w:rPr>
          <w:vertAlign w:val="superscript"/>
        </w:rPr>
        <w:t>8)</w:t>
      </w:r>
      <w:r>
        <w:t xml:space="preserve"> je oprávnená vykonávať činnosť smerujúcu k tomu, aby záujemca o uzatvorenie zmluvy na diaľku mal príležitosť takú zmluvu uzatvoriť,</w:t>
      </w:r>
    </w:p>
    <w:p>
      <w:pPr>
        <w:pStyle w:val="BodyText2"/>
        <w:spacing w:after="0" w:line="240" w:lineRule="auto"/>
        <w:ind w:left="360"/>
      </w:pPr>
      <w:r>
        <w:t>j) zmluvnou pokutou sankcia alebo iné plnenie spojené s odstúpením od zmluvy na diaľku.“.</w:t>
      </w:r>
    </w:p>
    <w:p>
      <w:pPr>
        <w:pStyle w:val="BodyText2"/>
        <w:spacing w:after="0" w:line="240" w:lineRule="auto"/>
      </w:pPr>
    </w:p>
    <w:p>
      <w:pPr>
        <w:pStyle w:val="BodyText2"/>
        <w:spacing w:after="0" w:line="240" w:lineRule="auto"/>
        <w:ind w:left="360"/>
      </w:pPr>
      <w:r>
        <w:t>Poznámka pod čiarou k odkazu 8 znie:</w:t>
      </w:r>
    </w:p>
    <w:p>
      <w:pPr>
        <w:pStyle w:val="BodyText2"/>
        <w:spacing w:after="0" w:line="240" w:lineRule="auto"/>
        <w:ind w:left="360"/>
      </w:pPr>
      <w:r>
        <w:t>„8) Napríklad § 61 ods. 1 zákona č. 566/2001 Z. z. v znení zákona č. 510/2002 Z. z., § 13 zákona č. 95/2002 Z. z. v znení neskorších predpisov, zákon č. 510/2002 Z. z. v znení neskorších predpisov, zákon č. 594/2003 Z. z. v znení zákona č. 635/2004 Z. z.“.</w:t>
      </w:r>
    </w:p>
    <w:p>
      <w:pPr>
        <w:pStyle w:val="BodyText2"/>
        <w:spacing w:after="0" w:line="240" w:lineRule="auto"/>
      </w:pPr>
    </w:p>
    <w:p>
      <w:pPr>
        <w:pStyle w:val="BodyText2"/>
        <w:spacing w:after="0" w:line="240" w:lineRule="auto"/>
        <w:ind w:left="360"/>
      </w:pPr>
      <w:r>
        <w:t>Doterajšie odkazy pod čiarou sa prečíslujú.</w:t>
      </w:r>
    </w:p>
    <w:p>
      <w:pPr>
        <w:pStyle w:val="BodyText"/>
        <w:jc w:val="left"/>
        <w:rPr>
          <w:u w:val="single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Úprava vyplynula z akceptácie pripomienky zo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Ide o zamedzenie možného obchádzania ustanovenia, nakoľko zmluvná pokuta je len jedným z druhov sankcií, ktoré sa môžu v zmluve dohodnúť. Ide o objasnenia aká osoba sa myslí sprostredkovateľom. Zavádza sa odkaz na právne predpisy, kde je sprostredkovateľ v jednotlivých oblastiach finančného trhu definovaný.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  <w:u w:val="single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2"/>
        <w:spacing w:after="0" w:line="240" w:lineRule="auto"/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pStyle w:val="BodyTextIndent2"/>
        <w:numPr>
          <w:ilvl w:val="1"/>
          <w:numId w:val="57"/>
        </w:numPr>
        <w:tabs>
          <w:tab w:val="left" w:pos="-567"/>
          <w:tab w:val="left" w:pos="-284"/>
          <w:tab w:val="clear" w:pos="2148"/>
        </w:tabs>
        <w:ind w:left="360"/>
      </w:pPr>
      <w:r>
        <w:t>V § 4 ods. 1 písm. a) bode 5 sa za slovo „číslo“ vkladá slovo „obchodného“ a nad slovo „zástupcu“ sa dopĺňa odkaz „10“.</w:t>
      </w:r>
    </w:p>
    <w:p>
      <w:pPr>
        <w:pStyle w:val="BodyText2"/>
        <w:spacing w:after="0" w:line="240" w:lineRule="auto"/>
        <w:ind w:left="360" w:hanging="360"/>
      </w:pPr>
    </w:p>
    <w:p>
      <w:pPr>
        <w:pStyle w:val="BodyText2"/>
        <w:spacing w:after="0" w:line="240" w:lineRule="auto"/>
        <w:ind w:left="360"/>
      </w:pPr>
      <w:r>
        <w:t>Poznámka pod čiarou k odkazu 10 znie:</w:t>
      </w:r>
    </w:p>
    <w:p>
      <w:pPr>
        <w:pStyle w:val="BodyText2"/>
        <w:spacing w:after="0" w:line="240" w:lineRule="auto"/>
        <w:ind w:left="360" w:hanging="360"/>
      </w:pPr>
      <w:r>
        <w:t xml:space="preserve">      „10) Napríklad § 21 zákona č. 483/2001 Z. z.“</w:t>
      </w:r>
    </w:p>
    <w:p>
      <w:pPr>
        <w:pStyle w:val="BodyText2"/>
        <w:spacing w:after="0" w:line="240" w:lineRule="auto"/>
        <w:ind w:left="360" w:hanging="360"/>
      </w:pPr>
    </w:p>
    <w:p>
      <w:pPr>
        <w:pStyle w:val="BodyText2"/>
        <w:spacing w:after="0" w:line="240" w:lineRule="auto"/>
        <w:ind w:left="360"/>
      </w:pPr>
      <w:r>
        <w:t>Doterajšie odkazy pod čiarou sa prečíslujú.</w:t>
      </w:r>
    </w:p>
    <w:p>
      <w:pPr>
        <w:pStyle w:val="BodyText2"/>
        <w:spacing w:after="0" w:line="240" w:lineRule="auto"/>
        <w:ind w:left="360" w:hanging="360"/>
      </w:pPr>
    </w:p>
    <w:p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vyplynula z </w:t>
      </w:r>
      <w:r>
        <w:rPr>
          <w:rFonts w:ascii="Times New Roman" w:hAnsi="Times New Roman" w:cs="Times New Roman"/>
          <w:color w:val="000000"/>
          <w:szCs w:val="20"/>
        </w:rPr>
        <w:t xml:space="preserve">akceptácie pripomienky zo všeobecnej časti </w:t>
      </w:r>
      <w:r>
        <w:rPr>
          <w:rFonts w:ascii="Times New Roman" w:hAnsi="Times New Roman" w:cs="Times New Roman"/>
        </w:rPr>
        <w:t>stanoviska odboru legislatívy a aproximácie práva Kancelárie NR SR. Ide o objasnenie aká osoba sa myslí obchodným zástupcom.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</w:t>
      </w:r>
      <w:r>
        <w:rPr>
          <w:rFonts w:ascii="Times New Roman" w:hAnsi="Times New Roman" w:cs="Times New Roman"/>
          <w:b/>
          <w:bCs/>
        </w:rPr>
        <w:t>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left" w:pos="-426"/>
          <w:tab w:val="left" w:pos="-284"/>
          <w:tab w:val="clear" w:pos="2148"/>
        </w:tabs>
        <w:ind w:left="360"/>
      </w:pPr>
      <w:r>
        <w:t>V § 4 ods. 1 písm. b) 4. bod  sa slová „alebo iných“ sa nahrádza slovom „a“.</w:t>
      </w:r>
    </w:p>
    <w:p>
      <w:pPr>
        <w:pStyle w:val="BodyTextIndent2"/>
        <w:ind w:left="1080"/>
      </w:pPr>
    </w:p>
    <w:p>
      <w:pPr>
        <w:pStyle w:val="BodyTextIndent2"/>
      </w:pPr>
      <w:r>
        <w:t>Informačná povinnosť dodávateľa sa musí vzťahovať na dane a poplatky rovnako; nie je možné použiť spojku „alebo“, ktorá vyjadruje len alternatívu.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4 ods. 1 písm. c) 1. bod sa na konci pripája</w:t>
      </w:r>
      <w:r>
        <w:t>jú slová „od zmluvy“.</w:t>
      </w:r>
    </w:p>
    <w:p>
      <w:pPr>
        <w:pStyle w:val="BodyTextIndent2"/>
        <w:ind w:left="1080"/>
      </w:pPr>
    </w:p>
    <w:p>
      <w:pPr>
        <w:pStyle w:val="BodyTextIndent2"/>
      </w:pPr>
      <w:r>
        <w:t>Ide o upresnenie v záujme jednotného pojmu používaného v návrhu zákona.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clear" w:pos="2148"/>
        </w:tabs>
        <w:ind w:left="360"/>
      </w:pPr>
      <w:r>
        <w:t>V § 4 ods. 3 prvá veta sa slová „telefonickej komunikácie“ nahrádzajú slovami „diaľkovej komunikácie cez telefón“.</w:t>
      </w:r>
    </w:p>
    <w:p>
      <w:pPr>
        <w:pStyle w:val="BodyTextIndent2"/>
      </w:pPr>
    </w:p>
    <w:p>
      <w:pPr>
        <w:pStyle w:val="BodyTextIndent2"/>
        <w:ind w:left="2832"/>
      </w:pPr>
      <w:r>
        <w:t>Ide o upresnenie v záujme jednotného pojmu používaného v návrhu zákona.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</w:t>
      </w:r>
      <w:r>
        <w:rPr>
          <w:rFonts w:ascii="Times New Roman" w:hAnsi="Times New Roman" w:cs="Times New Roman"/>
          <w:b/>
          <w:bCs/>
        </w:rPr>
        <w:t>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left" w:pos="-426"/>
          <w:tab w:val="left" w:pos="-284"/>
          <w:tab w:val="clear" w:pos="2148"/>
        </w:tabs>
        <w:ind w:left="360"/>
      </w:pPr>
      <w:r>
        <w:t>V § 4 ods. 6 znie:</w:t>
      </w:r>
    </w:p>
    <w:p>
      <w:pPr>
        <w:pStyle w:val="BodyText2"/>
        <w:spacing w:line="240" w:lineRule="auto"/>
        <w:ind w:left="360"/>
        <w:jc w:val="both"/>
        <w:rPr>
          <w:bCs/>
          <w:iCs/>
        </w:rPr>
      </w:pPr>
      <w:r>
        <w:rPr>
          <w:bCs/>
          <w:iCs/>
        </w:rPr>
        <w:t xml:space="preserve"> „(6) Informácie uvedené v odseku 1 je dodávateľ povinný poskytnúť spotrebiteľovi v primeranom časovom predstihu pred uzavretím zmluvy na diaľku v listinnej podobe alebo v podobe zápisu na inom trvanlivom médiu, ktoré je k dispozícii a dostupné spotrebiteľovi; to platí aj pre informácie uvedené v odseku 5, ak osobitný zákon</w:t>
      </w:r>
      <w:r>
        <w:rPr>
          <w:bCs/>
          <w:iCs/>
          <w:vertAlign w:val="superscript"/>
        </w:rPr>
        <w:t>12)</w:t>
      </w:r>
      <w:r>
        <w:rPr>
          <w:bCs/>
          <w:iCs/>
        </w:rPr>
        <w:t xml:space="preserve"> neustanovuje inak. Primeraným časovým predstihom sa rozumie čas, ktorý potrebuje spotrebiteľ na posúdenie informácií a zmluvných podmienok podľa tohto zákona.“.</w:t>
      </w:r>
    </w:p>
    <w:p>
      <w:pPr>
        <w:tabs>
          <w:tab w:val="left" w:pos="4680"/>
        </w:tabs>
        <w:jc w:val="both"/>
        <w:rPr>
          <w:rFonts w:ascii="Times New Roman" w:hAnsi="Times New Roman" w:cs="Times New Roman"/>
          <w:bCs/>
          <w:iCs/>
          <w:szCs w:val="20"/>
          <w:u w:val="single"/>
        </w:rPr>
      </w:pPr>
    </w:p>
    <w:p>
      <w:pPr>
        <w:tabs>
          <w:tab w:val="left" w:pos="4680"/>
        </w:tabs>
        <w:ind w:left="288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color w:val="000000"/>
          <w:szCs w:val="20"/>
        </w:rPr>
        <w:t xml:space="preserve">Úprava vyplynula </w:t>
      </w:r>
      <w:r>
        <w:rPr>
          <w:rFonts w:ascii="Times New Roman" w:hAnsi="Times New Roman" w:cs="Times New Roman"/>
          <w:bCs/>
          <w:iCs/>
        </w:rPr>
        <w:t>z akceptácie pripomienky zo všeobecnej  časti stanoviska</w:t>
      </w:r>
      <w:r>
        <w:rPr>
          <w:rFonts w:ascii="Times New Roman" w:hAnsi="Times New Roman" w:cs="Times New Roman"/>
          <w:bCs/>
          <w:iCs/>
          <w:color w:val="000000"/>
          <w:szCs w:val="20"/>
        </w:rPr>
        <w:t>  odboru legislatívy a aproximácie práva Kancelárie NR SR. Ide o úpravu ustano</w:t>
      </w:r>
      <w:r>
        <w:rPr>
          <w:rFonts w:ascii="Times New Roman" w:hAnsi="Times New Roman" w:cs="Times New Roman"/>
          <w:bCs/>
          <w:iCs/>
          <w:color w:val="000000"/>
          <w:szCs w:val="20"/>
        </w:rPr>
        <w:t>venia tak, aby ho nebolo možné pokladať za nepriamu novelizáciu iných predpisov upravujúcich finančné služby.</w:t>
      </w:r>
    </w:p>
    <w:p>
      <w:pPr>
        <w:jc w:val="both"/>
        <w:rPr>
          <w:rFonts w:ascii="Times New Roman" w:hAnsi="Times New Roman" w:cs="Times New Roman"/>
          <w:bCs/>
          <w:iCs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jc w:val="both"/>
        <w:rPr>
          <w:rFonts w:ascii="Times New Roman" w:hAnsi="Times New Roman" w:cs="Times New Roman"/>
          <w:bCs/>
          <w:iCs/>
        </w:rPr>
      </w:pPr>
    </w:p>
    <w:p>
      <w:pPr>
        <w:pStyle w:val="BodyTextIndent2"/>
        <w:numPr>
          <w:ilvl w:val="1"/>
          <w:numId w:val="57"/>
        </w:numPr>
        <w:tabs>
          <w:tab w:val="left" w:pos="-709"/>
          <w:tab w:val="clear" w:pos="2148"/>
        </w:tabs>
        <w:ind w:left="360"/>
      </w:pPr>
      <w:r>
        <w:t xml:space="preserve">V § 4 ods. </w:t>
      </w:r>
      <w:r>
        <w:t>8 v prvej vete sa na konci pripájajú slová „bez zbytočného odkladu“.</w:t>
      </w:r>
    </w:p>
    <w:p>
      <w:pPr>
        <w:tabs>
          <w:tab w:val="left" w:pos="0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tabs>
          <w:tab w:val="left" w:pos="-360"/>
        </w:tabs>
        <w:ind w:left="288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color w:val="000000"/>
          <w:szCs w:val="20"/>
        </w:rPr>
        <w:t xml:space="preserve">Úprava vyplynula </w:t>
      </w:r>
      <w:r>
        <w:rPr>
          <w:rFonts w:ascii="Times New Roman" w:hAnsi="Times New Roman" w:cs="Times New Roman"/>
          <w:bCs/>
          <w:iCs/>
        </w:rPr>
        <w:t>z akceptácie pripomienky zo všeobecnej časti  stanoviska</w:t>
      </w:r>
      <w:r>
        <w:rPr>
          <w:rFonts w:ascii="Times New Roman" w:hAnsi="Times New Roman" w:cs="Times New Roman"/>
          <w:bCs/>
          <w:iCs/>
          <w:color w:val="000000"/>
          <w:szCs w:val="20"/>
        </w:rPr>
        <w:t>  odboru legislatívy a aproximácie práva Kancelárie NR SR. Ide o presnejšie vymedzenie lehoty na predloženie informácií o uzavretí zmluvy na diaľku.</w:t>
      </w:r>
    </w:p>
    <w:p>
      <w:pPr>
        <w:pStyle w:val="BodyTextIndent2"/>
        <w:ind w:left="1080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1080"/>
      </w:pPr>
    </w:p>
    <w:p>
      <w:pPr>
        <w:pStyle w:val="BodyTextIndent2"/>
        <w:numPr>
          <w:ilvl w:val="1"/>
          <w:numId w:val="57"/>
        </w:numPr>
        <w:tabs>
          <w:tab w:val="left" w:pos="-709"/>
          <w:tab w:val="left" w:pos="-142"/>
          <w:tab w:val="clear" w:pos="2148"/>
        </w:tabs>
        <w:ind w:left="360"/>
      </w:pPr>
      <w:r>
        <w:t xml:space="preserve"> § 5 ods. 1 písm. b) znie : </w:t>
      </w:r>
    </w:p>
    <w:p>
      <w:pPr>
        <w:pStyle w:val="BodyTextIndent2"/>
        <w:tabs>
          <w:tab w:val="left" w:pos="-1080"/>
        </w:tabs>
        <w:ind w:left="360"/>
      </w:pPr>
      <w:r>
        <w:t>„od doručenia informácií podľa § 4 ods. 7, ak zmluva na diaľku bola uzavretá na žiadosť spotrebiteľa prostredníctvom prostriedku diaľkovej komunikácie, ktorý neumožňuje poskytnutie informácií podľa § 4 odsek 1 a 5 v listinnej podobe alebo v podobe zápisu na inom trvanlivom médiu.“</w:t>
      </w:r>
    </w:p>
    <w:p>
      <w:pPr>
        <w:pStyle w:val="BodyTextIndent2"/>
      </w:pPr>
    </w:p>
    <w:p>
      <w:pPr>
        <w:pStyle w:val="BodyTextIndent2"/>
      </w:pPr>
    </w:p>
    <w:p>
      <w:pPr>
        <w:pStyle w:val="BodyTextIndent2"/>
        <w:ind w:left="2832"/>
      </w:pPr>
      <w:r>
        <w:t>Ide o presnejšiu formuláciu.</w:t>
      </w:r>
      <w:r>
        <w:t xml:space="preserve"> Informácie sa doručujú podľa § 4 ods. 7 a nie podľa § 4 ods. 1 a 5, ako je uvedené v pôvodnom návrhu. Ustanovenie § 4 ods. 1 a 5 upravuje druh informácie a nie spôsob ich doručenia.  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</w:t>
      </w:r>
      <w:r>
        <w:rPr>
          <w:rFonts w:ascii="Times New Roman" w:hAnsi="Times New Roman" w:cs="Times New Roman"/>
          <w:b/>
          <w:bCs/>
        </w:rPr>
        <w:t>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5 ods. 2 písm. b) text za slovom „alebo“ znie:</w:t>
      </w:r>
    </w:p>
    <w:p>
      <w:pPr>
        <w:pStyle w:val="BodyTextIndent2"/>
        <w:ind w:left="1080"/>
      </w:pPr>
    </w:p>
    <w:p>
      <w:pPr>
        <w:pStyle w:val="BodyTextIndent2"/>
        <w:ind w:left="360"/>
      </w:pPr>
      <w:r>
        <w:t>„od doručenia informácií podľa § 4 ods. 7, ak zmluva na diaľku bola uzavretá na žiadosť spotrebiteľa prostredníctvom prostriedku diaľkovej komunikácie, ktorý neumožňuje poskytnutie informácií podľa § 4 odsek 1 a 5 v listinnej podobe alebo v podobe zápisu na inom trvanlivom médiu.“</w:t>
      </w:r>
    </w:p>
    <w:p>
      <w:pPr>
        <w:pStyle w:val="BodyTextIndent2"/>
        <w:ind w:left="1080"/>
      </w:pPr>
    </w:p>
    <w:p>
      <w:pPr>
        <w:pStyle w:val="BodyTextIndent2"/>
      </w:pPr>
      <w:r>
        <w:t xml:space="preserve">Ide o presnejšiu formuláciu. Informácie sa doručujú podľa § 4 ods. 7 a nie podľa § 4 ods. 1 a 5, ako je uvedené v pôvodnom návrhu. § 4 ods. 1 a 5 upravuje druh informácie a nie spôsob ich doručenia. </w:t>
      </w:r>
    </w:p>
    <w:p>
      <w:pPr>
        <w:pStyle w:val="BodyTextIndent2"/>
      </w:pPr>
      <w:r>
        <w:t xml:space="preserve"> 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</w:t>
      </w:r>
      <w:r>
        <w:rPr>
          <w:rFonts w:ascii="Times New Roman" w:hAnsi="Times New Roman" w:cs="Times New Roman"/>
          <w:i/>
          <w:iCs/>
        </w:rPr>
        <w:t>storský výbor odporúča schváliť</w:t>
      </w:r>
    </w:p>
    <w:p>
      <w:pPr>
        <w:pStyle w:val="BodyTextIndent2"/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clear" w:pos="2148"/>
        </w:tabs>
        <w:ind w:left="360"/>
      </w:pPr>
      <w:r>
        <w:t>V § 5 ods. 5 písm. a) 1. bod sa slovo „finančnými“ nahrádza slovom „peňažnými“.</w:t>
      </w:r>
    </w:p>
    <w:p>
      <w:pPr>
        <w:pStyle w:val="BodyTextIndent2"/>
      </w:pPr>
    </w:p>
    <w:p>
      <w:pPr>
        <w:pStyle w:val="BodyTextIndent2"/>
        <w:ind w:left="2832"/>
      </w:pPr>
      <w:r>
        <w:t>Ide o spresnenie pojmu používaného v našom právnom poriadku (zákon č. 202/1995 Z. z. devízový zákon).</w:t>
      </w:r>
    </w:p>
    <w:p>
      <w:pPr>
        <w:pStyle w:val="BodyTextIndent2"/>
        <w:ind w:left="360" w:hanging="360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360" w:hanging="360"/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left" w:pos="-142"/>
          <w:tab w:val="clear" w:pos="2148"/>
        </w:tabs>
        <w:ind w:left="360"/>
      </w:pPr>
      <w:r>
        <w:t>V § 5 ods. 5 písm. a) v bode 2 sa odkaz 3 nahrádza odkazom 17.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Poznámka pod čiarou k odkazu 17 znie: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„17) § 8 písm. k) zá</w:t>
      </w:r>
      <w:r>
        <w:rPr>
          <w:rFonts w:ascii="Times New Roman" w:hAnsi="Times New Roman" w:cs="Times New Roman"/>
          <w:iCs/>
        </w:rPr>
        <w:t>kona č. 566/2001 Z. z.“.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predpis, kde je pojem definovaný.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</w:t>
      </w:r>
      <w:r>
        <w:rPr>
          <w:rFonts w:ascii="Times New Roman" w:hAnsi="Times New Roman" w:cs="Times New Roman"/>
          <w:b/>
          <w:bCs/>
        </w:rPr>
        <w:t>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5 ods. 5 písm. a) v bode  3 sa odkaz 2 nahrádza odkazom 18.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Poznámka pod čiarou k odkazu 18 znie:</w:t>
      </w: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„18) § 5 písm. e) zákona č. 594/2003 Z. z.“.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predpis, kde je pojem definovaný.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left" w:pos="-851"/>
          <w:tab w:val="clear" w:pos="2148"/>
        </w:tabs>
        <w:ind w:left="360"/>
      </w:pPr>
      <w:r>
        <w:t>V § 5 ods. 5 písm. a) v bode 4 sa odkaz 2 nahrádza odkazom 19.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Poznámka pod čiarou k odkazu 19 znie: </w:t>
      </w: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„19) § 40 ods. 1 zákona č. 594/2003 Z. z.“.</w:t>
      </w:r>
    </w:p>
    <w:p>
      <w:pPr>
        <w:tabs>
          <w:tab w:val="left" w:pos="4500"/>
        </w:tabs>
        <w:ind w:left="360" w:hanging="36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tabs>
          <w:tab w:val="left" w:pos="-18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</w:t>
      </w:r>
      <w:r>
        <w:rPr>
          <w:rFonts w:ascii="Times New Roman" w:hAnsi="Times New Roman" w:cs="Times New Roman"/>
          <w:color w:val="000000"/>
          <w:szCs w:val="20"/>
        </w:rPr>
        <w:t>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predpis, kde je pojem definovaný.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</w:t>
      </w:r>
      <w:r>
        <w:rPr>
          <w:rFonts w:ascii="Times New Roman" w:hAnsi="Times New Roman" w:cs="Times New Roman"/>
          <w:b/>
          <w:bCs/>
        </w:rPr>
        <w:t>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clear" w:pos="2148"/>
        </w:tabs>
        <w:ind w:left="360"/>
      </w:pPr>
      <w:r>
        <w:t>V § 5 ods. 5 písm. a) v bode 5 sa odkaz 2 nahrádza odkazom 20.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Poznámka pod čiarou k odkazu 20 znie:</w:t>
      </w: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„20) § 2 písm. n) vyhlášky č. 559/2002 Z. z. o primeranosti vlastných zdrojov  obchodníkov s cennými papiermi v znení neskorších predpisov.“.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predpis, kde </w:t>
      </w:r>
      <w:r>
        <w:rPr>
          <w:rFonts w:ascii="Times New Roman" w:hAnsi="Times New Roman" w:cs="Times New Roman"/>
          <w:color w:val="000000"/>
          <w:szCs w:val="20"/>
        </w:rPr>
        <w:t>je pojem definovaný.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5 ods. 5 písm. a) v bode 6 sa odkaz 2 nahrádza odkazom 21.</w:t>
      </w:r>
    </w:p>
    <w:p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-360"/>
        </w:tabs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Poznámka pod čiarou k odkazu 21 znie: 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„ 21) § 2 písm. p) vyhlášky č. 559/2002 Z. z.“.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predpis, kde je pojem </w:t>
      </w:r>
      <w:r>
        <w:rPr>
          <w:rFonts w:ascii="Times New Roman" w:hAnsi="Times New Roman" w:cs="Times New Roman"/>
          <w:color w:val="000000"/>
          <w:szCs w:val="20"/>
        </w:rPr>
        <w:t>definovaný.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clear" w:pos="2148"/>
        </w:tabs>
        <w:ind w:left="360"/>
      </w:pPr>
      <w:r>
        <w:t>V § 5 ods. 5 písm. a) bod 7 znie: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„7. akciovými, úrokovými a menovými swapmi,</w:t>
      </w:r>
      <w:r>
        <w:rPr>
          <w:rFonts w:ascii="Times New Roman" w:hAnsi="Times New Roman" w:cs="Times New Roman"/>
          <w:iCs/>
          <w:vertAlign w:val="superscript"/>
        </w:rPr>
        <w:t>22)</w:t>
      </w:r>
      <w:r>
        <w:rPr>
          <w:rFonts w:ascii="Times New Roman" w:hAnsi="Times New Roman" w:cs="Times New Roman"/>
          <w:iCs/>
        </w:rPr>
        <w:t>“.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</w:p>
    <w:p>
      <w:pPr>
        <w:ind w:left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Poznámka pod čiarou k odkazu 22 znie:</w:t>
      </w:r>
    </w:p>
    <w:p>
      <w:pPr>
        <w:ind w:left="360" w:hanging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„22) § 2 písm. q) vyhlášky č. 559/2002 Z. z.“.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NR SR. Nahrádza sa nesprávny odkaz odkazom na právny pr</w:t>
      </w:r>
      <w:r>
        <w:rPr>
          <w:rFonts w:ascii="Times New Roman" w:hAnsi="Times New Roman" w:cs="Times New Roman"/>
          <w:color w:val="000000"/>
          <w:szCs w:val="20"/>
        </w:rPr>
        <w:t>edpis, kde je pojem definovaný.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5 ods. 5 písm. a) 8. bod sa slová „v tomto písmene“ nahrádzajú slovami „v prvom až siedmom bode“.</w:t>
      </w:r>
    </w:p>
    <w:p>
      <w:pPr>
        <w:pStyle w:val="BodyTextIndent2"/>
      </w:pPr>
    </w:p>
    <w:p>
      <w:pPr>
        <w:pStyle w:val="BodyTextIndent2"/>
        <w:ind w:left="2832"/>
      </w:pPr>
      <w:r>
        <w:t>Ide o legislatívno-technickú úpravu.</w:t>
      </w:r>
    </w:p>
    <w:p>
      <w:pPr>
        <w:pStyle w:val="BodyTextIndent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</w:pPr>
    </w:p>
    <w:p>
      <w:pPr>
        <w:pStyle w:val="BodyTextIndent2"/>
        <w:numPr>
          <w:ilvl w:val="1"/>
          <w:numId w:val="57"/>
        </w:numPr>
        <w:tabs>
          <w:tab w:val="left" w:pos="-1134"/>
          <w:tab w:val="clear" w:pos="2148"/>
        </w:tabs>
        <w:ind w:left="360"/>
      </w:pPr>
      <w:r>
        <w:t>V § 5 ods. 5 písm. a) v bode 8 sa od</w:t>
      </w:r>
      <w:r>
        <w:t>kaz 2 nahrádza odkazom 23, ktorý znie:</w:t>
      </w:r>
    </w:p>
    <w:p>
      <w:pPr>
        <w:ind w:left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„23) § 2 písm. k) vyhlášky č. 559/2002 Z. z.“.</w:t>
      </w:r>
    </w:p>
    <w:p>
      <w:pPr>
        <w:pStyle w:val="BodyText2"/>
        <w:spacing w:after="0" w:line="240" w:lineRule="auto"/>
      </w:pPr>
    </w:p>
    <w:p>
      <w:pPr>
        <w:pStyle w:val="BodyText2"/>
        <w:spacing w:after="0" w:line="240" w:lineRule="auto"/>
        <w:ind w:left="360"/>
      </w:pPr>
      <w:r>
        <w:t>Doterajšie odkazy pod čiarou sa prečíslujú.</w:t>
      </w:r>
    </w:p>
    <w:p>
      <w:pPr>
        <w:tabs>
          <w:tab w:val="left" w:pos="450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450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vyplynula z akceptácie</w:t>
      </w:r>
      <w:r>
        <w:rPr>
          <w:rFonts w:ascii="Times New Roman" w:hAnsi="Times New Roman" w:cs="Times New Roman"/>
        </w:rPr>
        <w:t xml:space="preserve"> pripomienky zo</w:t>
      </w:r>
      <w:r>
        <w:rPr>
          <w:rFonts w:ascii="Times New Roman" w:hAnsi="Times New Roman" w:cs="Times New Roman"/>
          <w:color w:val="000000"/>
          <w:szCs w:val="20"/>
        </w:rPr>
        <w:t xml:space="preserve"> všeobecnej časti </w:t>
      </w:r>
      <w:r>
        <w:rPr>
          <w:rFonts w:ascii="Times New Roman" w:hAnsi="Times New Roman" w:cs="Times New Roman"/>
        </w:rPr>
        <w:t>stanoviska</w:t>
      </w:r>
      <w:r>
        <w:rPr>
          <w:rFonts w:ascii="Times New Roman" w:hAnsi="Times New Roman" w:cs="Times New Roman"/>
          <w:color w:val="000000"/>
          <w:szCs w:val="20"/>
        </w:rPr>
        <w:t xml:space="preserve"> odboru legislatívy a aproximácie práva Kancelárie N</w:t>
      </w:r>
      <w:r>
        <w:rPr>
          <w:rFonts w:ascii="Times New Roman" w:hAnsi="Times New Roman" w:cs="Times New Roman"/>
          <w:color w:val="000000"/>
          <w:szCs w:val="20"/>
        </w:rPr>
        <w:t>R SR. Nahrádza sa nesprávny odkaz odkazom na právny predpis, kde je pojem definovaný.</w:t>
      </w:r>
    </w:p>
    <w:p>
      <w:pPr>
        <w:pStyle w:val="BodyTextIndent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5 ods. 5 písm. b) sa slová „ces</w:t>
      </w:r>
      <w:r>
        <w:t>tovnom poistení“ nahrádzajú slovami „poistení cestujúcich“ a slová „a obdobné“ sa nahrádzajú slovami „alebo iné“.</w:t>
      </w:r>
    </w:p>
    <w:p>
      <w:pPr>
        <w:pStyle w:val="BodyTextIndent2"/>
      </w:pPr>
    </w:p>
    <w:p>
      <w:pPr>
        <w:pStyle w:val="BodyTextIndent2"/>
        <w:ind w:left="2832"/>
      </w:pPr>
      <w:r>
        <w:t>Ide o upresnenie pojmov v súlade so zákonom  č. 95/2002 Z. z. o poisťovníctve.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</w:t>
      </w:r>
      <w:r>
        <w:rPr>
          <w:rFonts w:ascii="Times New Roman" w:hAnsi="Times New Roman" w:cs="Times New Roman"/>
          <w:b/>
          <w:bCs/>
        </w:rPr>
        <w:t>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left" w:pos="-284"/>
          <w:tab w:val="clear" w:pos="2148"/>
        </w:tabs>
        <w:ind w:left="360"/>
      </w:pPr>
      <w:r>
        <w:t>V § 6 ods. 1 prvá veta sa vypúšťa slovo „uzavretou“.</w:t>
      </w:r>
    </w:p>
    <w:p>
      <w:pPr>
        <w:pStyle w:val="BodyTextIndent2"/>
      </w:pPr>
    </w:p>
    <w:p>
      <w:pPr>
        <w:pStyle w:val="BodyTextIndent2"/>
        <w:ind w:left="2832"/>
      </w:pPr>
      <w:r>
        <w:t>Ide o upresnenie v záujme jednotného pojmu používaného v návrhu zákona.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</w:t>
      </w:r>
      <w:r>
        <w:rPr>
          <w:rFonts w:ascii="Times New Roman" w:hAnsi="Times New Roman" w:cs="Times New Roman"/>
          <w:b/>
          <w:bCs/>
        </w:rPr>
        <w:t>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left" w:pos="-142"/>
          <w:tab w:val="clear" w:pos="2148"/>
        </w:tabs>
        <w:ind w:left="360"/>
      </w:pPr>
      <w:r>
        <w:t>V § 6 ods. 1 prvá veta sa slová „toto plnenie začalo“ nahrádzajú slovami „táto finančná služba začala“</w:t>
      </w:r>
    </w:p>
    <w:p>
      <w:pPr>
        <w:pStyle w:val="BodyTextIndent2"/>
      </w:pPr>
    </w:p>
    <w:p>
      <w:pPr>
        <w:pStyle w:val="BodyTextIndent2"/>
        <w:ind w:left="2832"/>
      </w:pPr>
      <w:r>
        <w:t>Ide o up</w:t>
      </w:r>
      <w:r>
        <w:t>resnenie v záujme jednotného pojmu používaného v návrhu zákona.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V § 7 ods. 2 sa za slovo</w:t>
      </w:r>
      <w:r>
        <w:t xml:space="preserve"> „môže“ vkladajú slová „po skončení platnosti zmluvy na diaľku“.</w:t>
      </w:r>
    </w:p>
    <w:p>
      <w:pPr>
        <w:pStyle w:val="BodyTextIndent2"/>
      </w:pPr>
    </w:p>
    <w:p>
      <w:pPr>
        <w:pStyle w:val="BodyTextIndent2"/>
        <w:ind w:left="2832"/>
      </w:pPr>
      <w:r>
        <w:t>Ide o upresnenie, kedy je možné pokračovať v poskytovaní finančnej služby.</w:t>
      </w:r>
    </w:p>
    <w:p>
      <w:pPr>
        <w:pStyle w:val="BodyTextIndent2"/>
        <w:ind w:left="283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 NR SR pre </w:t>
      </w:r>
      <w:r>
        <w:rPr>
          <w:rFonts w:ascii="Times New Roman" w:hAnsi="Times New Roman" w:cs="Times New Roman"/>
          <w:b/>
          <w:bCs/>
        </w:rPr>
        <w:t>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283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§ 9 znie :</w:t>
      </w:r>
    </w:p>
    <w:p>
      <w:pPr>
        <w:pStyle w:val="BodyTextIndent2"/>
        <w:ind w:left="1080"/>
      </w:pPr>
    </w:p>
    <w:p>
      <w:pPr>
        <w:pStyle w:val="BodyTextIndent2"/>
      </w:pPr>
      <w:r>
        <w:t>„Dohľad a štátna kontrola</w:t>
      </w:r>
    </w:p>
    <w:p>
      <w:pPr>
        <w:pStyle w:val="BodyTextIndent2"/>
        <w:ind w:left="1080"/>
        <w:jc w:val="center"/>
      </w:pPr>
    </w:p>
    <w:p>
      <w:pPr>
        <w:pStyle w:val="BodyTextIndent2"/>
        <w:ind w:left="360"/>
      </w:pPr>
      <w:r>
        <w:t>Dohľad a štátnu kontrolu nad dodržiavaním ustanovení tohto zákona vykonávajú príslušné orgány podľa osobitných predpisov.</w:t>
      </w:r>
      <w:r>
        <w:rPr>
          <w:vertAlign w:val="superscript"/>
        </w:rPr>
        <w:t>16</w:t>
      </w:r>
      <w:r>
        <w:t>)“.</w:t>
      </w:r>
    </w:p>
    <w:p>
      <w:pPr>
        <w:pStyle w:val="BodyTextIndent2"/>
        <w:ind w:left="1080"/>
      </w:pPr>
    </w:p>
    <w:p>
      <w:pPr>
        <w:pStyle w:val="BodyTextIndent2"/>
      </w:pPr>
      <w:r>
        <w:t>Ide o upresnenie, kto vykonáva dohľad a štátnu kontrolu.</w:t>
      </w:r>
    </w:p>
    <w:p>
      <w:pPr>
        <w:pStyle w:val="BodyTextIndent2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</w:pPr>
    </w:p>
    <w:p>
      <w:pPr>
        <w:pStyle w:val="BodyTextIndent2"/>
        <w:numPr>
          <w:ilvl w:val="1"/>
          <w:numId w:val="57"/>
        </w:numPr>
        <w:tabs>
          <w:tab w:val="left" w:pos="-426"/>
          <w:tab w:val="clear" w:pos="2148"/>
        </w:tabs>
        <w:ind w:left="360"/>
      </w:pPr>
      <w:r>
        <w:t xml:space="preserve">V § 10 sa vypúšťa odsek 2. </w:t>
      </w:r>
    </w:p>
    <w:p>
      <w:pPr>
        <w:pStyle w:val="BodyTextIndent2"/>
      </w:pPr>
    </w:p>
    <w:p>
      <w:pPr>
        <w:pStyle w:val="BodyText"/>
        <w:ind w:left="360"/>
        <w:jc w:val="left"/>
      </w:pPr>
      <w:r>
        <w:t xml:space="preserve">Doterajší odsek 3 sa označí ako odsek 2.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-18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Úprava vyplynula </w:t>
      </w:r>
      <w:r>
        <w:rPr>
          <w:rFonts w:ascii="Times New Roman" w:hAnsi="Times New Roman" w:cs="Times New Roman"/>
        </w:rPr>
        <w:t>z akceptácie pripomienky zo všeobecnej  časti stanoviska</w:t>
      </w:r>
      <w:r>
        <w:rPr>
          <w:rFonts w:ascii="Times New Roman" w:hAnsi="Times New Roman" w:cs="Times New Roman"/>
          <w:color w:val="000000"/>
          <w:szCs w:val="20"/>
        </w:rPr>
        <w:t>  odboru legislatívy a aproximácie práva Kancelárie NR SR. Ide o úpravu ustanovenia tak, aby ho nebolo možné pokladať za nepriamu novelizáciu zákona č.634/1992 Zb. o ochrane spotrebiteľa.</w:t>
      </w:r>
    </w:p>
    <w:p>
      <w:pPr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rPr>
          <w:rFonts w:ascii="Times New Roman" w:hAnsi="Times New Roman" w:cs="Times New Roman"/>
        </w:rPr>
      </w:pPr>
    </w:p>
    <w:p>
      <w:pPr>
        <w:pStyle w:val="BodyTextIndent2"/>
        <w:numPr>
          <w:ilvl w:val="1"/>
          <w:numId w:val="57"/>
        </w:numPr>
        <w:tabs>
          <w:tab w:val="left" w:pos="-567"/>
          <w:tab w:val="clear" w:pos="2148"/>
        </w:tabs>
        <w:ind w:left="360"/>
      </w:pPr>
      <w:r>
        <w:t>V § 13 ods. 1 sa vypúšťa odkaz pod čiarou 19.</w:t>
      </w:r>
    </w:p>
    <w:p>
      <w:pPr>
        <w:rPr>
          <w:rFonts w:ascii="Times New Roman" w:hAnsi="Times New Roman" w:cs="Times New Roman"/>
        </w:rPr>
      </w:pPr>
    </w:p>
    <w:p>
      <w:pPr>
        <w:pStyle w:val="BodyText2"/>
        <w:ind w:left="360"/>
      </w:pPr>
      <w:r>
        <w:t>Doterajšie odkazy pod čiarou sa prečíslujú.</w:t>
      </w:r>
    </w:p>
    <w:p>
      <w:pPr>
        <w:tabs>
          <w:tab w:val="left" w:pos="-36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>Úprava vyplyn</w:t>
      </w:r>
      <w:r>
        <w:rPr>
          <w:rFonts w:ascii="Times New Roman" w:hAnsi="Times New Roman" w:cs="Times New Roman"/>
          <w:color w:val="000000"/>
          <w:szCs w:val="20"/>
        </w:rPr>
        <w:t xml:space="preserve">ula </w:t>
      </w:r>
      <w:r>
        <w:rPr>
          <w:rFonts w:ascii="Times New Roman" w:hAnsi="Times New Roman" w:cs="Times New Roman"/>
        </w:rPr>
        <w:t>z akceptácie pripomienky zo všeobecnej  časti stanoviska</w:t>
      </w:r>
      <w:r>
        <w:rPr>
          <w:rFonts w:ascii="Times New Roman" w:hAnsi="Times New Roman" w:cs="Times New Roman"/>
          <w:color w:val="000000"/>
          <w:szCs w:val="20"/>
        </w:rPr>
        <w:t>  odboru legislatívy a aproximácie práva Kancelárie NR SR. Sprostredkovateľ je definovaný v § 2 a odkaz už nie je potrebný.</w:t>
      </w:r>
    </w:p>
    <w:p>
      <w:pPr>
        <w:pStyle w:val="BodyTextIndent2"/>
        <w:ind w:left="360"/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</w:t>
      </w:r>
      <w:r>
        <w:rPr>
          <w:rFonts w:ascii="Times New Roman" w:hAnsi="Times New Roman" w:cs="Times New Roman"/>
          <w:b/>
          <w:bCs/>
        </w:rPr>
        <w:t xml:space="preserve">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</w:pPr>
    </w:p>
    <w:p>
      <w:pPr>
        <w:pStyle w:val="BodyTextIndent2"/>
        <w:numPr>
          <w:ilvl w:val="1"/>
          <w:numId w:val="57"/>
        </w:numPr>
        <w:tabs>
          <w:tab w:val="clear" w:pos="2148"/>
        </w:tabs>
        <w:ind w:left="360"/>
      </w:pPr>
      <w:r>
        <w:t>Príloha k zákonu znie:</w:t>
      </w:r>
    </w:p>
    <w:p>
      <w:pPr>
        <w:pStyle w:val="BodyTextIndent2"/>
      </w:pP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„Príloha k zákonu č. .../2005 Z. z. 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preberaných právnych aktov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Európskych spoločenstiev a Európskej únie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Európskeho parlamentu a Rady 2002/65/ES z 23</w:t>
      </w:r>
      <w:r>
        <w:rPr>
          <w:rFonts w:ascii="Times New Roman" w:hAnsi="Times New Roman" w:cs="Times New Roman"/>
        </w:rPr>
        <w:t>. septembra 2002 o poskytovaní finančných služieb spotrebiteľom na diaľku a o zmene a doplnení smernice Rady 90/619/EHS a smerníc 97/7/ES a 98/27/ES (Ú. v. ES L 271, 9. 10. 2002).“</w:t>
      </w:r>
    </w:p>
    <w:p>
      <w:pPr>
        <w:pStyle w:val="BodyTextIndent2"/>
        <w:ind w:left="1080"/>
      </w:pPr>
    </w:p>
    <w:p>
      <w:pPr>
        <w:pStyle w:val="BodyTextIndent2"/>
        <w:ind w:left="2832"/>
      </w:pPr>
      <w:r>
        <w:t>Ide o legislatívno-technickú úpravu.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pôdohospodárstvo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pStyle w:val="BodyTextIndent2"/>
        <w:ind w:left="360"/>
      </w:pPr>
    </w:p>
    <w:p>
      <w:pPr>
        <w:pStyle w:val="BodyTextIndent2"/>
        <w:numPr>
          <w:ilvl w:val="1"/>
          <w:numId w:val="57"/>
        </w:numPr>
        <w:tabs>
          <w:tab w:val="left" w:pos="-1134"/>
          <w:tab w:val="clear" w:pos="2148"/>
        </w:tabs>
        <w:ind w:left="360"/>
      </w:pPr>
      <w:r>
        <w:t>Za Čl. III sa dopĺňajú články IV a V, ktoré znejú: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IV</w:t>
      </w:r>
    </w:p>
    <w:p>
      <w:pPr>
        <w:rPr>
          <w:rFonts w:ascii="Times New Roman" w:hAnsi="Times New Roman" w:cs="Times New Roman"/>
        </w:rPr>
      </w:pPr>
    </w:p>
    <w:p>
      <w:pPr>
        <w:tabs>
          <w:tab w:val="left" w:pos="-720"/>
        </w:tabs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566/2001 Z. z. o cenných papieroch a investičných službách a o zmene a doplnení niektorých zákonov (zákon o cenných papieroch) v znení zákona č. 291/2002 Z. z., zákona č. 510/2002 Z. z., zákona č. 162/2003 Z. z., zákona č. 594/2003 Z. z.,  zákona č.43/2004 Z. z., zákona č.635/2004 Z. z., zákona č. 747/2004 Z. z. a zákona č. 7/2005 Z.z. sa mení takto:</w:t>
      </w:r>
    </w:p>
    <w:p>
      <w:pPr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53a až 53d sa vypúšťajú.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V</w:t>
      </w:r>
    </w:p>
    <w:p>
      <w:pPr>
        <w:rPr>
          <w:rFonts w:ascii="Times New Roman" w:hAnsi="Times New Roman" w:cs="Times New Roman"/>
        </w:rPr>
      </w:pPr>
    </w:p>
    <w:p>
      <w:pPr>
        <w:pStyle w:val="BodyText2"/>
        <w:spacing w:after="0" w:line="240" w:lineRule="auto"/>
        <w:ind w:left="360" w:firstLine="360"/>
        <w:jc w:val="both"/>
      </w:pPr>
      <w:r>
        <w:t>Zákon č. 40/1964</w:t>
      </w:r>
      <w:r>
        <w:rPr>
          <w:rFonts w:ascii="Symbol" w:hAnsi="Symbol"/>
        </w:rPr>
        <w:sym w:font="Symbol" w:char="F020"/>
      </w:r>
      <w:r>
        <w:t>Zb. Občiansky zákonník v znení zákona č.</w:t>
      </w:r>
      <w:r>
        <w:rPr>
          <w:rFonts w:ascii="Symbol" w:hAnsi="Symbol"/>
        </w:rPr>
        <w:sym w:font="Symbol" w:char="F020"/>
      </w:r>
      <w:r>
        <w:t>58/1969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131/1982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94/1988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188/1988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87/1990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105</w:t>
      </w:r>
      <w:r>
        <w:t>/1990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116/1990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87/1991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509/1991</w:t>
      </w:r>
      <w:r>
        <w:rPr>
          <w:rFonts w:ascii="Symbol" w:hAnsi="Symbol"/>
        </w:rPr>
        <w:sym w:font="Symbol" w:char="F020"/>
      </w:r>
      <w:r>
        <w:t>Zb., zákona č.</w:t>
      </w:r>
      <w:r>
        <w:rPr>
          <w:rFonts w:ascii="Symbol" w:hAnsi="Symbol"/>
        </w:rPr>
        <w:sym w:font="Symbol" w:char="F020"/>
      </w:r>
      <w:r>
        <w:t>264/1992</w:t>
      </w:r>
      <w:r>
        <w:rPr>
          <w:rFonts w:ascii="Symbol" w:hAnsi="Symbol"/>
        </w:rPr>
        <w:sym w:font="Symbol" w:char="F020"/>
      </w:r>
      <w:r>
        <w:t>Zb., zákona Národnej rady Slovenskej republiky č.</w:t>
      </w:r>
      <w:r>
        <w:rPr>
          <w:rFonts w:ascii="Symbol" w:hAnsi="Symbol"/>
        </w:rPr>
        <w:sym w:font="Symbol" w:char="F020"/>
      </w:r>
      <w:r>
        <w:t>278/1993</w:t>
      </w:r>
      <w:r>
        <w:rPr>
          <w:rFonts w:ascii="Symbol" w:hAnsi="Symbol"/>
        </w:rPr>
        <w:sym w:font="Symbol" w:char="F020"/>
      </w:r>
      <w:r>
        <w:t>Z.z., zákona Národnej rady Slovenskej republiky č.</w:t>
      </w:r>
      <w:r>
        <w:rPr>
          <w:rFonts w:ascii="Symbol" w:hAnsi="Symbol"/>
        </w:rPr>
        <w:sym w:font="Symbol" w:char="F020"/>
      </w:r>
      <w:r>
        <w:t>249/1994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153/1997</w:t>
      </w:r>
      <w:r>
        <w:rPr>
          <w:rFonts w:ascii="Symbol" w:hAnsi="Symbol"/>
        </w:rPr>
        <w:sym w:font="Symbol" w:char="F020"/>
      </w:r>
      <w:r>
        <w:t>Z.z., zákon</w:t>
      </w:r>
      <w:r>
        <w:t>a č.</w:t>
      </w:r>
      <w:r>
        <w:rPr>
          <w:rFonts w:ascii="Symbol" w:hAnsi="Symbol"/>
        </w:rPr>
        <w:sym w:font="Symbol" w:char="F020"/>
      </w:r>
      <w:r>
        <w:t>211/1997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252/1999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218/2000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261/2001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281/2001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23/2002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34/2002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95/2002</w:t>
      </w:r>
      <w:r>
        <w:rPr>
          <w:rFonts w:ascii="Symbol" w:hAnsi="Symbol"/>
        </w:rPr>
        <w:sym w:font="Symbol" w:char="F020"/>
      </w:r>
      <w:r>
        <w:t>Z.z, zákona č.</w:t>
      </w:r>
      <w:r>
        <w:rPr>
          <w:rFonts w:ascii="Symbol" w:hAnsi="Symbol"/>
        </w:rPr>
        <w:sym w:font="Symbol" w:char="F020"/>
      </w:r>
      <w:r>
        <w:t>184/2002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215/2002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526/2</w:t>
      </w:r>
      <w:r>
        <w:t>002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504/2003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515/2003</w:t>
      </w:r>
      <w:r>
        <w:rPr>
          <w:rFonts w:ascii="Symbol" w:hAnsi="Symbol"/>
        </w:rPr>
        <w:sym w:font="Symbol" w:char="F020"/>
      </w:r>
      <w:r>
        <w:t>Z.z., zákona č.</w:t>
      </w:r>
      <w:r>
        <w:rPr>
          <w:rFonts w:ascii="Symbol" w:hAnsi="Symbol"/>
        </w:rPr>
        <w:sym w:font="Symbol" w:char="F020"/>
      </w:r>
      <w:r>
        <w:t>150/2004</w:t>
      </w:r>
      <w:r>
        <w:rPr>
          <w:rFonts w:ascii="Symbol" w:hAnsi="Symbol"/>
        </w:rPr>
        <w:sym w:font="Symbol" w:char="F020"/>
      </w:r>
      <w:r>
        <w:t>Z.z., zákona č.404/2004 Z.z. a  zákona č. 635/2004</w:t>
      </w:r>
      <w:r>
        <w:rPr>
          <w:rFonts w:ascii="Symbol" w:hAnsi="Symbol"/>
        </w:rPr>
        <w:sym w:font="Symbol" w:char="F020"/>
      </w:r>
      <w:r>
        <w:t xml:space="preserve">Z. z. sa mení takto: </w:t>
      </w:r>
    </w:p>
    <w:p>
      <w:pPr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151me sa vypúšťa.</w:t>
      </w:r>
    </w:p>
    <w:p>
      <w:pPr>
        <w:rPr>
          <w:rFonts w:ascii="Times New Roman" w:hAnsi="Times New Roman" w:cs="Times New Roman"/>
        </w:rPr>
      </w:pPr>
    </w:p>
    <w:p>
      <w:pPr>
        <w:ind w:left="360"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článok IV sa označí ako článok VI</w:t>
      </w:r>
    </w:p>
    <w:p>
      <w:pPr>
        <w:ind w:left="3600" w:right="-108"/>
        <w:rPr>
          <w:rFonts w:ascii="Times New Roman" w:hAnsi="Times New Roman" w:cs="Times New Roman"/>
          <w:u w:val="single"/>
        </w:rPr>
      </w:pPr>
    </w:p>
    <w:p>
      <w:pPr>
        <w:pStyle w:val="BodyTextIndent2"/>
      </w:pPr>
      <w:r>
        <w:t xml:space="preserve">Zákonom č. 635/2004 Z. z. bol novelizovaný zákon o cenných papieroch a Občiansky zákonník za účelom implementácie smernice č. 2002/47/ES o dohodách o finančných zárukách.  Ustanovenia týkajúce sa osobitného režimu pre finančné záruky (záložné práva a zabezpečovacie prevody) vo forme cenných papierov a peňažných prostriedkov majú nadobudnúť účinnosť 1.júla 2005. Vzhľadom na požiadavky účastníkov trhu a po konzultáciách dotknutých inštitúcií (MF SR, MS SR, NBS a Centrálny depozitár cenných papierov) bol predložený do legislatívneho procesu návrh novely zákona o cenných papieroch, ktorým sa zužuje súčasný okruh osôb kvalifikovaných pre osobitný (zjednodušený) režim záložného práva o právnické osoby, ktoré nie sú finančnými alebo verejnými inštitúciami a upresňuje sa osobitný režim vzniku, zmeny a zániku záložných práv a zabezpečovacích prevodov. Pretože však vzhľadom na lehoty legislatívneho procesu už nie je možné, aby tieto zmeny nadobudli účinnosť 1.júla 2005, je potrebné odložiť účinnosť ustanovení zákona č.566/2001 Z. z. o cenných papieroch a Občianskeho zákonníka týkajúcich sa osobitného režimu pre finančné záruky.    </w:t>
      </w:r>
    </w:p>
    <w:p>
      <w:pPr>
        <w:tabs>
          <w:tab w:val="left" w:pos="3780"/>
        </w:tabs>
        <w:ind w:hanging="1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financie, rozpočet a menu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hospodárstvo, privatizáciu a podnikanie</w:t>
      </w:r>
    </w:p>
    <w:p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Gestorský výbor odporúča schváliť</w:t>
      </w:r>
    </w:p>
    <w:p>
      <w:pPr>
        <w:jc w:val="both"/>
        <w:rPr>
          <w:rFonts w:ascii="Times New Roman" w:hAnsi="Times New Roman" w:cs="Times New Roman"/>
          <w:szCs w:val="28"/>
        </w:rPr>
      </w:pPr>
    </w:p>
    <w:p>
      <w:pPr>
        <w:jc w:val="both"/>
        <w:rPr>
          <w:rFonts w:ascii="Times New Roman" w:hAnsi="Times New Roman" w:cs="Times New Roman"/>
          <w:szCs w:val="28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v súlade s § 79 ods. 4 pí</w:t>
      </w:r>
      <w:r>
        <w:rPr>
          <w:rFonts w:ascii="Times New Roman" w:hAnsi="Times New Roman" w:cs="Times New Roman"/>
        </w:rPr>
        <w:t>sm. e)  rokovacieho poriadku odporúča Národnej rade Slovenskej republiky</w:t>
      </w:r>
    </w:p>
    <w:p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 bodoch 1 až 28 </w:t>
      </w:r>
      <w:r>
        <w:rPr>
          <w:rFonts w:ascii="Times New Roman" w:hAnsi="Times New Roman" w:cs="Times New Roman"/>
        </w:rPr>
        <w:t xml:space="preserve"> hlasovať  spoločne s odporúčaním  </w:t>
      </w:r>
      <w:r>
        <w:rPr>
          <w:rFonts w:ascii="Times New Roman" w:hAnsi="Times New Roman" w:cs="Times New Roman"/>
          <w:b/>
        </w:rPr>
        <w:t>s c h v á l i ť.</w:t>
      </w:r>
    </w:p>
    <w:p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</w:p>
    <w:p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>
      <w:pPr>
        <w:jc w:val="center"/>
        <w:rPr>
          <w:rFonts w:ascii="Times New Roman" w:hAnsi="Times New Roman" w:cs="Times New Roman"/>
          <w:u w:val="single"/>
        </w:rPr>
      </w:pPr>
    </w:p>
    <w:p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</w:pPr>
      <w:r>
        <w:rPr>
          <w:rFonts w:ascii="Times New Roman" w:hAnsi="Times New Roman" w:cs="Times New Roman"/>
        </w:rPr>
        <w:t xml:space="preserve">         vládny návrh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</w:p>
    <w:p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zákona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o ochrane spotrebiteľa pri finančných službách na diaľku a o zmene a doplnení niektorých zákonov (tlač </w:t>
      </w:r>
      <w:r>
        <w:rPr>
          <w:rStyle w:val="Strong"/>
          <w:rFonts w:ascii="Times New Roman" w:hAnsi="Times New Roman" w:cs="Times New Roman"/>
          <w:color w:val="000000"/>
        </w:rPr>
        <w:t>1044a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t xml:space="preserve"> </w:t>
      </w:r>
      <w:r>
        <w:rPr>
          <w:rFonts w:ascii="Times New Roman" w:hAnsi="Times New Roman" w:cs="Times New Roman"/>
        </w:rPr>
        <w:t>v druhom čítaní bola schválená uznesením  č. 565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z 10. mája 2005.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pStyle w:val="StylNorm2"/>
        <w:adjustRightInd w:val="0"/>
        <w:spacing w:before="0"/>
      </w:pP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u w:val="single"/>
          <w:lang w:eastAsia="cs-CZ"/>
        </w:rPr>
      </w:pPr>
      <w:r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 10. mája 2005</w:t>
      </w:r>
    </w:p>
    <w:p>
      <w:pPr>
        <w:jc w:val="both"/>
        <w:rPr>
          <w:lang w:eastAsia="cs-CZ"/>
        </w:rPr>
      </w:pPr>
    </w:p>
    <w:p>
      <w:pPr>
        <w:jc w:val="both"/>
        <w:rPr>
          <w:lang w:eastAsia="cs-CZ"/>
        </w:rPr>
      </w:pPr>
    </w:p>
    <w:p>
      <w:pPr>
        <w:jc w:val="both"/>
        <w:rPr>
          <w:lang w:eastAsia="cs-CZ"/>
        </w:rPr>
      </w:pPr>
    </w:p>
    <w:p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05724"/>
    <w:multiLevelType w:val="hybridMultilevel"/>
    <w:tmpl w:val="BE8A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005E9"/>
    <w:multiLevelType w:val="hybridMultilevel"/>
    <w:tmpl w:val="4EBC16F0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E82C70"/>
    <w:multiLevelType w:val="hybridMultilevel"/>
    <w:tmpl w:val="E9E20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9B5520"/>
    <w:multiLevelType w:val="hybridMultilevel"/>
    <w:tmpl w:val="30AC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776190"/>
    <w:multiLevelType w:val="hybridMultilevel"/>
    <w:tmpl w:val="17CC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0746B7"/>
    <w:multiLevelType w:val="hybridMultilevel"/>
    <w:tmpl w:val="4290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203BF"/>
    <w:multiLevelType w:val="hybridMultilevel"/>
    <w:tmpl w:val="91B2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BD3996"/>
    <w:multiLevelType w:val="hybridMultilevel"/>
    <w:tmpl w:val="E0E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6450F"/>
    <w:multiLevelType w:val="hybridMultilevel"/>
    <w:tmpl w:val="FE0EF7C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2927A4"/>
    <w:multiLevelType w:val="hybridMultilevel"/>
    <w:tmpl w:val="1210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6">
    <w:nsid w:val="289A692F"/>
    <w:multiLevelType w:val="hybridMultilevel"/>
    <w:tmpl w:val="CEE48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367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FBB43DC"/>
    <w:multiLevelType w:val="hybridMultilevel"/>
    <w:tmpl w:val="3A682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F61B20"/>
    <w:multiLevelType w:val="hybridMultilevel"/>
    <w:tmpl w:val="CBC863E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1D5046C"/>
    <w:multiLevelType w:val="hybridMultilevel"/>
    <w:tmpl w:val="8BF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5F431F"/>
    <w:multiLevelType w:val="multilevel"/>
    <w:tmpl w:val="6DCA42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DA3139"/>
    <w:multiLevelType w:val="hybridMultilevel"/>
    <w:tmpl w:val="0C3A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B732D"/>
    <w:multiLevelType w:val="hybridMultilevel"/>
    <w:tmpl w:val="6AA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27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E30EB1"/>
    <w:multiLevelType w:val="hybridMultilevel"/>
    <w:tmpl w:val="BCFC8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49E1F5A"/>
    <w:multiLevelType w:val="hybridMultilevel"/>
    <w:tmpl w:val="FBE0573E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E1339C"/>
    <w:multiLevelType w:val="hybridMultilevel"/>
    <w:tmpl w:val="633E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8D185E"/>
    <w:multiLevelType w:val="hybridMultilevel"/>
    <w:tmpl w:val="080E59D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CF17CB"/>
    <w:multiLevelType w:val="hybridMultilevel"/>
    <w:tmpl w:val="A32C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EEF5B35"/>
    <w:multiLevelType w:val="multilevel"/>
    <w:tmpl w:val="FEF8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603766"/>
    <w:multiLevelType w:val="hybridMultilevel"/>
    <w:tmpl w:val="BE708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7763CB"/>
    <w:multiLevelType w:val="hybridMultilevel"/>
    <w:tmpl w:val="4094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43">
    <w:nsid w:val="601F4080"/>
    <w:multiLevelType w:val="hybridMultilevel"/>
    <w:tmpl w:val="71E2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6EF1B5F"/>
    <w:multiLevelType w:val="hybridMultilevel"/>
    <w:tmpl w:val="4C48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D57496"/>
    <w:multiLevelType w:val="hybridMultilevel"/>
    <w:tmpl w:val="6A9414A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FA1520D"/>
    <w:multiLevelType w:val="multilevel"/>
    <w:tmpl w:val="49A2363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C05568"/>
    <w:multiLevelType w:val="hybridMultilevel"/>
    <w:tmpl w:val="B7224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4B17E3"/>
    <w:multiLevelType w:val="hybridMultilevel"/>
    <w:tmpl w:val="7EDE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827641"/>
    <w:multiLevelType w:val="hybridMultilevel"/>
    <w:tmpl w:val="945A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F81B63"/>
    <w:multiLevelType w:val="hybridMultilevel"/>
    <w:tmpl w:val="AA3064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7DCE2D07"/>
    <w:multiLevelType w:val="hybridMultilevel"/>
    <w:tmpl w:val="94A4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BE7697"/>
    <w:multiLevelType w:val="hybridMultilevel"/>
    <w:tmpl w:val="7EDC1DC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15"/>
  </w:num>
  <w:num w:numId="3">
    <w:abstractNumId w:val="23"/>
  </w:num>
  <w:num w:numId="4">
    <w:abstractNumId w:val="22"/>
  </w:num>
  <w:num w:numId="5">
    <w:abstractNumId w:val="4"/>
  </w:num>
  <w:num w:numId="6">
    <w:abstractNumId w:val="37"/>
  </w:num>
  <w:num w:numId="7">
    <w:abstractNumId w:val="27"/>
  </w:num>
  <w:num w:numId="8">
    <w:abstractNumId w:val="38"/>
  </w:num>
  <w:num w:numId="9">
    <w:abstractNumId w:val="31"/>
  </w:num>
  <w:num w:numId="10">
    <w:abstractNumId w:val="42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8"/>
  </w:num>
  <w:num w:numId="20">
    <w:abstractNumId w:val="48"/>
  </w:num>
  <w:num w:numId="21">
    <w:abstractNumId w:val="32"/>
  </w:num>
  <w:num w:numId="22">
    <w:abstractNumId w:val="11"/>
  </w:num>
  <w:num w:numId="23">
    <w:abstractNumId w:val="29"/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"/>
  </w:num>
  <w:num w:numId="27">
    <w:abstractNumId w:val="19"/>
  </w:num>
  <w:num w:numId="28">
    <w:abstractNumId w:val="44"/>
  </w:num>
  <w:num w:numId="29">
    <w:abstractNumId w:val="1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</w:num>
  <w:num w:numId="33">
    <w:abstractNumId w:val="21"/>
  </w:num>
  <w:num w:numId="34">
    <w:abstractNumId w:val="0"/>
  </w:num>
  <w:num w:numId="35">
    <w:abstractNumId w:val="9"/>
  </w:num>
  <w:num w:numId="36">
    <w:abstractNumId w:val="47"/>
  </w:num>
  <w:num w:numId="37">
    <w:abstractNumId w:val="7"/>
  </w:num>
  <w:num w:numId="38">
    <w:abstractNumId w:val="33"/>
  </w:num>
  <w:num w:numId="39">
    <w:abstractNumId w:val="51"/>
  </w:num>
  <w:num w:numId="40">
    <w:abstractNumId w:val="10"/>
  </w:num>
  <w:num w:numId="41">
    <w:abstractNumId w:val="39"/>
  </w:num>
  <w:num w:numId="42">
    <w:abstractNumId w:val="18"/>
  </w:num>
  <w:num w:numId="43">
    <w:abstractNumId w:val="17"/>
  </w:num>
  <w:num w:numId="44">
    <w:abstractNumId w:val="5"/>
  </w:num>
  <w:num w:numId="45">
    <w:abstractNumId w:val="13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36"/>
  </w:num>
  <w:num w:numId="53">
    <w:abstractNumId w:val="46"/>
  </w:num>
  <w:num w:numId="54">
    <w:abstractNumId w:val="25"/>
  </w:num>
  <w:num w:numId="55">
    <w:abstractNumId w:val="28"/>
  </w:num>
  <w:num w:numId="56">
    <w:abstractNumId w:val="40"/>
  </w:num>
  <w:num w:numId="57">
    <w:abstractNumId w:val="26"/>
  </w:num>
  <w:num w:numId="58">
    <w:abstractNumId w:val="6"/>
  </w:num>
  <w:num w:numId="59">
    <w:abstractNumId w:val="20"/>
  </w:num>
  <w:num w:numId="6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3274</Words>
  <Characters>18665</Characters>
  <Application>Microsoft Office Word</Application>
  <DocSecurity>0</DocSecurity>
  <Lines>0</Lines>
  <Paragraphs>0</Paragraphs>
  <ScaleCrop>false</ScaleCrop>
  <Company>Kancelária NR SR</Company>
  <LinksUpToDate>false</LinksUpToDate>
  <CharactersWithSpaces>22921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17</cp:revision>
  <cp:lastPrinted>2005-02-01T13:21:00Z</cp:lastPrinted>
  <dcterms:created xsi:type="dcterms:W3CDTF">2005-04-21T10:24:00Z</dcterms:created>
  <dcterms:modified xsi:type="dcterms:W3CDTF">2005-05-04T10:51:00Z</dcterms:modified>
</cp:coreProperties>
</file>