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009C">
      <w:pPr>
        <w:pStyle w:val="TOC1"/>
        <w:rPr>
          <w:rFonts w:ascii="Times New Roman" w:hAnsi="Times New Roman" w:cs="Times New Roman"/>
          <w:b w:val="0"/>
          <w:bCs w:val="0"/>
        </w:rPr>
      </w:pPr>
      <w:bookmarkStart w:id="0" w:name="_Toc97700650"/>
      <w:bookmarkStart w:id="1" w:name="_Toc109024012"/>
      <w:bookmarkStart w:id="2" w:name="_Toc116476470"/>
      <w:bookmarkStart w:id="3" w:name="_Toc148255235"/>
      <w:r w:rsidR="000E060D">
        <w:rPr>
          <w:rFonts w:cs="Times New Roman"/>
          <w:sz w:val="28"/>
          <w:szCs w:val="28"/>
        </w:rPr>
        <w:fldChar w:fldCharType="begin"/>
      </w:r>
      <w:r w:rsidR="000E060D">
        <w:rPr>
          <w:rFonts w:cs="Times New Roman"/>
          <w:sz w:val="28"/>
          <w:szCs w:val="28"/>
        </w:rPr>
        <w:instrText xml:space="preserve"> TOC \o "1-2" \h \z \u \t "Nadpis 3;3" </w:instrText>
      </w:r>
      <w:r w:rsidR="000E060D">
        <w:rPr>
          <w:rFonts w:cs="Times New Roman"/>
          <w:sz w:val="28"/>
          <w:szCs w:val="28"/>
        </w:rPr>
        <w:fldChar w:fldCharType="separate"/>
      </w:r>
      <w:hyperlink w:anchor="_Toc211592386" w:history="1">
        <w:r w:rsidRPr="00F821B6">
          <w:rPr>
            <w:rStyle w:val="Hyperlink"/>
            <w:rFonts w:cs="Times New Roman"/>
          </w:rPr>
          <w:t>Predkladacia správa</w:t>
        </w:r>
        <w:r>
          <w:rPr>
            <w:rFonts w:cs="Times New Roman"/>
          </w:rPr>
          <w:tab/>
        </w:r>
        <w:r>
          <w:rPr>
            <w:rFonts w:cs="Times New Roman"/>
          </w:rPr>
          <w:fldChar w:fldCharType="begin"/>
        </w:r>
        <w:r>
          <w:rPr>
            <w:rFonts w:cs="Times New Roman"/>
          </w:rPr>
          <w:instrText xml:space="preserve"> PAGEREF _Toc211592386 \h </w:instrText>
        </w:r>
        <w:r>
          <w:rPr>
            <w:rFonts w:cs="Times New Roman"/>
          </w:rPr>
          <w:fldChar w:fldCharType="separate"/>
        </w:r>
        <w:r w:rsidR="006E0312">
          <w:rPr>
            <w:rFonts w:cs="Times New Roman"/>
          </w:rPr>
          <w:t>2</w:t>
        </w:r>
        <w:r>
          <w:rPr>
            <w:rFonts w:cs="Times New Roman"/>
          </w:rPr>
          <w:fldChar w:fldCharType="end"/>
        </w:r>
      </w:hyperlink>
    </w:p>
    <w:p w:rsidR="0079009C">
      <w:pPr>
        <w:pStyle w:val="TOC1"/>
        <w:rPr>
          <w:rFonts w:ascii="Times New Roman" w:hAnsi="Times New Roman" w:cs="Times New Roman"/>
          <w:b w:val="0"/>
          <w:bCs w:val="0"/>
        </w:rPr>
      </w:pPr>
      <w:hyperlink w:anchor="_Toc211592387" w:history="1">
        <w:r w:rsidRPr="00F821B6">
          <w:rPr>
            <w:rStyle w:val="Hyperlink"/>
            <w:rFonts w:cs="Times New Roman"/>
          </w:rPr>
          <w:t>1. Vývoj makroekonomického prostredia</w:t>
        </w:r>
        <w:r>
          <w:rPr>
            <w:rFonts w:cs="Times New Roman"/>
          </w:rPr>
          <w:tab/>
        </w:r>
        <w:r>
          <w:rPr>
            <w:rFonts w:cs="Times New Roman"/>
          </w:rPr>
          <w:fldChar w:fldCharType="begin"/>
        </w:r>
        <w:r>
          <w:rPr>
            <w:rFonts w:cs="Times New Roman"/>
          </w:rPr>
          <w:instrText xml:space="preserve"> PAGEREF _Toc211592387 \h </w:instrText>
        </w:r>
        <w:r>
          <w:rPr>
            <w:rFonts w:cs="Times New Roman"/>
          </w:rPr>
          <w:fldChar w:fldCharType="separate"/>
        </w:r>
        <w:r w:rsidR="006E0312">
          <w:rPr>
            <w:rFonts w:cs="Times New Roman"/>
          </w:rPr>
          <w:t>3</w:t>
        </w:r>
        <w:r>
          <w:rPr>
            <w:rFonts w:cs="Times New Roman"/>
          </w:rPr>
          <w:fldChar w:fldCharType="end"/>
        </w:r>
      </w:hyperlink>
    </w:p>
    <w:p w:rsidR="0079009C">
      <w:pPr>
        <w:pStyle w:val="TOC2"/>
        <w:rPr>
          <w:rFonts w:ascii="Times New Roman" w:hAnsi="Times New Roman" w:cs="Times New Roman"/>
          <w:iCs w:val="0"/>
          <w:sz w:val="24"/>
          <w:szCs w:val="24"/>
        </w:rPr>
      </w:pPr>
      <w:hyperlink w:anchor="_Toc211592388" w:history="1">
        <w:r w:rsidRPr="00F821B6">
          <w:rPr>
            <w:rStyle w:val="Hyperlink"/>
            <w:rFonts w:cs="Times New Roman"/>
          </w:rPr>
          <w:t>1.1. Charakteristika vývoja ekonomiky v roku 2008</w:t>
        </w:r>
        <w:r>
          <w:rPr>
            <w:rFonts w:cs="Times New Roman"/>
          </w:rPr>
          <w:tab/>
        </w:r>
        <w:r>
          <w:rPr>
            <w:rFonts w:cs="Times New Roman"/>
          </w:rPr>
          <w:fldChar w:fldCharType="begin"/>
        </w:r>
        <w:r>
          <w:rPr>
            <w:rFonts w:cs="Times New Roman"/>
          </w:rPr>
          <w:instrText xml:space="preserve"> PAGEREF _Toc211592388 \h </w:instrText>
        </w:r>
        <w:r>
          <w:rPr>
            <w:rFonts w:cs="Times New Roman"/>
          </w:rPr>
          <w:fldChar w:fldCharType="separate"/>
        </w:r>
        <w:r w:rsidR="006E0312">
          <w:rPr>
            <w:rFonts w:cs="Times New Roman"/>
          </w:rPr>
          <w:t>3</w:t>
        </w:r>
        <w:r>
          <w:rPr>
            <w:rFonts w:cs="Times New Roman"/>
          </w:rPr>
          <w:fldChar w:fldCharType="end"/>
        </w:r>
      </w:hyperlink>
    </w:p>
    <w:p w:rsidR="0079009C">
      <w:pPr>
        <w:pStyle w:val="TOC2"/>
        <w:rPr>
          <w:rFonts w:ascii="Times New Roman" w:hAnsi="Times New Roman" w:cs="Times New Roman"/>
          <w:iCs w:val="0"/>
          <w:sz w:val="24"/>
          <w:szCs w:val="24"/>
        </w:rPr>
      </w:pPr>
      <w:hyperlink w:anchor="_Toc211592389" w:history="1">
        <w:r w:rsidRPr="00F821B6">
          <w:rPr>
            <w:rStyle w:val="Hyperlink"/>
            <w:rFonts w:cs="Times New Roman"/>
          </w:rPr>
          <w:t>1.2. Makroekonomické rámce zostave</w:t>
        </w:r>
        <w:r w:rsidRPr="00F821B6">
          <w:rPr>
            <w:rStyle w:val="Hyperlink"/>
            <w:rFonts w:cs="Times New Roman"/>
          </w:rPr>
          <w:t>nia návrhu rozpočtu na roky 2009 až 2011</w:t>
        </w:r>
        <w:r>
          <w:rPr>
            <w:rFonts w:cs="Times New Roman"/>
          </w:rPr>
          <w:tab/>
        </w:r>
        <w:r>
          <w:rPr>
            <w:rFonts w:cs="Times New Roman"/>
          </w:rPr>
          <w:fldChar w:fldCharType="begin"/>
        </w:r>
        <w:r>
          <w:rPr>
            <w:rFonts w:cs="Times New Roman"/>
          </w:rPr>
          <w:instrText xml:space="preserve"> PAGEREF _Toc211592389 \h </w:instrText>
        </w:r>
        <w:r>
          <w:rPr>
            <w:rFonts w:cs="Times New Roman"/>
          </w:rPr>
          <w:fldChar w:fldCharType="separate"/>
        </w:r>
        <w:r w:rsidR="006E0312">
          <w:rPr>
            <w:rFonts w:cs="Times New Roman"/>
          </w:rPr>
          <w:t>4</w:t>
        </w:r>
        <w:r>
          <w:rPr>
            <w:rFonts w:cs="Times New Roman"/>
          </w:rPr>
          <w:fldChar w:fldCharType="end"/>
        </w:r>
      </w:hyperlink>
    </w:p>
    <w:p w:rsidR="0079009C">
      <w:pPr>
        <w:pStyle w:val="TOC1"/>
        <w:rPr>
          <w:rFonts w:ascii="Times New Roman" w:hAnsi="Times New Roman" w:cs="Times New Roman"/>
          <w:b w:val="0"/>
          <w:bCs w:val="0"/>
        </w:rPr>
      </w:pPr>
      <w:hyperlink w:anchor="_Toc211592390" w:history="1">
        <w:r w:rsidRPr="00F821B6">
          <w:rPr>
            <w:rStyle w:val="Hyperlink"/>
            <w:rFonts w:cs="Times New Roman"/>
          </w:rPr>
          <w:t>2. Východiskový rámec rozpočtu verejnej správy na roky 2009 až 2011</w:t>
        </w:r>
        <w:r>
          <w:rPr>
            <w:rFonts w:cs="Times New Roman"/>
          </w:rPr>
          <w:tab/>
        </w:r>
        <w:r>
          <w:rPr>
            <w:rFonts w:cs="Times New Roman"/>
          </w:rPr>
          <w:fldChar w:fldCharType="begin"/>
        </w:r>
        <w:r>
          <w:rPr>
            <w:rFonts w:cs="Times New Roman"/>
          </w:rPr>
          <w:instrText xml:space="preserve"> PAGEREF _Toc211592390 \h </w:instrText>
        </w:r>
        <w:r>
          <w:rPr>
            <w:rFonts w:cs="Times New Roman"/>
          </w:rPr>
          <w:fldChar w:fldCharType="separate"/>
        </w:r>
        <w:r w:rsidR="006E0312">
          <w:rPr>
            <w:rFonts w:cs="Times New Roman"/>
          </w:rPr>
          <w:t>8</w:t>
        </w:r>
        <w:r>
          <w:rPr>
            <w:rFonts w:cs="Times New Roman"/>
          </w:rPr>
          <w:fldChar w:fldCharType="end"/>
        </w:r>
      </w:hyperlink>
    </w:p>
    <w:p w:rsidR="0079009C">
      <w:pPr>
        <w:pStyle w:val="TOC2"/>
        <w:rPr>
          <w:rFonts w:ascii="Times New Roman" w:hAnsi="Times New Roman" w:cs="Times New Roman"/>
          <w:iCs w:val="0"/>
          <w:sz w:val="24"/>
          <w:szCs w:val="24"/>
        </w:rPr>
      </w:pPr>
      <w:hyperlink w:anchor="_Toc211592391" w:history="1">
        <w:r w:rsidRPr="00F821B6">
          <w:rPr>
            <w:rStyle w:val="Hyperlink"/>
            <w:rFonts w:cs="Times New Roman"/>
          </w:rPr>
          <w:t>2.1. Základné predpoklady zostavenia rozpočtu verejnej správy</w:t>
        </w:r>
        <w:r>
          <w:rPr>
            <w:rFonts w:cs="Times New Roman"/>
          </w:rPr>
          <w:tab/>
        </w:r>
        <w:r>
          <w:rPr>
            <w:rFonts w:cs="Times New Roman"/>
          </w:rPr>
          <w:fldChar w:fldCharType="begin"/>
        </w:r>
        <w:r>
          <w:rPr>
            <w:rFonts w:cs="Times New Roman"/>
          </w:rPr>
          <w:instrText xml:space="preserve"> PAGEREF _Toc211592391 \h </w:instrText>
        </w:r>
        <w:r>
          <w:rPr>
            <w:rFonts w:cs="Times New Roman"/>
          </w:rPr>
          <w:fldChar w:fldCharType="separate"/>
        </w:r>
        <w:r w:rsidR="006E0312">
          <w:rPr>
            <w:rFonts w:cs="Times New Roman"/>
          </w:rPr>
          <w:t>8</w:t>
        </w:r>
        <w:r>
          <w:rPr>
            <w:rFonts w:cs="Times New Roman"/>
          </w:rPr>
          <w:fldChar w:fldCharType="end"/>
        </w:r>
      </w:hyperlink>
    </w:p>
    <w:p w:rsidR="0079009C">
      <w:pPr>
        <w:pStyle w:val="TOC2"/>
        <w:rPr>
          <w:rFonts w:ascii="Times New Roman" w:hAnsi="Times New Roman" w:cs="Times New Roman"/>
          <w:iCs w:val="0"/>
          <w:sz w:val="24"/>
          <w:szCs w:val="24"/>
        </w:rPr>
      </w:pPr>
      <w:hyperlink w:anchor="_Toc211592392" w:history="1">
        <w:r w:rsidRPr="00F821B6">
          <w:rPr>
            <w:rStyle w:val="Hyperlink"/>
            <w:rFonts w:cs="Times New Roman"/>
          </w:rPr>
          <w:t>2.2. Rámec na zostavenie rozpočtu verejnej správy</w:t>
        </w:r>
        <w:r>
          <w:rPr>
            <w:rFonts w:cs="Times New Roman"/>
          </w:rPr>
          <w:tab/>
        </w:r>
        <w:r>
          <w:rPr>
            <w:rFonts w:cs="Times New Roman"/>
          </w:rPr>
          <w:fldChar w:fldCharType="begin"/>
        </w:r>
        <w:r>
          <w:rPr>
            <w:rFonts w:cs="Times New Roman"/>
          </w:rPr>
          <w:instrText xml:space="preserve"> PAGEREF _Toc211592392 \h </w:instrText>
        </w:r>
        <w:r>
          <w:rPr>
            <w:rFonts w:cs="Times New Roman"/>
          </w:rPr>
          <w:fldChar w:fldCharType="separate"/>
        </w:r>
        <w:r w:rsidR="006E0312">
          <w:rPr>
            <w:rFonts w:cs="Times New Roman"/>
          </w:rPr>
          <w:t>8</w:t>
        </w:r>
        <w:r>
          <w:rPr>
            <w:rFonts w:cs="Times New Roman"/>
          </w:rPr>
          <w:fldChar w:fldCharType="end"/>
        </w:r>
      </w:hyperlink>
    </w:p>
    <w:p w:rsidR="0079009C">
      <w:pPr>
        <w:pStyle w:val="TOC2"/>
        <w:rPr>
          <w:rFonts w:ascii="Times New Roman" w:hAnsi="Times New Roman" w:cs="Times New Roman"/>
          <w:iCs w:val="0"/>
          <w:sz w:val="24"/>
          <w:szCs w:val="24"/>
        </w:rPr>
      </w:pPr>
      <w:hyperlink w:anchor="_Toc211592393" w:history="1">
        <w:r w:rsidRPr="00F821B6">
          <w:rPr>
            <w:rStyle w:val="Hyperlink"/>
            <w:rFonts w:cs="Times New Roman"/>
          </w:rPr>
          <w:t>2.3. Dlh verejnej správy</w:t>
        </w:r>
        <w:r>
          <w:rPr>
            <w:rFonts w:cs="Times New Roman"/>
          </w:rPr>
          <w:tab/>
        </w:r>
        <w:r>
          <w:rPr>
            <w:rFonts w:cs="Times New Roman"/>
          </w:rPr>
          <w:fldChar w:fldCharType="begin"/>
        </w:r>
        <w:r>
          <w:rPr>
            <w:rFonts w:cs="Times New Roman"/>
          </w:rPr>
          <w:instrText xml:space="preserve"> </w:instrText>
        </w:r>
        <w:r>
          <w:rPr>
            <w:rFonts w:cs="Times New Roman"/>
          </w:rPr>
          <w:instrText xml:space="preserve">PAGEREF _Toc211592393 \h </w:instrText>
        </w:r>
        <w:r>
          <w:rPr>
            <w:rFonts w:cs="Times New Roman"/>
          </w:rPr>
          <w:fldChar w:fldCharType="separate"/>
        </w:r>
        <w:r w:rsidR="006E0312">
          <w:rPr>
            <w:rFonts w:cs="Times New Roman"/>
          </w:rPr>
          <w:t>10</w:t>
        </w:r>
        <w:r>
          <w:rPr>
            <w:rFonts w:cs="Times New Roman"/>
          </w:rPr>
          <w:fldChar w:fldCharType="end"/>
        </w:r>
      </w:hyperlink>
    </w:p>
    <w:p w:rsidR="0079009C">
      <w:pPr>
        <w:pStyle w:val="TOC1"/>
        <w:rPr>
          <w:rFonts w:ascii="Times New Roman" w:hAnsi="Times New Roman" w:cs="Times New Roman"/>
          <w:b w:val="0"/>
          <w:bCs w:val="0"/>
        </w:rPr>
      </w:pPr>
      <w:hyperlink w:anchor="_Toc211592394" w:history="1">
        <w:r w:rsidRPr="00F821B6">
          <w:rPr>
            <w:rStyle w:val="Hyperlink"/>
            <w:rFonts w:cs="Times New Roman"/>
          </w:rPr>
          <w:t>3. Rozpočtovanie príjmov štátneho rozpočtu</w:t>
        </w:r>
        <w:r>
          <w:rPr>
            <w:rFonts w:cs="Times New Roman"/>
          </w:rPr>
          <w:tab/>
        </w:r>
        <w:r>
          <w:rPr>
            <w:rFonts w:cs="Times New Roman"/>
          </w:rPr>
          <w:fldChar w:fldCharType="begin"/>
        </w:r>
        <w:r>
          <w:rPr>
            <w:rFonts w:cs="Times New Roman"/>
          </w:rPr>
          <w:instrText xml:space="preserve"> PAGEREF _Toc211592394 \h </w:instrText>
        </w:r>
        <w:r>
          <w:rPr>
            <w:rFonts w:cs="Times New Roman"/>
          </w:rPr>
          <w:fldChar w:fldCharType="separate"/>
        </w:r>
        <w:r w:rsidR="006E0312">
          <w:rPr>
            <w:rFonts w:cs="Times New Roman"/>
          </w:rPr>
          <w:t>11</w:t>
        </w:r>
        <w:r>
          <w:rPr>
            <w:rFonts w:cs="Times New Roman"/>
          </w:rPr>
          <w:fldChar w:fldCharType="end"/>
        </w:r>
      </w:hyperlink>
    </w:p>
    <w:p w:rsidR="0079009C">
      <w:pPr>
        <w:pStyle w:val="TOC2"/>
        <w:rPr>
          <w:rFonts w:ascii="Times New Roman" w:hAnsi="Times New Roman" w:cs="Times New Roman"/>
          <w:iCs w:val="0"/>
          <w:sz w:val="24"/>
          <w:szCs w:val="24"/>
        </w:rPr>
      </w:pPr>
      <w:hyperlink w:anchor="_Toc211592395" w:history="1">
        <w:r w:rsidRPr="00F821B6">
          <w:rPr>
            <w:rStyle w:val="Hyperlink"/>
            <w:rFonts w:cs="Times New Roman"/>
          </w:rPr>
          <w:t>3.1. Rozpočt</w:t>
        </w:r>
        <w:bookmarkStart w:id="4" w:name="_Hlt211592552"/>
        <w:r w:rsidRPr="00F821B6">
          <w:rPr>
            <w:rStyle w:val="Hyperlink"/>
            <w:rFonts w:cs="Times New Roman"/>
          </w:rPr>
          <w:t>o</w:t>
        </w:r>
        <w:bookmarkEnd w:id="4"/>
        <w:r w:rsidRPr="00F821B6">
          <w:rPr>
            <w:rStyle w:val="Hyperlink"/>
            <w:rFonts w:cs="Times New Roman"/>
          </w:rPr>
          <w:t>vanie daňových príjmov</w:t>
        </w:r>
        <w:r>
          <w:rPr>
            <w:rFonts w:cs="Times New Roman"/>
          </w:rPr>
          <w:tab/>
        </w:r>
        <w:r>
          <w:rPr>
            <w:rFonts w:cs="Times New Roman"/>
          </w:rPr>
          <w:fldChar w:fldCharType="begin"/>
        </w:r>
        <w:r>
          <w:rPr>
            <w:rFonts w:cs="Times New Roman"/>
          </w:rPr>
          <w:instrText xml:space="preserve"> PAGEREF _Toc211592395 \h </w:instrText>
        </w:r>
        <w:r>
          <w:rPr>
            <w:rFonts w:cs="Times New Roman"/>
          </w:rPr>
          <w:fldChar w:fldCharType="separate"/>
        </w:r>
        <w:r w:rsidR="006E0312">
          <w:rPr>
            <w:rFonts w:cs="Times New Roman"/>
          </w:rPr>
          <w:t>11</w:t>
        </w:r>
        <w:r>
          <w:rPr>
            <w:rFonts w:cs="Times New Roman"/>
          </w:rPr>
          <w:fldChar w:fldCharType="end"/>
        </w:r>
      </w:hyperlink>
    </w:p>
    <w:p w:rsidR="0079009C" w:rsidRPr="0079009C">
      <w:pPr>
        <w:pStyle w:val="TOC2"/>
        <w:rPr>
          <w:rFonts w:ascii="Times New Roman" w:hAnsi="Times New Roman" w:cs="Times New Roman"/>
          <w:iCs w:val="0"/>
          <w:sz w:val="24"/>
          <w:szCs w:val="24"/>
        </w:rPr>
      </w:pPr>
      <w:hyperlink w:anchor="_Toc211592396" w:history="1">
        <w:r w:rsidRPr="0079009C">
          <w:rPr>
            <w:rStyle w:val="Hyperlink"/>
            <w:rFonts w:cs="Times New Roman"/>
          </w:rPr>
          <w:t>3.2. Akruálne dane pre návrh rozpočtu verejnej správy 2009 až 2011</w:t>
        </w:r>
        <w:r w:rsidRPr="0079009C">
          <w:rPr>
            <w:rFonts w:cs="Times New Roman"/>
          </w:rPr>
          <w:tab/>
        </w:r>
        <w:r w:rsidRPr="0079009C">
          <w:rPr>
            <w:rFonts w:cs="Times New Roman"/>
          </w:rPr>
          <w:fldChar w:fldCharType="begin"/>
        </w:r>
        <w:r w:rsidRPr="0079009C">
          <w:rPr>
            <w:rFonts w:cs="Times New Roman"/>
          </w:rPr>
          <w:instrText xml:space="preserve"> PAGEREF _Toc211592396 \h </w:instrText>
        </w:r>
        <w:r w:rsidRPr="0079009C">
          <w:rPr>
            <w:rFonts w:cs="Times New Roman"/>
          </w:rPr>
          <w:fldChar w:fldCharType="separate"/>
        </w:r>
        <w:r w:rsidR="006E0312">
          <w:rPr>
            <w:rFonts w:cs="Times New Roman"/>
          </w:rPr>
          <w:t>19</w:t>
        </w:r>
        <w:r w:rsidRPr="0079009C">
          <w:rPr>
            <w:rFonts w:cs="Times New Roman"/>
          </w:rPr>
          <w:fldChar w:fldCharType="end"/>
        </w:r>
      </w:hyperlink>
    </w:p>
    <w:p w:rsidR="0079009C" w:rsidRPr="0079009C">
      <w:pPr>
        <w:pStyle w:val="TOC2"/>
        <w:rPr>
          <w:rFonts w:ascii="Times New Roman" w:hAnsi="Times New Roman" w:cs="Times New Roman"/>
          <w:iCs w:val="0"/>
          <w:sz w:val="24"/>
          <w:szCs w:val="24"/>
        </w:rPr>
      </w:pPr>
      <w:hyperlink w:anchor="_Toc211592397" w:history="1">
        <w:r w:rsidRPr="0079009C">
          <w:rPr>
            <w:rStyle w:val="Hyperlink"/>
            <w:rFonts w:cs="Times New Roman"/>
          </w:rPr>
          <w:t>3.3. Porovnanie aktuálneho odhadu daní s rozpočtom verejnej správy na roky 2008 až 2010</w:t>
        </w:r>
        <w:r w:rsidRPr="0079009C">
          <w:rPr>
            <w:rFonts w:cs="Times New Roman"/>
          </w:rPr>
          <w:tab/>
        </w:r>
        <w:r w:rsidRPr="0079009C">
          <w:rPr>
            <w:rFonts w:cs="Times New Roman"/>
          </w:rPr>
          <w:fldChar w:fldCharType="begin"/>
        </w:r>
        <w:r w:rsidRPr="0079009C">
          <w:rPr>
            <w:rFonts w:cs="Times New Roman"/>
          </w:rPr>
          <w:instrText xml:space="preserve"> PAGEREF _T</w:instrText>
        </w:r>
        <w:r w:rsidRPr="0079009C">
          <w:rPr>
            <w:rFonts w:cs="Times New Roman"/>
          </w:rPr>
          <w:instrText xml:space="preserve">oc211592397 \h </w:instrText>
        </w:r>
        <w:r w:rsidRPr="0079009C">
          <w:rPr>
            <w:rFonts w:cs="Times New Roman"/>
          </w:rPr>
          <w:fldChar w:fldCharType="separate"/>
        </w:r>
        <w:r w:rsidR="006E0312">
          <w:rPr>
            <w:rFonts w:cs="Times New Roman"/>
          </w:rPr>
          <w:t>22</w:t>
        </w:r>
        <w:r w:rsidRPr="0079009C">
          <w:rPr>
            <w:rFonts w:cs="Times New Roman"/>
          </w:rPr>
          <w:fldChar w:fldCharType="end"/>
        </w:r>
      </w:hyperlink>
    </w:p>
    <w:p w:rsidR="0079009C">
      <w:pPr>
        <w:pStyle w:val="TOC2"/>
        <w:rPr>
          <w:rFonts w:ascii="Times New Roman" w:hAnsi="Times New Roman" w:cs="Times New Roman"/>
          <w:iCs w:val="0"/>
          <w:sz w:val="24"/>
          <w:szCs w:val="24"/>
        </w:rPr>
      </w:pPr>
      <w:hyperlink w:anchor="_Toc211592398" w:history="1">
        <w:r w:rsidRPr="00F821B6">
          <w:rPr>
            <w:rStyle w:val="Hyperlink"/>
            <w:rFonts w:cs="Times New Roman"/>
          </w:rPr>
          <w:t>3.4. Rozpočtovanie iných ako daňových príjmov</w:t>
        </w:r>
        <w:r>
          <w:rPr>
            <w:rFonts w:cs="Times New Roman"/>
          </w:rPr>
          <w:tab/>
        </w:r>
        <w:r>
          <w:rPr>
            <w:rFonts w:cs="Times New Roman"/>
          </w:rPr>
          <w:fldChar w:fldCharType="begin"/>
        </w:r>
        <w:r>
          <w:rPr>
            <w:rFonts w:cs="Times New Roman"/>
          </w:rPr>
          <w:instrText xml:space="preserve"> PAGEREF _Toc211592398 \h </w:instrText>
        </w:r>
        <w:r>
          <w:rPr>
            <w:rFonts w:cs="Times New Roman"/>
          </w:rPr>
          <w:fldChar w:fldCharType="separate"/>
        </w:r>
        <w:r w:rsidR="006E0312">
          <w:rPr>
            <w:rFonts w:cs="Times New Roman"/>
          </w:rPr>
          <w:t>22</w:t>
        </w:r>
        <w:r>
          <w:rPr>
            <w:rFonts w:cs="Times New Roman"/>
          </w:rPr>
          <w:fldChar w:fldCharType="end"/>
        </w:r>
      </w:hyperlink>
    </w:p>
    <w:p w:rsidR="0079009C">
      <w:pPr>
        <w:pStyle w:val="TOC1"/>
        <w:rPr>
          <w:rFonts w:ascii="Times New Roman" w:hAnsi="Times New Roman" w:cs="Times New Roman"/>
          <w:b w:val="0"/>
          <w:bCs w:val="0"/>
        </w:rPr>
      </w:pPr>
      <w:hyperlink w:anchor="_Toc211592399" w:history="1">
        <w:r w:rsidRPr="00F821B6">
          <w:rPr>
            <w:rStyle w:val="Hyperlink"/>
            <w:rFonts w:cs="Times New Roman"/>
          </w:rPr>
          <w:t>4. Rozpočtovanie výdavkov štátneho rozpočtu</w:t>
        </w:r>
        <w:r>
          <w:rPr>
            <w:rFonts w:cs="Times New Roman"/>
          </w:rPr>
          <w:tab/>
        </w:r>
        <w:r>
          <w:rPr>
            <w:rFonts w:cs="Times New Roman"/>
          </w:rPr>
          <w:fldChar w:fldCharType="begin"/>
        </w:r>
        <w:r>
          <w:rPr>
            <w:rFonts w:cs="Times New Roman"/>
          </w:rPr>
          <w:instrText xml:space="preserve"> PAGEREF _Toc211592399 \h </w:instrText>
        </w:r>
        <w:r>
          <w:rPr>
            <w:rFonts w:cs="Times New Roman"/>
          </w:rPr>
          <w:fldChar w:fldCharType="separate"/>
        </w:r>
        <w:r w:rsidR="006E0312">
          <w:rPr>
            <w:rFonts w:cs="Times New Roman"/>
          </w:rPr>
          <w:t>26</w:t>
        </w:r>
        <w:r>
          <w:rPr>
            <w:rFonts w:cs="Times New Roman"/>
          </w:rPr>
          <w:fldChar w:fldCharType="end"/>
        </w:r>
      </w:hyperlink>
    </w:p>
    <w:p w:rsidR="0079009C">
      <w:pPr>
        <w:pStyle w:val="TOC2"/>
        <w:rPr>
          <w:rFonts w:ascii="Times New Roman" w:hAnsi="Times New Roman" w:cs="Times New Roman"/>
          <w:iCs w:val="0"/>
          <w:sz w:val="24"/>
          <w:szCs w:val="24"/>
        </w:rPr>
      </w:pPr>
      <w:hyperlink w:anchor="_Toc211592400" w:history="1">
        <w:r w:rsidRPr="00F821B6">
          <w:rPr>
            <w:rStyle w:val="Hyperlink"/>
            <w:rFonts w:cs="Times New Roman"/>
          </w:rPr>
          <w:t>4.1. Kvantifikácia výdavkov štátneho ro</w:t>
        </w:r>
        <w:bookmarkStart w:id="5" w:name="_Hlt211592505"/>
        <w:r w:rsidRPr="00F821B6">
          <w:rPr>
            <w:rStyle w:val="Hyperlink"/>
            <w:rFonts w:cs="Times New Roman"/>
          </w:rPr>
          <w:t>z</w:t>
        </w:r>
        <w:bookmarkEnd w:id="5"/>
        <w:r w:rsidRPr="00F821B6">
          <w:rPr>
            <w:rStyle w:val="Hyperlink"/>
            <w:rFonts w:cs="Times New Roman"/>
          </w:rPr>
          <w:t>počtu</w:t>
        </w:r>
        <w:r>
          <w:rPr>
            <w:rFonts w:cs="Times New Roman"/>
          </w:rPr>
          <w:tab/>
        </w:r>
        <w:r>
          <w:rPr>
            <w:rFonts w:cs="Times New Roman"/>
          </w:rPr>
          <w:fldChar w:fldCharType="begin"/>
        </w:r>
        <w:r>
          <w:rPr>
            <w:rFonts w:cs="Times New Roman"/>
          </w:rPr>
          <w:instrText xml:space="preserve"> PAGEREF _Toc211592400 \h </w:instrText>
        </w:r>
        <w:r>
          <w:rPr>
            <w:rFonts w:cs="Times New Roman"/>
          </w:rPr>
          <w:fldChar w:fldCharType="separate"/>
        </w:r>
        <w:r w:rsidR="006E0312">
          <w:rPr>
            <w:rFonts w:cs="Times New Roman"/>
          </w:rPr>
          <w:t>26</w:t>
        </w:r>
        <w:r>
          <w:rPr>
            <w:rFonts w:cs="Times New Roman"/>
          </w:rPr>
          <w:fldChar w:fldCharType="end"/>
        </w:r>
      </w:hyperlink>
    </w:p>
    <w:p w:rsidR="0079009C">
      <w:pPr>
        <w:pStyle w:val="TOC2"/>
        <w:rPr>
          <w:rFonts w:ascii="Times New Roman" w:hAnsi="Times New Roman" w:cs="Times New Roman"/>
          <w:iCs w:val="0"/>
          <w:sz w:val="24"/>
          <w:szCs w:val="24"/>
        </w:rPr>
      </w:pPr>
      <w:hyperlink w:anchor="_Toc211592401" w:history="1">
        <w:r w:rsidRPr="00F821B6">
          <w:rPr>
            <w:rStyle w:val="Hyperlink"/>
            <w:rFonts w:cs="Times New Roman"/>
          </w:rPr>
          <w:t>4.2. Rozpočtovanie výdavkov podľa vybraných oblastí</w:t>
        </w:r>
        <w:r>
          <w:rPr>
            <w:rFonts w:cs="Times New Roman"/>
          </w:rPr>
          <w:tab/>
        </w:r>
        <w:r>
          <w:rPr>
            <w:rFonts w:cs="Times New Roman"/>
          </w:rPr>
          <w:fldChar w:fldCharType="begin"/>
        </w:r>
        <w:r>
          <w:rPr>
            <w:rFonts w:cs="Times New Roman"/>
          </w:rPr>
          <w:instrText xml:space="preserve"> PAGEREF _Toc211592401 \h </w:instrText>
        </w:r>
        <w:r>
          <w:rPr>
            <w:rFonts w:cs="Times New Roman"/>
          </w:rPr>
          <w:fldChar w:fldCharType="separate"/>
        </w:r>
        <w:r w:rsidR="006E0312">
          <w:rPr>
            <w:rFonts w:cs="Times New Roman"/>
          </w:rPr>
          <w:t>33</w:t>
        </w:r>
        <w:r>
          <w:rPr>
            <w:rFonts w:cs="Times New Roman"/>
          </w:rPr>
          <w:fldChar w:fldCharType="end"/>
        </w:r>
      </w:hyperlink>
    </w:p>
    <w:p w:rsidR="0079009C">
      <w:pPr>
        <w:pStyle w:val="TOC1"/>
        <w:rPr>
          <w:rFonts w:ascii="Times New Roman" w:hAnsi="Times New Roman" w:cs="Times New Roman"/>
          <w:b w:val="0"/>
          <w:bCs w:val="0"/>
        </w:rPr>
      </w:pPr>
      <w:hyperlink w:anchor="_Toc211592402" w:history="1">
        <w:r w:rsidRPr="00F821B6">
          <w:rPr>
            <w:rStyle w:val="Hyperlink"/>
            <w:rFonts w:cs="Times New Roman"/>
          </w:rPr>
          <w:t>5. Štátne finančné aktíva</w:t>
        </w:r>
        <w:r>
          <w:rPr>
            <w:rFonts w:cs="Times New Roman"/>
          </w:rPr>
          <w:tab/>
        </w:r>
        <w:r>
          <w:rPr>
            <w:rFonts w:cs="Times New Roman"/>
          </w:rPr>
          <w:fldChar w:fldCharType="begin"/>
        </w:r>
        <w:r>
          <w:rPr>
            <w:rFonts w:cs="Times New Roman"/>
          </w:rPr>
          <w:instrText xml:space="preserve"> PAGEREF _Toc211592402 \h </w:instrText>
        </w:r>
        <w:r>
          <w:rPr>
            <w:rFonts w:cs="Times New Roman"/>
          </w:rPr>
          <w:fldChar w:fldCharType="separate"/>
        </w:r>
        <w:r w:rsidR="006E0312">
          <w:rPr>
            <w:rFonts w:cs="Times New Roman"/>
          </w:rPr>
          <w:t>59</w:t>
        </w:r>
        <w:r>
          <w:rPr>
            <w:rFonts w:cs="Times New Roman"/>
          </w:rPr>
          <w:fldChar w:fldCharType="end"/>
        </w:r>
      </w:hyperlink>
    </w:p>
    <w:p w:rsidR="0079009C">
      <w:pPr>
        <w:pStyle w:val="TOC2"/>
        <w:rPr>
          <w:rFonts w:ascii="Times New Roman" w:hAnsi="Times New Roman" w:cs="Times New Roman"/>
          <w:iCs w:val="0"/>
          <w:sz w:val="24"/>
          <w:szCs w:val="24"/>
        </w:rPr>
      </w:pPr>
      <w:hyperlink w:anchor="_Toc211592403" w:history="1">
        <w:r w:rsidRPr="00F821B6">
          <w:rPr>
            <w:rStyle w:val="Hyperlink"/>
            <w:rFonts w:cs="Times New Roman"/>
          </w:rPr>
          <w:t>5.1. Príjmové operácie</w:t>
        </w:r>
        <w:r>
          <w:rPr>
            <w:rFonts w:cs="Times New Roman"/>
          </w:rPr>
          <w:tab/>
        </w:r>
        <w:r>
          <w:rPr>
            <w:rFonts w:cs="Times New Roman"/>
          </w:rPr>
          <w:fldChar w:fldCharType="begin"/>
        </w:r>
        <w:r>
          <w:rPr>
            <w:rFonts w:cs="Times New Roman"/>
          </w:rPr>
          <w:instrText xml:space="preserve"> PAGEREF _Toc211592403 \h </w:instrText>
        </w:r>
        <w:r>
          <w:rPr>
            <w:rFonts w:cs="Times New Roman"/>
          </w:rPr>
          <w:fldChar w:fldCharType="separate"/>
        </w:r>
        <w:r w:rsidR="006E0312">
          <w:rPr>
            <w:rFonts w:cs="Times New Roman"/>
          </w:rPr>
          <w:t>60</w:t>
        </w:r>
        <w:r>
          <w:rPr>
            <w:rFonts w:cs="Times New Roman"/>
          </w:rPr>
          <w:fldChar w:fldCharType="end"/>
        </w:r>
      </w:hyperlink>
    </w:p>
    <w:p w:rsidR="0079009C">
      <w:pPr>
        <w:pStyle w:val="TOC2"/>
        <w:rPr>
          <w:rFonts w:ascii="Times New Roman" w:hAnsi="Times New Roman" w:cs="Times New Roman"/>
          <w:iCs w:val="0"/>
          <w:sz w:val="24"/>
          <w:szCs w:val="24"/>
        </w:rPr>
      </w:pPr>
      <w:hyperlink w:anchor="_Toc211592404" w:history="1">
        <w:r w:rsidRPr="00F821B6">
          <w:rPr>
            <w:rStyle w:val="Hyperlink"/>
            <w:rFonts w:cs="Times New Roman"/>
          </w:rPr>
          <w:t>5.2. Výdavkové operácie</w:t>
        </w:r>
        <w:r>
          <w:rPr>
            <w:rFonts w:cs="Times New Roman"/>
          </w:rPr>
          <w:tab/>
        </w:r>
        <w:r>
          <w:rPr>
            <w:rFonts w:cs="Times New Roman"/>
          </w:rPr>
          <w:fldChar w:fldCharType="begin"/>
        </w:r>
        <w:r>
          <w:rPr>
            <w:rFonts w:cs="Times New Roman"/>
          </w:rPr>
          <w:instrText xml:space="preserve"> PAGEREF _Toc211592404 \h </w:instrText>
        </w:r>
        <w:r>
          <w:rPr>
            <w:rFonts w:cs="Times New Roman"/>
          </w:rPr>
          <w:fldChar w:fldCharType="separate"/>
        </w:r>
        <w:r w:rsidR="006E0312">
          <w:rPr>
            <w:rFonts w:cs="Times New Roman"/>
          </w:rPr>
          <w:t>62</w:t>
        </w:r>
        <w:r>
          <w:rPr>
            <w:rFonts w:cs="Times New Roman"/>
          </w:rPr>
          <w:fldChar w:fldCharType="end"/>
        </w:r>
      </w:hyperlink>
    </w:p>
    <w:p w:rsidR="0079009C">
      <w:pPr>
        <w:pStyle w:val="TOC1"/>
        <w:rPr>
          <w:rFonts w:ascii="Times New Roman" w:hAnsi="Times New Roman" w:cs="Times New Roman"/>
          <w:b w:val="0"/>
          <w:bCs w:val="0"/>
        </w:rPr>
      </w:pPr>
      <w:hyperlink w:anchor="_Toc211592405" w:history="1">
        <w:r w:rsidRPr="00F821B6">
          <w:rPr>
            <w:rStyle w:val="Hyperlink"/>
            <w:rFonts w:cs="Times New Roman"/>
          </w:rPr>
          <w:t>6. Štátny rozpočet v metodike ESA 95</w:t>
        </w:r>
        <w:r>
          <w:rPr>
            <w:rFonts w:cs="Times New Roman"/>
          </w:rPr>
          <w:tab/>
        </w:r>
        <w:r>
          <w:rPr>
            <w:rFonts w:cs="Times New Roman"/>
          </w:rPr>
          <w:fldChar w:fldCharType="begin"/>
        </w:r>
        <w:r>
          <w:rPr>
            <w:rFonts w:cs="Times New Roman"/>
          </w:rPr>
          <w:instrText xml:space="preserve"> PAGEREF _Toc211592405 \h </w:instrText>
        </w:r>
        <w:r>
          <w:rPr>
            <w:rFonts w:cs="Times New Roman"/>
          </w:rPr>
          <w:fldChar w:fldCharType="separate"/>
        </w:r>
        <w:r w:rsidR="006E0312">
          <w:rPr>
            <w:rFonts w:cs="Times New Roman"/>
          </w:rPr>
          <w:t>64</w:t>
        </w:r>
        <w:r>
          <w:rPr>
            <w:rFonts w:cs="Times New Roman"/>
          </w:rPr>
          <w:fldChar w:fldCharType="end"/>
        </w:r>
      </w:hyperlink>
    </w:p>
    <w:p w:rsidR="000E060D" w:rsidP="000E060D">
      <w:pPr>
        <w:pStyle w:val="Heading1"/>
        <w:tabs>
          <w:tab w:val="right" w:leader="dot" w:pos="9060"/>
        </w:tabs>
        <w:rPr>
          <w:rFonts w:ascii="Arial Narrow" w:hAnsi="Arial Narrow"/>
          <w:noProof/>
          <w:sz w:val="28"/>
          <w:szCs w:val="28"/>
        </w:rPr>
      </w:pPr>
      <w:r>
        <w:rPr>
          <w:rFonts w:cs="Times New Roman"/>
          <w:sz w:val="28"/>
          <w:szCs w:val="28"/>
        </w:rPr>
        <w:fldChar w:fldCharType="end"/>
      </w:r>
    </w:p>
    <w:p w:rsidR="000E060D" w:rsidP="000E060D">
      <w:pPr>
        <w:rPr>
          <w:rFonts w:ascii="Arial Narrow" w:hAnsi="Arial Narrow" w:cs="Times New Roman"/>
          <w:b/>
          <w:szCs w:val="24"/>
        </w:rPr>
      </w:pPr>
    </w:p>
    <w:p w:rsidR="000E060D" w:rsidRPr="002D1173" w:rsidP="000E060D">
      <w:pPr>
        <w:rPr>
          <w:rFonts w:ascii="Arial Narrow" w:hAnsi="Arial Narrow" w:cs="Times New Roman"/>
          <w:b/>
          <w:szCs w:val="24"/>
        </w:rPr>
      </w:pPr>
      <w:r w:rsidRPr="002D1173">
        <w:rPr>
          <w:rFonts w:ascii="Arial Narrow" w:hAnsi="Arial Narrow" w:cs="Times New Roman"/>
          <w:b/>
          <w:szCs w:val="24"/>
        </w:rPr>
        <w:t>Prílohy</w:t>
      </w:r>
    </w:p>
    <w:p w:rsidR="000E060D" w:rsidRPr="006758E9" w:rsidP="000E060D">
      <w:pPr>
        <w:rPr>
          <w:rFonts w:ascii="Arial Narrow" w:hAnsi="Arial Narrow" w:cs="Times New Roman"/>
          <w:szCs w:val="24"/>
        </w:rPr>
      </w:pPr>
    </w:p>
    <w:p w:rsidR="000E060D" w:rsidP="000E060D">
      <w:pPr>
        <w:spacing w:before="120"/>
        <w:rPr>
          <w:rFonts w:ascii="Arial Narrow" w:hAnsi="Arial Narrow" w:cs="Times New Roman"/>
          <w:sz w:val="22"/>
          <w:szCs w:val="22"/>
        </w:rPr>
      </w:pPr>
      <w:r w:rsidRPr="006758E9">
        <w:rPr>
          <w:rFonts w:ascii="Arial Narrow" w:hAnsi="Arial Narrow" w:cs="Times New Roman"/>
          <w:sz w:val="22"/>
          <w:szCs w:val="22"/>
        </w:rPr>
        <w:t>1. Rozpočtovanie príjmov a výdavkov ostatných subjektov verejnej správy v metodike ESA 95</w:t>
      </w:r>
    </w:p>
    <w:p w:rsidR="000E060D" w:rsidRPr="006758E9" w:rsidP="000E060D">
      <w:pPr>
        <w:spacing w:before="120"/>
        <w:rPr>
          <w:rFonts w:ascii="Arial Narrow" w:hAnsi="Arial Narrow" w:cs="Times New Roman"/>
          <w:sz w:val="22"/>
          <w:szCs w:val="22"/>
        </w:rPr>
      </w:pPr>
      <w:r w:rsidRPr="006758E9">
        <w:rPr>
          <w:rFonts w:ascii="Arial Narrow" w:hAnsi="Arial Narrow" w:cs="Times New Roman"/>
          <w:sz w:val="22"/>
          <w:szCs w:val="22"/>
        </w:rPr>
        <w:t xml:space="preserve">2. </w:t>
      </w:r>
      <w:r>
        <w:rPr>
          <w:rFonts w:ascii="Arial Narrow" w:hAnsi="Arial Narrow" w:cs="Times New Roman"/>
          <w:sz w:val="22"/>
          <w:szCs w:val="22"/>
        </w:rPr>
        <w:t>R</w:t>
      </w:r>
      <w:r w:rsidRPr="006758E9">
        <w:rPr>
          <w:rFonts w:ascii="Arial Narrow" w:hAnsi="Arial Narrow" w:cs="Times New Roman"/>
          <w:sz w:val="22"/>
          <w:szCs w:val="22"/>
        </w:rPr>
        <w:t>ozpočtové vzťahy SR a EÚ</w:t>
      </w:r>
    </w:p>
    <w:p w:rsidR="000E060D" w:rsidRPr="002D1173" w:rsidP="000E060D">
      <w:pPr>
        <w:spacing w:before="120"/>
        <w:rPr>
          <w:rFonts w:ascii="Arial Narrow" w:hAnsi="Arial Narrow" w:cs="Times New Roman"/>
          <w:sz w:val="22"/>
          <w:szCs w:val="22"/>
        </w:rPr>
      </w:pPr>
      <w:r w:rsidRPr="006758E9">
        <w:rPr>
          <w:rFonts w:ascii="Arial Narrow" w:hAnsi="Arial Narrow" w:cs="Times New Roman"/>
          <w:sz w:val="22"/>
          <w:szCs w:val="22"/>
        </w:rPr>
        <w:t xml:space="preserve">3. </w:t>
      </w:r>
      <w:r w:rsidRPr="002D1173">
        <w:rPr>
          <w:rFonts w:ascii="Arial Narrow" w:hAnsi="Arial Narrow" w:cs="Times New Roman"/>
          <w:sz w:val="22"/>
          <w:szCs w:val="22"/>
        </w:rPr>
        <w:t>Stratégia riadenia štátneho dlhu n</w:t>
      </w:r>
      <w:r w:rsidRPr="002D1173">
        <w:rPr>
          <w:rFonts w:ascii="Arial Narrow" w:hAnsi="Arial Narrow" w:cs="Times New Roman"/>
          <w:sz w:val="22"/>
          <w:szCs w:val="22"/>
        </w:rPr>
        <w:t>a roky 2007 – 2010</w:t>
      </w:r>
      <w:r>
        <w:rPr>
          <w:rFonts w:ascii="Arial Narrow" w:hAnsi="Arial Narrow" w:cs="Times New Roman"/>
          <w:sz w:val="22"/>
          <w:szCs w:val="22"/>
        </w:rPr>
        <w:t xml:space="preserve"> – </w:t>
      </w:r>
      <w:r w:rsidRPr="002D1173">
        <w:rPr>
          <w:rFonts w:ascii="Arial Narrow" w:hAnsi="Arial Narrow" w:cs="Times New Roman"/>
          <w:sz w:val="22"/>
          <w:szCs w:val="22"/>
        </w:rPr>
        <w:t>Aktualizácia 2008</w:t>
      </w:r>
    </w:p>
    <w:p w:rsidR="000E060D" w:rsidRPr="006758E9" w:rsidP="000E060D">
      <w:pPr>
        <w:spacing w:before="120"/>
        <w:rPr>
          <w:rFonts w:ascii="Arial Narrow" w:hAnsi="Arial Narrow" w:cs="Times New Roman"/>
          <w:sz w:val="22"/>
          <w:szCs w:val="22"/>
        </w:rPr>
      </w:pPr>
    </w:p>
    <w:p w:rsidR="00CC0A61" w:rsidRPr="006D0C77" w:rsidP="00CC0A61">
      <w:pPr>
        <w:jc w:val="center"/>
        <w:outlineLvl w:val="0"/>
        <w:rPr>
          <w:rFonts w:ascii="Arial Narrow" w:hAnsi="Arial Narrow" w:cs="Times New Roman"/>
          <w:b/>
        </w:rPr>
      </w:pPr>
      <w:r w:rsidRPr="00075D0D" w:rsidR="000E060D">
        <w:rPr>
          <w:rFonts w:ascii="Arial Narrow" w:hAnsi="Arial Narrow" w:cs="Times New Roman"/>
          <w:sz w:val="28"/>
        </w:rPr>
        <w:br w:type="page"/>
      </w:r>
      <w:bookmarkStart w:id="6" w:name="_Toc174783662"/>
      <w:bookmarkStart w:id="7" w:name="_Toc179846955"/>
      <w:bookmarkStart w:id="8" w:name="_Toc206478395"/>
      <w:bookmarkStart w:id="9" w:name="_Toc211592386"/>
      <w:r>
        <w:rPr>
          <w:rFonts w:ascii="Arial Narrow" w:hAnsi="Arial Narrow" w:cs="Times New Roman"/>
          <w:b/>
        </w:rPr>
        <w:t>P</w:t>
      </w:r>
      <w:r w:rsidRPr="006D0C77">
        <w:rPr>
          <w:rFonts w:ascii="Arial Narrow" w:hAnsi="Arial Narrow" w:cs="Times New Roman"/>
          <w:b/>
        </w:rPr>
        <w:t>redkladacia správa</w:t>
      </w:r>
      <w:bookmarkEnd w:id="6"/>
      <w:bookmarkEnd w:id="7"/>
      <w:bookmarkEnd w:id="8"/>
      <w:bookmarkEnd w:id="9"/>
    </w:p>
    <w:p w:rsidR="00CC0A61" w:rsidP="00CC0A61">
      <w:pPr>
        <w:rPr>
          <w:rFonts w:cs="Times New Roman"/>
        </w:rPr>
      </w:pPr>
    </w:p>
    <w:p w:rsidR="00CC0A61" w:rsidRPr="00162220" w:rsidP="00CC0A61">
      <w:pPr>
        <w:ind w:firstLine="708"/>
        <w:jc w:val="both"/>
        <w:rPr>
          <w:rFonts w:ascii="Arial Narrow" w:hAnsi="Arial Narrow" w:cs="Times New Roman"/>
          <w:sz w:val="22"/>
          <w:szCs w:val="22"/>
        </w:rPr>
      </w:pPr>
      <w:r w:rsidRPr="0087062F">
        <w:rPr>
          <w:rFonts w:ascii="Arial Narrow" w:hAnsi="Arial Narrow" w:cs="Times New Roman"/>
          <w:sz w:val="22"/>
          <w:szCs w:val="22"/>
        </w:rPr>
        <w:t>Predložený návrh rozpočtu verejnej správy na roky 200</w:t>
      </w:r>
      <w:r>
        <w:rPr>
          <w:rFonts w:ascii="Arial Narrow" w:hAnsi="Arial Narrow" w:cs="Times New Roman"/>
          <w:sz w:val="22"/>
          <w:szCs w:val="22"/>
        </w:rPr>
        <w:t>9 až 2011</w:t>
      </w:r>
      <w:r w:rsidRPr="0087062F">
        <w:rPr>
          <w:rFonts w:ascii="Arial Narrow" w:hAnsi="Arial Narrow" w:cs="Times New Roman"/>
          <w:sz w:val="22"/>
          <w:szCs w:val="22"/>
        </w:rPr>
        <w:t xml:space="preserve"> vychádza z</w:t>
      </w:r>
      <w:r>
        <w:rPr>
          <w:rFonts w:ascii="Arial Narrow" w:hAnsi="Arial Narrow" w:cs="Times New Roman"/>
          <w:sz w:val="22"/>
          <w:szCs w:val="22"/>
        </w:rPr>
        <w:t xml:space="preserve"> programového vyhlásenia vlády, </w:t>
      </w:r>
      <w:r w:rsidRPr="0087062F">
        <w:rPr>
          <w:rFonts w:ascii="Arial Narrow" w:hAnsi="Arial Narrow" w:cs="Times New Roman"/>
          <w:sz w:val="22"/>
          <w:szCs w:val="22"/>
        </w:rPr>
        <w:t>fiškálneho rámca Rozpočtu verejnej správy na roky 200</w:t>
      </w:r>
      <w:r>
        <w:rPr>
          <w:rFonts w:ascii="Arial Narrow" w:hAnsi="Arial Narrow" w:cs="Times New Roman"/>
          <w:sz w:val="22"/>
          <w:szCs w:val="22"/>
        </w:rPr>
        <w:t>8 až 2010</w:t>
      </w:r>
      <w:r w:rsidRPr="0087062F">
        <w:rPr>
          <w:rFonts w:ascii="Arial Narrow" w:hAnsi="Arial Narrow" w:cs="Times New Roman"/>
          <w:sz w:val="22"/>
          <w:szCs w:val="22"/>
        </w:rPr>
        <w:t xml:space="preserve"> a z</w:t>
      </w:r>
      <w:r>
        <w:rPr>
          <w:rFonts w:ascii="Arial Narrow" w:hAnsi="Arial Narrow" w:cs="Times New Roman"/>
          <w:sz w:val="22"/>
          <w:szCs w:val="22"/>
        </w:rPr>
        <w:t xml:space="preserve"> poslednej </w:t>
      </w:r>
      <w:r w:rsidRPr="0087062F">
        <w:rPr>
          <w:rFonts w:ascii="Arial Narrow" w:hAnsi="Arial Narrow" w:cs="Times New Roman"/>
          <w:sz w:val="22"/>
          <w:szCs w:val="22"/>
        </w:rPr>
        <w:t>aktualiz</w:t>
      </w:r>
      <w:r>
        <w:rPr>
          <w:rFonts w:ascii="Arial Narrow" w:hAnsi="Arial Narrow" w:cs="Times New Roman"/>
          <w:sz w:val="22"/>
          <w:szCs w:val="22"/>
        </w:rPr>
        <w:t>ácie</w:t>
      </w:r>
      <w:r>
        <w:rPr>
          <w:rFonts w:ascii="Arial Narrow" w:hAnsi="Arial Narrow" w:cs="Times New Roman"/>
          <w:sz w:val="22"/>
          <w:szCs w:val="22"/>
        </w:rPr>
        <w:t xml:space="preserve"> </w:t>
      </w:r>
      <w:r w:rsidRPr="0087062F">
        <w:rPr>
          <w:rFonts w:ascii="Arial Narrow" w:hAnsi="Arial Narrow" w:cs="Times New Roman"/>
          <w:sz w:val="22"/>
          <w:szCs w:val="22"/>
        </w:rPr>
        <w:t>Ko</w:t>
      </w:r>
      <w:r>
        <w:rPr>
          <w:rFonts w:ascii="Arial Narrow" w:hAnsi="Arial Narrow" w:cs="Times New Roman"/>
          <w:sz w:val="22"/>
          <w:szCs w:val="22"/>
        </w:rPr>
        <w:t>nvergenčného programu Slovenska. Zároveň n</w:t>
      </w:r>
      <w:r>
        <w:rPr>
          <w:rFonts w:ascii="Arial Narrow" w:hAnsi="Arial Narrow" w:cs="Arial Narrow"/>
          <w:sz w:val="22"/>
          <w:szCs w:val="22"/>
        </w:rPr>
        <w:t>adväzuje</w:t>
      </w:r>
      <w:r w:rsidRPr="000B51C0">
        <w:rPr>
          <w:rFonts w:ascii="Arial Narrow" w:hAnsi="Arial Narrow" w:cs="Arial Narrow"/>
          <w:sz w:val="22"/>
          <w:szCs w:val="22"/>
        </w:rPr>
        <w:t xml:space="preserve"> na </w:t>
      </w:r>
      <w:r>
        <w:rPr>
          <w:rFonts w:ascii="Arial Narrow" w:hAnsi="Arial Narrow" w:cs="Arial Narrow"/>
          <w:sz w:val="22"/>
          <w:szCs w:val="22"/>
        </w:rPr>
        <w:t>schválené</w:t>
      </w:r>
      <w:r w:rsidRPr="000B51C0">
        <w:rPr>
          <w:rFonts w:ascii="Arial Narrow" w:hAnsi="Arial Narrow" w:cs="Arial Narrow"/>
          <w:sz w:val="22"/>
          <w:szCs w:val="22"/>
        </w:rPr>
        <w:t xml:space="preserve"> </w:t>
      </w:r>
      <w:r>
        <w:rPr>
          <w:rFonts w:ascii="Arial Narrow" w:hAnsi="Arial Narrow" w:cs="Arial Narrow"/>
          <w:sz w:val="22"/>
          <w:szCs w:val="22"/>
        </w:rPr>
        <w:t xml:space="preserve">východiská </w:t>
      </w:r>
      <w:r w:rsidRPr="000B51C0">
        <w:rPr>
          <w:rFonts w:ascii="Arial Narrow" w:hAnsi="Arial Narrow" w:cs="Arial Narrow"/>
          <w:sz w:val="22"/>
          <w:szCs w:val="22"/>
        </w:rPr>
        <w:t>rozpočtu verejnej správy na roky 200</w:t>
      </w:r>
      <w:r>
        <w:rPr>
          <w:rFonts w:ascii="Arial Narrow" w:hAnsi="Arial Narrow" w:cs="Arial Narrow"/>
          <w:sz w:val="22"/>
          <w:szCs w:val="22"/>
        </w:rPr>
        <w:t>9</w:t>
      </w:r>
      <w:r w:rsidRPr="000B51C0">
        <w:rPr>
          <w:rFonts w:ascii="Arial Narrow" w:hAnsi="Arial Narrow" w:cs="Arial Narrow"/>
          <w:sz w:val="22"/>
          <w:szCs w:val="22"/>
        </w:rPr>
        <w:t xml:space="preserve"> až 20</w:t>
      </w:r>
      <w:r>
        <w:rPr>
          <w:rFonts w:ascii="Arial Narrow" w:hAnsi="Arial Narrow" w:cs="Arial Narrow"/>
          <w:sz w:val="22"/>
          <w:szCs w:val="22"/>
        </w:rPr>
        <w:t>11, ktoré stanovili ciele v podobe salda verejnej správy</w:t>
      </w:r>
      <w:r w:rsidRPr="000B51C0">
        <w:rPr>
          <w:rFonts w:ascii="Arial Narrow" w:hAnsi="Arial Narrow" w:cs="Arial Narrow"/>
          <w:sz w:val="22"/>
          <w:szCs w:val="22"/>
        </w:rPr>
        <w:t xml:space="preserve"> </w:t>
      </w:r>
      <w:r w:rsidRPr="00E86C64">
        <w:rPr>
          <w:rFonts w:ascii="Arial Narrow" w:hAnsi="Arial Narrow" w:cs="Arial Narrow"/>
          <w:sz w:val="22"/>
          <w:szCs w:val="22"/>
        </w:rPr>
        <w:t>pri zohľadnení odporúčania Európskej rady a vytvorení priestoru pre realizáciu</w:t>
      </w:r>
      <w:r w:rsidRPr="00E86C64">
        <w:rPr>
          <w:rFonts w:ascii="Arial Narrow" w:hAnsi="Arial Narrow" w:cs="Arial Narrow"/>
          <w:sz w:val="22"/>
          <w:szCs w:val="22"/>
        </w:rPr>
        <w:t xml:space="preserve"> politických priorít vlády. </w:t>
      </w:r>
      <w:r w:rsidRPr="00162220">
        <w:rPr>
          <w:rFonts w:ascii="Arial Narrow" w:hAnsi="Arial Narrow" w:cs="Times New Roman"/>
          <w:sz w:val="22"/>
          <w:szCs w:val="22"/>
        </w:rPr>
        <w:t>Vláda SR si vo svojom programovom vyhlásení stanovila, že základným rámcom pri presadzovaní politiky a cieľov vlády SR, obsiahnutých v programovom vyhlásení vlády SR, bude obozretná rozpočtová politika a postupné upevňovanie stability verejných financií pri dôslednom dodržiavaní maastrichtských kritérií a záväzkov SR vyplývajúcich z reformovaného Paktu stability a rastu.</w:t>
      </w:r>
    </w:p>
    <w:p w:rsidR="00CC0A61" w:rsidP="00CC0A61">
      <w:pPr>
        <w:ind w:firstLine="708"/>
        <w:jc w:val="both"/>
        <w:rPr>
          <w:rFonts w:ascii="Arial Narrow" w:hAnsi="Arial Narrow" w:cs="Arial Narrow"/>
          <w:color w:val="000000"/>
          <w:sz w:val="22"/>
          <w:szCs w:val="22"/>
        </w:rPr>
      </w:pPr>
    </w:p>
    <w:p w:rsidR="00CC0A61" w:rsidP="00CC0A61">
      <w:pPr>
        <w:ind w:firstLine="708"/>
        <w:jc w:val="both"/>
        <w:rPr>
          <w:rFonts w:ascii="Arial Narrow" w:hAnsi="Arial Narrow" w:cs="Arial Narrow"/>
          <w:sz w:val="22"/>
          <w:szCs w:val="22"/>
        </w:rPr>
      </w:pPr>
      <w:r>
        <w:rPr>
          <w:rFonts w:ascii="Arial Narrow" w:hAnsi="Arial Narrow" w:cs="Arial Narrow"/>
          <w:color w:val="000000"/>
          <w:sz w:val="22"/>
          <w:szCs w:val="22"/>
        </w:rPr>
        <w:t>Z dôvodu pokračujúcej snahy o konsolidáciu verejných financií dochádza v</w:t>
      </w:r>
      <w:r w:rsidRPr="00F1569B">
        <w:rPr>
          <w:rFonts w:ascii="Arial Narrow" w:hAnsi="Arial Narrow" w:cs="Arial Narrow"/>
          <w:color w:val="000000"/>
          <w:sz w:val="22"/>
          <w:szCs w:val="22"/>
        </w:rPr>
        <w:t xml:space="preserve"> porovnaní s Rozpočtom verejnej správ</w:t>
      </w:r>
      <w:r w:rsidRPr="00F1569B">
        <w:rPr>
          <w:rFonts w:ascii="Arial Narrow" w:hAnsi="Arial Narrow" w:cs="Arial Narrow"/>
          <w:color w:val="000000"/>
          <w:sz w:val="22"/>
          <w:szCs w:val="22"/>
        </w:rPr>
        <w:t>y na roky 200</w:t>
      </w:r>
      <w:r>
        <w:rPr>
          <w:rFonts w:ascii="Arial Narrow" w:hAnsi="Arial Narrow" w:cs="Arial Narrow"/>
          <w:color w:val="000000"/>
          <w:sz w:val="22"/>
          <w:szCs w:val="22"/>
        </w:rPr>
        <w:t>8</w:t>
      </w:r>
      <w:r w:rsidRPr="00F1569B">
        <w:rPr>
          <w:rFonts w:ascii="Arial Narrow" w:hAnsi="Arial Narrow" w:cs="Arial Narrow"/>
          <w:color w:val="000000"/>
          <w:sz w:val="22"/>
          <w:szCs w:val="22"/>
        </w:rPr>
        <w:t xml:space="preserve"> až 20</w:t>
      </w:r>
      <w:r>
        <w:rPr>
          <w:rFonts w:ascii="Arial Narrow" w:hAnsi="Arial Narrow" w:cs="Arial Narrow"/>
          <w:color w:val="000000"/>
          <w:sz w:val="22"/>
          <w:szCs w:val="22"/>
        </w:rPr>
        <w:t>10</w:t>
      </w:r>
      <w:r w:rsidRPr="00F1569B">
        <w:rPr>
          <w:rFonts w:ascii="Arial Narrow" w:hAnsi="Arial Narrow" w:cs="Arial Narrow"/>
          <w:color w:val="000000"/>
          <w:sz w:val="22"/>
          <w:szCs w:val="22"/>
        </w:rPr>
        <w:t xml:space="preserve"> k pozitívnej úprave už schválenej výšky</w:t>
      </w:r>
      <w:r w:rsidRPr="00F1569B">
        <w:rPr>
          <w:rFonts w:ascii="Arial Narrow" w:hAnsi="Arial Narrow" w:cs="Arial Narrow"/>
          <w:b/>
          <w:bCs/>
          <w:color w:val="000000"/>
          <w:sz w:val="22"/>
          <w:szCs w:val="22"/>
        </w:rPr>
        <w:t xml:space="preserve"> </w:t>
      </w:r>
      <w:r>
        <w:rPr>
          <w:rFonts w:ascii="Arial Narrow" w:hAnsi="Arial Narrow" w:cs="Arial Narrow"/>
          <w:b/>
          <w:bCs/>
          <w:color w:val="000000"/>
          <w:sz w:val="22"/>
          <w:szCs w:val="22"/>
        </w:rPr>
        <w:t>schodku</w:t>
      </w:r>
      <w:r w:rsidRPr="00F1569B">
        <w:rPr>
          <w:rFonts w:ascii="Arial Narrow" w:hAnsi="Arial Narrow" w:cs="Arial Narrow"/>
          <w:b/>
          <w:bCs/>
          <w:color w:val="000000"/>
          <w:sz w:val="22"/>
          <w:szCs w:val="22"/>
        </w:rPr>
        <w:t xml:space="preserve"> rozpočtu verejnej správy na jednotlivé roky. </w:t>
      </w:r>
      <w:r w:rsidRPr="00F1569B">
        <w:rPr>
          <w:rFonts w:ascii="Arial Narrow" w:hAnsi="Arial Narrow" w:cs="Arial Narrow"/>
          <w:bCs/>
          <w:color w:val="000000"/>
          <w:sz w:val="22"/>
          <w:szCs w:val="22"/>
        </w:rPr>
        <w:t>V</w:t>
      </w:r>
      <w:r w:rsidRPr="00F1569B">
        <w:rPr>
          <w:rFonts w:ascii="Arial Narrow" w:hAnsi="Arial Narrow" w:cs="Arial Narrow"/>
          <w:color w:val="000000"/>
          <w:sz w:val="22"/>
          <w:szCs w:val="22"/>
        </w:rPr>
        <w:t xml:space="preserve"> roku 200</w:t>
      </w:r>
      <w:r>
        <w:rPr>
          <w:rFonts w:ascii="Arial Narrow" w:hAnsi="Arial Narrow" w:cs="Arial Narrow"/>
          <w:color w:val="000000"/>
          <w:sz w:val="22"/>
          <w:szCs w:val="22"/>
        </w:rPr>
        <w:t>9</w:t>
      </w:r>
      <w:r w:rsidRPr="00F1569B">
        <w:rPr>
          <w:rFonts w:ascii="Arial Narrow" w:hAnsi="Arial Narrow" w:cs="Arial Narrow"/>
          <w:color w:val="000000"/>
          <w:sz w:val="22"/>
          <w:szCs w:val="22"/>
        </w:rPr>
        <w:t xml:space="preserve"> sa </w:t>
      </w:r>
      <w:r>
        <w:rPr>
          <w:rFonts w:ascii="Arial Narrow" w:hAnsi="Arial Narrow" w:cs="Arial Narrow"/>
          <w:color w:val="000000"/>
          <w:sz w:val="22"/>
          <w:szCs w:val="22"/>
        </w:rPr>
        <w:t>schodok</w:t>
      </w:r>
      <w:r w:rsidRPr="00F1569B">
        <w:rPr>
          <w:rFonts w:ascii="Arial Narrow" w:hAnsi="Arial Narrow" w:cs="Arial Narrow"/>
          <w:color w:val="000000"/>
          <w:sz w:val="22"/>
          <w:szCs w:val="22"/>
        </w:rPr>
        <w:t xml:space="preserve"> navrhuje na úrovni </w:t>
      </w:r>
      <w:r>
        <w:rPr>
          <w:rFonts w:ascii="Arial Narrow" w:hAnsi="Arial Narrow" w:cs="Arial Narrow"/>
          <w:color w:val="000000"/>
          <w:sz w:val="22"/>
          <w:szCs w:val="22"/>
        </w:rPr>
        <w:t>1,7 % HDP, v roku 2010 na úrovni 0,</w:t>
      </w:r>
      <w:r w:rsidRPr="00F1569B">
        <w:rPr>
          <w:rFonts w:ascii="Arial Narrow" w:hAnsi="Arial Narrow" w:cs="Arial Narrow"/>
          <w:color w:val="000000"/>
          <w:sz w:val="22"/>
          <w:szCs w:val="22"/>
        </w:rPr>
        <w:t>8 % HDP a v rok</w:t>
      </w:r>
      <w:r>
        <w:rPr>
          <w:rFonts w:ascii="Arial Narrow" w:hAnsi="Arial Narrow" w:cs="Arial Narrow"/>
          <w:color w:val="000000"/>
          <w:sz w:val="22"/>
          <w:szCs w:val="22"/>
        </w:rPr>
        <w:t>u 2011</w:t>
      </w:r>
      <w:r w:rsidRPr="00F1569B">
        <w:rPr>
          <w:rFonts w:ascii="Arial Narrow" w:hAnsi="Arial Narrow" w:cs="Arial Narrow"/>
          <w:color w:val="000000"/>
          <w:sz w:val="22"/>
          <w:szCs w:val="22"/>
        </w:rPr>
        <w:t xml:space="preserve"> </w:t>
      </w:r>
      <w:r>
        <w:rPr>
          <w:rFonts w:ascii="Arial Narrow" w:hAnsi="Arial Narrow" w:cs="Arial Narrow"/>
          <w:color w:val="000000"/>
          <w:sz w:val="22"/>
          <w:szCs w:val="22"/>
        </w:rPr>
        <w:t>sa predpokladá vyrovnaný rozpočet verejne</w:t>
      </w:r>
      <w:r>
        <w:rPr>
          <w:rFonts w:ascii="Arial Narrow" w:hAnsi="Arial Narrow" w:cs="Arial Narrow"/>
          <w:color w:val="000000"/>
          <w:sz w:val="22"/>
          <w:szCs w:val="22"/>
        </w:rPr>
        <w:t>j správy</w:t>
      </w:r>
      <w:r w:rsidRPr="00F1569B">
        <w:rPr>
          <w:rFonts w:ascii="Arial Narrow" w:hAnsi="Arial Narrow" w:cs="Arial Narrow"/>
          <w:color w:val="000000"/>
          <w:sz w:val="22"/>
          <w:szCs w:val="22"/>
        </w:rPr>
        <w:t xml:space="preserve">. Zníženie </w:t>
      </w:r>
      <w:r>
        <w:rPr>
          <w:rFonts w:ascii="Arial Narrow" w:hAnsi="Arial Narrow" w:cs="Arial Narrow"/>
          <w:color w:val="000000"/>
          <w:sz w:val="22"/>
          <w:szCs w:val="22"/>
        </w:rPr>
        <w:t>schodku</w:t>
      </w:r>
      <w:r w:rsidRPr="00F1569B">
        <w:rPr>
          <w:rFonts w:ascii="Arial Narrow" w:hAnsi="Arial Narrow" w:cs="Arial Narrow"/>
          <w:color w:val="000000"/>
          <w:sz w:val="22"/>
          <w:szCs w:val="22"/>
        </w:rPr>
        <w:t xml:space="preserve"> je reakciou na </w:t>
      </w:r>
      <w:r>
        <w:rPr>
          <w:rFonts w:ascii="Arial Narrow" w:hAnsi="Arial Narrow" w:cs="Arial Narrow"/>
          <w:color w:val="000000"/>
          <w:sz w:val="22"/>
          <w:szCs w:val="22"/>
        </w:rPr>
        <w:t>odporúčania Európskej komisie</w:t>
      </w:r>
      <w:r w:rsidRPr="006735E2">
        <w:rPr>
          <w:rFonts w:ascii="Arial Narrow" w:hAnsi="Arial Narrow" w:cs="Arial Narrow"/>
          <w:sz w:val="22"/>
          <w:szCs w:val="22"/>
        </w:rPr>
        <w:t xml:space="preserve"> </w:t>
      </w:r>
      <w:r>
        <w:rPr>
          <w:rFonts w:ascii="Arial Narrow" w:hAnsi="Arial Narrow" w:cs="Arial Narrow"/>
          <w:sz w:val="22"/>
          <w:szCs w:val="22"/>
        </w:rPr>
        <w:t>po</w:t>
      </w:r>
      <w:r w:rsidRPr="00796DB0">
        <w:rPr>
          <w:rFonts w:ascii="Arial Narrow" w:hAnsi="Arial Narrow" w:cs="Arial Narrow"/>
          <w:sz w:val="22"/>
          <w:szCs w:val="22"/>
        </w:rPr>
        <w:t xml:space="preserve">užiť nadpríjmy </w:t>
      </w:r>
      <w:r>
        <w:rPr>
          <w:rFonts w:ascii="Arial Narrow" w:hAnsi="Arial Narrow" w:cs="Arial Narrow"/>
          <w:sz w:val="22"/>
          <w:szCs w:val="22"/>
        </w:rPr>
        <w:t xml:space="preserve">rozpočtu </w:t>
      </w:r>
      <w:r w:rsidRPr="00796DB0">
        <w:rPr>
          <w:rFonts w:ascii="Arial Narrow" w:hAnsi="Arial Narrow" w:cs="Arial Narrow"/>
          <w:sz w:val="22"/>
          <w:szCs w:val="22"/>
        </w:rPr>
        <w:t xml:space="preserve">na </w:t>
      </w:r>
      <w:r>
        <w:rPr>
          <w:rFonts w:ascii="Arial Narrow" w:hAnsi="Arial Narrow" w:cs="Arial Narrow"/>
          <w:sz w:val="22"/>
          <w:szCs w:val="22"/>
        </w:rPr>
        <w:t xml:space="preserve">ďalšie </w:t>
      </w:r>
      <w:r w:rsidRPr="00796DB0">
        <w:rPr>
          <w:rFonts w:ascii="Arial Narrow" w:hAnsi="Arial Narrow" w:cs="Arial Narrow"/>
          <w:sz w:val="22"/>
          <w:szCs w:val="22"/>
        </w:rPr>
        <w:t xml:space="preserve">znižovanie </w:t>
      </w:r>
      <w:r>
        <w:rPr>
          <w:rFonts w:ascii="Arial Narrow" w:hAnsi="Arial Narrow" w:cs="Arial Narrow"/>
          <w:sz w:val="22"/>
          <w:szCs w:val="22"/>
        </w:rPr>
        <w:t xml:space="preserve">schodku, </w:t>
      </w:r>
      <w:r w:rsidRPr="00796DB0">
        <w:rPr>
          <w:rFonts w:ascii="Arial Narrow" w:hAnsi="Arial Narrow" w:cs="Arial Narrow"/>
          <w:sz w:val="22"/>
          <w:szCs w:val="22"/>
        </w:rPr>
        <w:t xml:space="preserve">čo je veľmi dôležité </w:t>
      </w:r>
      <w:r>
        <w:rPr>
          <w:rFonts w:ascii="Arial Narrow" w:hAnsi="Arial Narrow" w:cs="Arial Narrow"/>
          <w:sz w:val="22"/>
          <w:szCs w:val="22"/>
        </w:rPr>
        <w:t xml:space="preserve">nielen </w:t>
      </w:r>
      <w:r w:rsidRPr="00796DB0">
        <w:rPr>
          <w:rFonts w:ascii="Arial Narrow" w:hAnsi="Arial Narrow" w:cs="Arial Narrow"/>
          <w:sz w:val="22"/>
          <w:szCs w:val="22"/>
        </w:rPr>
        <w:t xml:space="preserve">z hľadiska </w:t>
      </w:r>
      <w:r>
        <w:rPr>
          <w:rFonts w:ascii="Arial Narrow" w:hAnsi="Arial Narrow" w:cs="Arial Narrow"/>
          <w:sz w:val="22"/>
          <w:szCs w:val="22"/>
        </w:rPr>
        <w:t xml:space="preserve">vstupu </w:t>
      </w:r>
      <w:r w:rsidRPr="00796DB0">
        <w:rPr>
          <w:rFonts w:ascii="Arial Narrow" w:hAnsi="Arial Narrow" w:cs="Arial Narrow"/>
          <w:sz w:val="22"/>
          <w:szCs w:val="22"/>
        </w:rPr>
        <w:t xml:space="preserve">krajiny </w:t>
      </w:r>
      <w:r>
        <w:rPr>
          <w:rFonts w:ascii="Arial Narrow" w:hAnsi="Arial Narrow" w:cs="Arial Narrow"/>
          <w:b/>
          <w:sz w:val="22"/>
          <w:szCs w:val="22"/>
        </w:rPr>
        <w:t xml:space="preserve">do eurozóny od 1. 1. </w:t>
      </w:r>
      <w:r w:rsidRPr="009F1F2E">
        <w:rPr>
          <w:rFonts w:ascii="Arial Narrow" w:hAnsi="Arial Narrow" w:cs="Arial Narrow"/>
          <w:b/>
          <w:sz w:val="22"/>
          <w:szCs w:val="22"/>
        </w:rPr>
        <w:t>2009</w:t>
      </w:r>
      <w:r>
        <w:rPr>
          <w:rFonts w:ascii="Arial Narrow" w:hAnsi="Arial Narrow" w:cs="Arial Narrow"/>
          <w:sz w:val="22"/>
          <w:szCs w:val="22"/>
        </w:rPr>
        <w:t>, ale aj pre zdravý vývoj verejných financií v na</w:t>
      </w:r>
      <w:r>
        <w:rPr>
          <w:rFonts w:ascii="Arial Narrow" w:hAnsi="Arial Narrow" w:cs="Arial Narrow"/>
          <w:sz w:val="22"/>
          <w:szCs w:val="22"/>
        </w:rPr>
        <w:t xml:space="preserve">sledujúcich rokoch. </w:t>
      </w:r>
      <w:r>
        <w:rPr>
          <w:rFonts w:ascii="Arial Narrow" w:hAnsi="Arial Narrow" w:cs="Arial Narrow"/>
          <w:color w:val="000000"/>
          <w:sz w:val="22"/>
          <w:szCs w:val="22"/>
        </w:rPr>
        <w:t>SR</w:t>
      </w:r>
      <w:r w:rsidRPr="00F1569B">
        <w:rPr>
          <w:rFonts w:ascii="Arial Narrow" w:hAnsi="Arial Narrow" w:cs="Arial Narrow"/>
          <w:color w:val="000000"/>
          <w:sz w:val="22"/>
          <w:szCs w:val="22"/>
        </w:rPr>
        <w:t xml:space="preserve"> týmto krokom </w:t>
      </w:r>
      <w:r>
        <w:rPr>
          <w:rFonts w:ascii="Arial Narrow" w:hAnsi="Arial Narrow" w:cs="Arial Narrow"/>
          <w:color w:val="000000"/>
          <w:sz w:val="22"/>
          <w:szCs w:val="22"/>
        </w:rPr>
        <w:t xml:space="preserve">rovnako </w:t>
      </w:r>
      <w:r w:rsidRPr="00F1569B">
        <w:rPr>
          <w:rFonts w:ascii="Arial Narrow" w:hAnsi="Arial Narrow" w:cs="Arial Narrow"/>
          <w:color w:val="000000"/>
          <w:sz w:val="22"/>
          <w:szCs w:val="22"/>
        </w:rPr>
        <w:t>prezentuje svoju snahu plniť záväzky vyplývajúce z nového znenia Paktu stability a</w:t>
      </w:r>
      <w:r>
        <w:rPr>
          <w:rFonts w:ascii="Arial Narrow" w:hAnsi="Arial Narrow" w:cs="Arial Narrow"/>
          <w:color w:val="000000"/>
          <w:sz w:val="22"/>
          <w:szCs w:val="22"/>
        </w:rPr>
        <w:t> </w:t>
      </w:r>
      <w:r w:rsidRPr="00F1569B">
        <w:rPr>
          <w:rFonts w:ascii="Arial Narrow" w:hAnsi="Arial Narrow" w:cs="Arial Narrow"/>
          <w:color w:val="000000"/>
          <w:sz w:val="22"/>
          <w:szCs w:val="22"/>
        </w:rPr>
        <w:t>rastu</w:t>
      </w:r>
      <w:r>
        <w:rPr>
          <w:rFonts w:ascii="Arial Narrow" w:hAnsi="Arial Narrow" w:cs="Arial Narrow"/>
          <w:color w:val="000000"/>
          <w:sz w:val="22"/>
          <w:szCs w:val="22"/>
        </w:rPr>
        <w:t>.</w:t>
      </w:r>
      <w:r w:rsidRPr="00E0784A">
        <w:rPr>
          <w:rFonts w:ascii="Arial Narrow" w:hAnsi="Arial Narrow" w:cs="Times New Roman"/>
          <w:sz w:val="22"/>
          <w:szCs w:val="22"/>
        </w:rPr>
        <w:t xml:space="preserve"> </w:t>
      </w:r>
    </w:p>
    <w:p w:rsidR="00CC0A61" w:rsidP="00CC0A61">
      <w:pPr>
        <w:rPr>
          <w:rFonts w:cs="Times New Roman"/>
        </w:rPr>
      </w:pPr>
    </w:p>
    <w:p w:rsidR="00CC0A61" w:rsidRPr="0087062F" w:rsidP="00CC0A61">
      <w:pPr>
        <w:ind w:firstLine="708"/>
        <w:jc w:val="both"/>
        <w:rPr>
          <w:rFonts w:ascii="Arial Narrow" w:hAnsi="Arial Narrow" w:cs="Times New Roman"/>
          <w:sz w:val="22"/>
          <w:szCs w:val="22"/>
        </w:rPr>
      </w:pPr>
      <w:r>
        <w:rPr>
          <w:rFonts w:ascii="Arial Narrow" w:hAnsi="Arial Narrow" w:cs="Times New Roman"/>
          <w:sz w:val="22"/>
          <w:szCs w:val="22"/>
        </w:rPr>
        <w:t>Návrh rozpočtu verejnej správy na roky 2009 až 2011</w:t>
      </w:r>
      <w:r w:rsidRPr="0087062F">
        <w:rPr>
          <w:rFonts w:ascii="Arial Narrow" w:hAnsi="Arial Narrow" w:cs="Times New Roman"/>
          <w:sz w:val="22"/>
          <w:szCs w:val="22"/>
        </w:rPr>
        <w:t xml:space="preserve"> </w:t>
      </w:r>
      <w:r>
        <w:rPr>
          <w:rFonts w:ascii="Arial Narrow" w:hAnsi="Arial Narrow" w:cs="Times New Roman"/>
          <w:sz w:val="22"/>
          <w:szCs w:val="22"/>
        </w:rPr>
        <w:t>je zostavený</w:t>
      </w:r>
      <w:r w:rsidRPr="0087062F">
        <w:rPr>
          <w:rFonts w:ascii="Arial Narrow" w:hAnsi="Arial Narrow" w:cs="Times New Roman"/>
          <w:sz w:val="22"/>
          <w:szCs w:val="22"/>
        </w:rPr>
        <w:t xml:space="preserve"> na </w:t>
      </w:r>
      <w:r>
        <w:rPr>
          <w:rFonts w:ascii="Arial Narrow" w:hAnsi="Arial Narrow" w:cs="Times New Roman"/>
          <w:sz w:val="22"/>
          <w:szCs w:val="22"/>
        </w:rPr>
        <w:t xml:space="preserve">aktuálnej prognóze </w:t>
      </w:r>
      <w:r w:rsidRPr="0087062F">
        <w:rPr>
          <w:rFonts w:ascii="Arial Narrow" w:hAnsi="Arial Narrow" w:cs="Times New Roman"/>
          <w:sz w:val="22"/>
          <w:szCs w:val="22"/>
        </w:rPr>
        <w:t>makroekonomick</w:t>
      </w:r>
      <w:r>
        <w:rPr>
          <w:rFonts w:ascii="Arial Narrow" w:hAnsi="Arial Narrow" w:cs="Times New Roman"/>
          <w:sz w:val="22"/>
          <w:szCs w:val="22"/>
        </w:rPr>
        <w:t xml:space="preserve">ého vývoja do roku </w:t>
      </w:r>
      <w:r>
        <w:rPr>
          <w:rFonts w:ascii="Arial Narrow" w:hAnsi="Arial Narrow" w:cs="Times New Roman"/>
          <w:sz w:val="22"/>
          <w:szCs w:val="22"/>
        </w:rPr>
        <w:t xml:space="preserve">2011, ktorá potvrdzuje </w:t>
      </w:r>
      <w:r w:rsidRPr="009F1F2E">
        <w:rPr>
          <w:rFonts w:ascii="Arial Narrow" w:hAnsi="Arial Narrow" w:cs="Times New Roman"/>
          <w:b/>
          <w:sz w:val="22"/>
          <w:szCs w:val="22"/>
        </w:rPr>
        <w:t>pozitívny vývoj ekonomiky</w:t>
      </w:r>
      <w:r>
        <w:rPr>
          <w:rFonts w:ascii="Arial Narrow" w:hAnsi="Arial Narrow" w:cs="Times New Roman"/>
          <w:sz w:val="22"/>
          <w:szCs w:val="22"/>
        </w:rPr>
        <w:t>, trendy a charakter strednodobého vývoja</w:t>
      </w:r>
      <w:r w:rsidRPr="00BA216A">
        <w:rPr>
          <w:rFonts w:ascii="Arial Narrow" w:hAnsi="Arial Narrow" w:cs="Times New Roman"/>
          <w:sz w:val="22"/>
          <w:szCs w:val="22"/>
        </w:rPr>
        <w:t>, ktoré sa predpokladali pri tvorbe viacročného rozpočtu na roky 200</w:t>
      </w:r>
      <w:r>
        <w:rPr>
          <w:rFonts w:ascii="Arial Narrow" w:hAnsi="Arial Narrow" w:cs="Times New Roman"/>
          <w:sz w:val="22"/>
          <w:szCs w:val="22"/>
        </w:rPr>
        <w:t xml:space="preserve">8 až </w:t>
      </w:r>
      <w:r w:rsidRPr="00BA216A">
        <w:rPr>
          <w:rFonts w:ascii="Arial Narrow" w:hAnsi="Arial Narrow" w:cs="Times New Roman"/>
          <w:sz w:val="22"/>
          <w:szCs w:val="22"/>
        </w:rPr>
        <w:t>20</w:t>
      </w:r>
      <w:r>
        <w:rPr>
          <w:rFonts w:ascii="Arial Narrow" w:hAnsi="Arial Narrow" w:cs="Times New Roman"/>
          <w:sz w:val="22"/>
          <w:szCs w:val="22"/>
        </w:rPr>
        <w:t>10,</w:t>
      </w:r>
      <w:r w:rsidRPr="00BA216A">
        <w:rPr>
          <w:rFonts w:ascii="Arial Narrow" w:hAnsi="Arial Narrow" w:cs="Times New Roman"/>
          <w:sz w:val="22"/>
          <w:szCs w:val="22"/>
        </w:rPr>
        <w:t xml:space="preserve"> a ktoré </w:t>
      </w:r>
      <w:r>
        <w:rPr>
          <w:rFonts w:ascii="Arial Narrow" w:hAnsi="Arial Narrow" w:cs="Times New Roman"/>
          <w:sz w:val="22"/>
          <w:szCs w:val="22"/>
        </w:rPr>
        <w:t>boli</w:t>
      </w:r>
      <w:r w:rsidRPr="00BA216A">
        <w:rPr>
          <w:rFonts w:ascii="Arial Narrow" w:hAnsi="Arial Narrow" w:cs="Times New Roman"/>
          <w:sz w:val="22"/>
          <w:szCs w:val="22"/>
        </w:rPr>
        <w:t xml:space="preserve"> </w:t>
      </w:r>
      <w:r>
        <w:rPr>
          <w:rFonts w:ascii="Arial Narrow" w:hAnsi="Arial Narrow" w:cs="Times New Roman"/>
          <w:sz w:val="22"/>
          <w:szCs w:val="22"/>
        </w:rPr>
        <w:t>prezentované</w:t>
      </w:r>
      <w:r w:rsidRPr="00BA216A">
        <w:rPr>
          <w:rFonts w:ascii="Arial Narrow" w:hAnsi="Arial Narrow" w:cs="Times New Roman"/>
          <w:sz w:val="22"/>
          <w:szCs w:val="22"/>
        </w:rPr>
        <w:t xml:space="preserve"> aj pri aktualizácii </w:t>
      </w:r>
      <w:r>
        <w:rPr>
          <w:rFonts w:ascii="Arial Narrow" w:hAnsi="Arial Narrow" w:cs="Times New Roman"/>
          <w:sz w:val="22"/>
          <w:szCs w:val="22"/>
        </w:rPr>
        <w:t>K</w:t>
      </w:r>
      <w:r w:rsidRPr="00BA216A">
        <w:rPr>
          <w:rFonts w:ascii="Arial Narrow" w:hAnsi="Arial Narrow" w:cs="Times New Roman"/>
          <w:sz w:val="22"/>
          <w:szCs w:val="22"/>
        </w:rPr>
        <w:t xml:space="preserve">onvergenčného programu SR do roku 2010. </w:t>
      </w:r>
      <w:r>
        <w:rPr>
          <w:rFonts w:ascii="Arial Narrow" w:hAnsi="Arial Narrow" w:cs="Times New Roman"/>
          <w:sz w:val="22"/>
          <w:szCs w:val="22"/>
        </w:rPr>
        <w:t>Podľa aktualizovanej prognózy sa naďalej očakáva dynamický rast hospodárstva</w:t>
      </w:r>
      <w:r w:rsidRPr="0087062F">
        <w:rPr>
          <w:rFonts w:ascii="Arial Narrow" w:hAnsi="Arial Narrow" w:cs="Times New Roman"/>
          <w:sz w:val="22"/>
          <w:szCs w:val="22"/>
        </w:rPr>
        <w:t xml:space="preserve">, </w:t>
      </w:r>
      <w:r>
        <w:rPr>
          <w:rFonts w:ascii="Arial Narrow" w:hAnsi="Arial Narrow" w:cs="Times New Roman"/>
          <w:sz w:val="22"/>
          <w:szCs w:val="22"/>
        </w:rPr>
        <w:t xml:space="preserve">ktorý </w:t>
      </w:r>
      <w:r w:rsidRPr="0087062F">
        <w:rPr>
          <w:rFonts w:ascii="Arial Narrow" w:hAnsi="Arial Narrow" w:cs="Times New Roman"/>
          <w:sz w:val="22"/>
          <w:szCs w:val="22"/>
        </w:rPr>
        <w:t xml:space="preserve">v najbližších troch rokoch </w:t>
      </w:r>
      <w:r>
        <w:rPr>
          <w:rFonts w:ascii="Arial Narrow" w:hAnsi="Arial Narrow" w:cs="Times New Roman"/>
          <w:sz w:val="22"/>
          <w:szCs w:val="22"/>
        </w:rPr>
        <w:t>bude dosahovať úroveň v</w:t>
      </w:r>
      <w:r w:rsidRPr="00EF4EAB">
        <w:rPr>
          <w:rFonts w:ascii="Arial Narrow" w:hAnsi="Arial Narrow" w:cs="Times New Roman"/>
          <w:sz w:val="22"/>
          <w:szCs w:val="22"/>
        </w:rPr>
        <w:t xml:space="preserve"> priemere  </w:t>
      </w:r>
      <w:r>
        <w:rPr>
          <w:rFonts w:ascii="Arial Narrow" w:hAnsi="Arial Narrow" w:cs="Times New Roman"/>
          <w:sz w:val="22"/>
          <w:szCs w:val="22"/>
        </w:rPr>
        <w:t xml:space="preserve">6,1 % ročne v stálych cenách, inflácia sa bude pohybovať </w:t>
      </w:r>
      <w:r w:rsidRPr="005C7871">
        <w:rPr>
          <w:rFonts w:ascii="Arial Narrow" w:hAnsi="Arial Narrow" w:cs="Times New Roman"/>
          <w:sz w:val="22"/>
          <w:szCs w:val="22"/>
        </w:rPr>
        <w:t xml:space="preserve">v intervale </w:t>
      </w:r>
      <w:r>
        <w:rPr>
          <w:rFonts w:ascii="Arial Narrow" w:hAnsi="Arial Narrow" w:cs="Times New Roman"/>
          <w:sz w:val="22"/>
          <w:szCs w:val="22"/>
        </w:rPr>
        <w:t>3,3 % – 3,9</w:t>
      </w:r>
      <w:r w:rsidRPr="005C7871">
        <w:rPr>
          <w:rFonts w:ascii="Arial Narrow" w:hAnsi="Arial Narrow" w:cs="Times New Roman"/>
          <w:sz w:val="22"/>
          <w:szCs w:val="22"/>
        </w:rPr>
        <w:t xml:space="preserve"> % </w:t>
      </w:r>
      <w:r w:rsidRPr="00866737">
        <w:rPr>
          <w:rFonts w:ascii="Arial Narrow" w:hAnsi="Arial Narrow" w:cs="Times New Roman"/>
          <w:sz w:val="22"/>
          <w:szCs w:val="22"/>
        </w:rPr>
        <w:t>a priemern</w:t>
      </w:r>
      <w:r>
        <w:rPr>
          <w:rFonts w:ascii="Arial Narrow" w:hAnsi="Arial Narrow" w:cs="Times New Roman"/>
          <w:sz w:val="22"/>
          <w:szCs w:val="22"/>
        </w:rPr>
        <w:t>á</w:t>
      </w:r>
      <w:r w:rsidRPr="00866737">
        <w:rPr>
          <w:rFonts w:ascii="Arial Narrow" w:hAnsi="Arial Narrow" w:cs="Times New Roman"/>
          <w:sz w:val="22"/>
          <w:szCs w:val="22"/>
        </w:rPr>
        <w:t xml:space="preserve"> evidovan</w:t>
      </w:r>
      <w:r>
        <w:rPr>
          <w:rFonts w:ascii="Arial Narrow" w:hAnsi="Arial Narrow" w:cs="Times New Roman"/>
          <w:sz w:val="22"/>
          <w:szCs w:val="22"/>
        </w:rPr>
        <w:t>á miera</w:t>
      </w:r>
      <w:r w:rsidRPr="00866737">
        <w:rPr>
          <w:rFonts w:ascii="Arial Narrow" w:hAnsi="Arial Narrow" w:cs="Times New Roman"/>
          <w:sz w:val="22"/>
          <w:szCs w:val="22"/>
        </w:rPr>
        <w:t xml:space="preserve"> n</w:t>
      </w:r>
      <w:r w:rsidRPr="00866737">
        <w:rPr>
          <w:rFonts w:ascii="Arial Narrow" w:hAnsi="Arial Narrow" w:cs="Times New Roman"/>
          <w:sz w:val="22"/>
          <w:szCs w:val="22"/>
        </w:rPr>
        <w:t>ezamestnanosti pokles</w:t>
      </w:r>
      <w:r>
        <w:rPr>
          <w:rFonts w:ascii="Arial Narrow" w:hAnsi="Arial Narrow" w:cs="Times New Roman"/>
          <w:sz w:val="22"/>
          <w:szCs w:val="22"/>
        </w:rPr>
        <w:t>ne</w:t>
      </w:r>
      <w:r w:rsidRPr="00866737">
        <w:rPr>
          <w:rFonts w:ascii="Arial Narrow" w:hAnsi="Arial Narrow" w:cs="Times New Roman"/>
          <w:sz w:val="22"/>
          <w:szCs w:val="22"/>
        </w:rPr>
        <w:t xml:space="preserve"> </w:t>
      </w:r>
      <w:r>
        <w:rPr>
          <w:rFonts w:ascii="Arial Narrow" w:hAnsi="Arial Narrow" w:cs="Times New Roman"/>
          <w:sz w:val="22"/>
          <w:szCs w:val="22"/>
        </w:rPr>
        <w:t>pod 9 %</w:t>
      </w:r>
      <w:r w:rsidRPr="00866737">
        <w:rPr>
          <w:rFonts w:ascii="Arial Narrow" w:hAnsi="Arial Narrow" w:cs="Times New Roman"/>
          <w:sz w:val="22"/>
          <w:szCs w:val="22"/>
        </w:rPr>
        <w:t xml:space="preserve">. </w:t>
      </w:r>
      <w:r w:rsidRPr="0087062F">
        <w:rPr>
          <w:rFonts w:ascii="Arial Narrow" w:hAnsi="Arial Narrow" w:cs="Times New Roman"/>
          <w:sz w:val="22"/>
          <w:szCs w:val="22"/>
        </w:rPr>
        <w:t>Prognózy ministerstva financií sú realistické</w:t>
      </w:r>
      <w:r>
        <w:rPr>
          <w:rFonts w:ascii="Arial Narrow" w:hAnsi="Arial Narrow" w:cs="Times New Roman"/>
          <w:sz w:val="22"/>
          <w:szCs w:val="22"/>
        </w:rPr>
        <w:t xml:space="preserve"> aj podľa </w:t>
      </w:r>
      <w:r w:rsidRPr="00F3785A">
        <w:rPr>
          <w:rFonts w:ascii="Arial Narrow" w:hAnsi="Arial Narrow" w:cs="Times New Roman"/>
          <w:sz w:val="22"/>
          <w:szCs w:val="22"/>
        </w:rPr>
        <w:t>Výboru pre makroekonomické prognózovanie. Súčasný rýchly hospodárs</w:t>
      </w:r>
      <w:r w:rsidRPr="0087062F">
        <w:rPr>
          <w:rFonts w:ascii="Arial Narrow" w:hAnsi="Arial Narrow" w:cs="Times New Roman"/>
          <w:sz w:val="22"/>
          <w:szCs w:val="22"/>
        </w:rPr>
        <w:t xml:space="preserve">ky rast je vyvážený, položený na zdravých základoch a je udržateľný. Dynamický rast slovenského hospodárstva sa bude prejavovať aj na </w:t>
      </w:r>
      <w:r w:rsidRPr="0087062F">
        <w:rPr>
          <w:rFonts w:ascii="Arial Narrow" w:hAnsi="Arial Narrow" w:cs="Times New Roman"/>
          <w:b/>
          <w:bCs/>
          <w:sz w:val="22"/>
          <w:szCs w:val="22"/>
        </w:rPr>
        <w:t>zlepšovaní životnej úrovne obyvateľov</w:t>
      </w:r>
      <w:r>
        <w:rPr>
          <w:rFonts w:ascii="Arial Narrow" w:hAnsi="Arial Narrow" w:cs="Times New Roman"/>
          <w:sz w:val="22"/>
          <w:szCs w:val="22"/>
        </w:rPr>
        <w:t xml:space="preserve"> prostredníctvom rastu </w:t>
      </w:r>
      <w:r w:rsidRPr="0087062F">
        <w:rPr>
          <w:rFonts w:ascii="Arial Narrow" w:hAnsi="Arial Narrow" w:cs="Times New Roman"/>
          <w:sz w:val="22"/>
          <w:szCs w:val="22"/>
        </w:rPr>
        <w:t>reálnych miezd</w:t>
      </w:r>
      <w:r>
        <w:rPr>
          <w:rFonts w:ascii="Arial Narrow" w:hAnsi="Arial Narrow" w:cs="Times New Roman"/>
          <w:sz w:val="22"/>
          <w:szCs w:val="22"/>
        </w:rPr>
        <w:t>, ktorý</w:t>
      </w:r>
      <w:r w:rsidRPr="0087062F">
        <w:rPr>
          <w:rFonts w:ascii="Arial Narrow" w:hAnsi="Arial Narrow" w:cs="Times New Roman"/>
          <w:sz w:val="22"/>
          <w:szCs w:val="22"/>
        </w:rPr>
        <w:t xml:space="preserve"> sa v nasledujúcich rokoch bude</w:t>
      </w:r>
      <w:r>
        <w:rPr>
          <w:rFonts w:ascii="Arial Narrow" w:hAnsi="Arial Narrow" w:cs="Times New Roman"/>
          <w:sz w:val="22"/>
          <w:szCs w:val="22"/>
        </w:rPr>
        <w:t xml:space="preserve"> pohybovať na úrovni okolo 4,8 % a </w:t>
      </w:r>
      <w:r w:rsidRPr="0087062F">
        <w:rPr>
          <w:rFonts w:ascii="Arial Narrow" w:hAnsi="Arial Narrow" w:cs="Times New Roman"/>
          <w:sz w:val="22"/>
          <w:szCs w:val="22"/>
        </w:rPr>
        <w:t>spotreba domácností vzrastie o</w:t>
      </w:r>
      <w:r>
        <w:rPr>
          <w:rFonts w:ascii="Arial Narrow" w:hAnsi="Arial Narrow" w:cs="Times New Roman"/>
          <w:sz w:val="22"/>
          <w:szCs w:val="22"/>
        </w:rPr>
        <w:t> 5,5 – 6,1</w:t>
      </w:r>
      <w:r w:rsidRPr="0087062F">
        <w:rPr>
          <w:rFonts w:ascii="Arial Narrow" w:hAnsi="Arial Narrow" w:cs="Times New Roman"/>
          <w:sz w:val="22"/>
          <w:szCs w:val="22"/>
        </w:rPr>
        <w:t xml:space="preserve"> %.   </w:t>
      </w:r>
    </w:p>
    <w:p w:rsidR="00CC0A61" w:rsidP="00CC0A61">
      <w:pPr>
        <w:pStyle w:val="BodyText"/>
        <w:ind w:firstLine="708"/>
        <w:rPr>
          <w:rFonts w:ascii="Arial Narrow" w:hAnsi="Arial Narrow" w:cs="Arial Narrow"/>
          <w:color w:val="000000"/>
          <w:sz w:val="22"/>
          <w:szCs w:val="22"/>
        </w:rPr>
      </w:pPr>
    </w:p>
    <w:p w:rsidR="00CC0A61" w:rsidP="00CC0A61">
      <w:pPr>
        <w:pStyle w:val="BodyText"/>
        <w:ind w:firstLine="708"/>
        <w:jc w:val="both"/>
        <w:rPr>
          <w:rFonts w:ascii="Arial Narrow" w:hAnsi="Arial Narrow" w:cs="Times New Roman"/>
          <w:sz w:val="22"/>
          <w:szCs w:val="22"/>
        </w:rPr>
      </w:pPr>
      <w:r w:rsidRPr="00C2630F">
        <w:rPr>
          <w:rFonts w:ascii="Arial Narrow" w:hAnsi="Arial Narrow" w:cs="Times New Roman"/>
          <w:sz w:val="22"/>
          <w:szCs w:val="22"/>
        </w:rPr>
        <w:t xml:space="preserve">Realizáciou navrhovaného rozpočtu sa verejné financie výrazne priblížia úrovni, ktorá bude </w:t>
      </w:r>
      <w:r w:rsidRPr="00C2630F">
        <w:rPr>
          <w:rFonts w:ascii="Arial Narrow" w:hAnsi="Arial Narrow" w:cs="Times New Roman"/>
          <w:b/>
          <w:bCs/>
          <w:sz w:val="22"/>
          <w:szCs w:val="22"/>
        </w:rPr>
        <w:t>dlhodobo udržateľná</w:t>
      </w:r>
      <w:r w:rsidRPr="00C2630F">
        <w:rPr>
          <w:rFonts w:ascii="Arial Narrow" w:hAnsi="Arial Narrow" w:cs="Times New Roman"/>
          <w:sz w:val="22"/>
          <w:szCs w:val="22"/>
        </w:rPr>
        <w:t>.</w:t>
      </w:r>
      <w:r w:rsidRPr="0087062F">
        <w:rPr>
          <w:rFonts w:ascii="Arial Narrow" w:hAnsi="Arial Narrow" w:cs="Times New Roman"/>
          <w:sz w:val="22"/>
          <w:szCs w:val="22"/>
        </w:rPr>
        <w:t xml:space="preserve"> Podiel hrubého verejného dlhu na HDP, ktorý na konci roku 2002 dosahoval  43,</w:t>
      </w:r>
      <w:r>
        <w:rPr>
          <w:rFonts w:ascii="Arial Narrow" w:hAnsi="Arial Narrow" w:cs="Times New Roman"/>
          <w:sz w:val="22"/>
          <w:szCs w:val="22"/>
        </w:rPr>
        <w:t>3 % HDP klesne do konca roku 2011</w:t>
      </w:r>
      <w:r w:rsidRPr="0087062F">
        <w:rPr>
          <w:rFonts w:ascii="Arial Narrow" w:hAnsi="Arial Narrow" w:cs="Times New Roman"/>
          <w:sz w:val="22"/>
          <w:szCs w:val="22"/>
        </w:rPr>
        <w:t xml:space="preserve"> na úroveň </w:t>
      </w:r>
      <w:r>
        <w:rPr>
          <w:rFonts w:ascii="Arial Narrow" w:hAnsi="Arial Narrow" w:cs="Times New Roman"/>
          <w:sz w:val="22"/>
          <w:szCs w:val="22"/>
        </w:rPr>
        <w:t>25,2</w:t>
      </w:r>
      <w:r w:rsidRPr="0087062F">
        <w:rPr>
          <w:rFonts w:ascii="Arial Narrow" w:hAnsi="Arial Narrow" w:cs="Times New Roman"/>
          <w:sz w:val="22"/>
          <w:szCs w:val="22"/>
        </w:rPr>
        <w:t xml:space="preserve"> %. Je možné konštatovať, že vzhľadom na rýchly </w:t>
      </w:r>
      <w:r w:rsidRPr="0087062F">
        <w:rPr>
          <w:rFonts w:ascii="Arial Narrow" w:hAnsi="Arial Narrow" w:cs="Times New Roman"/>
          <w:sz w:val="22"/>
          <w:szCs w:val="22"/>
        </w:rPr>
        <w:t xml:space="preserve">rast ekonomiky a naopak klesajúci schodok, </w:t>
      </w:r>
      <w:r w:rsidRPr="0087062F">
        <w:rPr>
          <w:rFonts w:ascii="Arial Narrow" w:hAnsi="Arial Narrow" w:cs="Times New Roman"/>
          <w:b/>
          <w:bCs/>
          <w:sz w:val="22"/>
          <w:szCs w:val="22"/>
        </w:rPr>
        <w:t xml:space="preserve">verejné financie </w:t>
      </w:r>
      <w:r>
        <w:rPr>
          <w:rFonts w:ascii="Arial Narrow" w:hAnsi="Arial Narrow" w:cs="Times New Roman"/>
          <w:b/>
          <w:bCs/>
          <w:sz w:val="22"/>
          <w:szCs w:val="22"/>
        </w:rPr>
        <w:t>znižujú</w:t>
      </w:r>
      <w:r w:rsidRPr="0087062F">
        <w:rPr>
          <w:rFonts w:ascii="Arial Narrow" w:hAnsi="Arial Narrow" w:cs="Times New Roman"/>
          <w:b/>
          <w:bCs/>
          <w:sz w:val="22"/>
          <w:szCs w:val="22"/>
        </w:rPr>
        <w:t xml:space="preserve"> finančné bremeno budúcich generácií</w:t>
      </w:r>
      <w:r w:rsidRPr="0087062F">
        <w:rPr>
          <w:rFonts w:ascii="Arial Narrow" w:hAnsi="Arial Narrow" w:cs="Times New Roman"/>
          <w:sz w:val="22"/>
          <w:szCs w:val="22"/>
        </w:rPr>
        <w:t xml:space="preserve">. </w:t>
      </w:r>
    </w:p>
    <w:p w:rsidR="00CC0A61" w:rsidP="00CC0A61">
      <w:pPr>
        <w:pStyle w:val="BodyText"/>
        <w:spacing w:after="0"/>
        <w:ind w:firstLine="709"/>
        <w:jc w:val="both"/>
        <w:rPr>
          <w:rFonts w:ascii="Arial Narrow" w:hAnsi="Arial Narrow" w:cs="Times New Roman"/>
          <w:sz w:val="22"/>
          <w:szCs w:val="22"/>
        </w:rPr>
      </w:pPr>
    </w:p>
    <w:p w:rsidR="00CC0A61" w:rsidRPr="00E32587" w:rsidP="00CC0A61">
      <w:pPr>
        <w:pStyle w:val="BodyText"/>
        <w:spacing w:after="0"/>
        <w:ind w:firstLine="709"/>
        <w:jc w:val="both"/>
        <w:rPr>
          <w:rFonts w:ascii="Arial Narrow" w:hAnsi="Arial Narrow" w:cs="Times New Roman"/>
          <w:sz w:val="22"/>
          <w:szCs w:val="22"/>
        </w:rPr>
      </w:pPr>
      <w:r w:rsidRPr="00215294">
        <w:rPr>
          <w:rFonts w:ascii="Arial Narrow" w:hAnsi="Arial Narrow" w:cs="Times New Roman"/>
          <w:sz w:val="22"/>
          <w:szCs w:val="22"/>
        </w:rPr>
        <w:t xml:space="preserve">Ministerstvo financií sa pri príprave návrhov rozpočtov jednotlivých kapitol štátneho rozpočtu venovalo analýze </w:t>
      </w:r>
      <w:r w:rsidRPr="00215294">
        <w:rPr>
          <w:rFonts w:ascii="Arial Narrow" w:hAnsi="Arial Narrow" w:cs="Times New Roman"/>
          <w:b/>
          <w:sz w:val="22"/>
          <w:szCs w:val="22"/>
        </w:rPr>
        <w:t xml:space="preserve">efektívnosti konkrétnych výdavkových </w:t>
      </w:r>
      <w:r w:rsidRPr="00215294">
        <w:rPr>
          <w:rFonts w:ascii="Arial Narrow" w:hAnsi="Arial Narrow" w:cs="Times New Roman"/>
          <w:b/>
          <w:sz w:val="22"/>
          <w:szCs w:val="22"/>
        </w:rPr>
        <w:t>politík</w:t>
      </w:r>
      <w:r w:rsidRPr="00215294">
        <w:rPr>
          <w:rFonts w:ascii="Arial Narrow" w:hAnsi="Arial Narrow" w:cs="Times New Roman"/>
          <w:sz w:val="22"/>
          <w:szCs w:val="22"/>
        </w:rPr>
        <w:t xml:space="preserve"> jednotlivých rezortov. Ako nástroj slúžilo najmä monitorovanie a hodnotenie plnenia cieľov programového rozpočtovania vo vzťahu k záväzkom vyplývajúcim z programového vyhlásenia vlády.</w:t>
      </w:r>
    </w:p>
    <w:p w:rsidR="00CC0A61" w:rsidRPr="00E32587" w:rsidP="00CC0A61">
      <w:pPr>
        <w:pStyle w:val="BodyText"/>
        <w:ind w:firstLine="708"/>
        <w:rPr>
          <w:rFonts w:ascii="Arial Narrow" w:hAnsi="Arial Narrow" w:cs="Times New Roman"/>
          <w:sz w:val="22"/>
          <w:szCs w:val="22"/>
        </w:rPr>
      </w:pPr>
    </w:p>
    <w:p w:rsidR="00CC0A61" w:rsidRPr="00E32587" w:rsidP="00CC0A61">
      <w:pPr>
        <w:pStyle w:val="BodyText"/>
        <w:jc w:val="both"/>
        <w:rPr>
          <w:rFonts w:ascii="Arial Narrow" w:hAnsi="Arial Narrow" w:cs="Times New Roman"/>
          <w:sz w:val="22"/>
          <w:szCs w:val="22"/>
        </w:rPr>
      </w:pPr>
      <w:r>
        <w:rPr>
          <w:rFonts w:ascii="Arial Narrow" w:hAnsi="Arial Narrow" w:cs="Times New Roman"/>
          <w:sz w:val="22"/>
          <w:szCs w:val="22"/>
        </w:rPr>
        <w:tab/>
        <w:t xml:space="preserve">Predložený návrh rozpočtu verejnej správy </w:t>
      </w:r>
      <w:r w:rsidRPr="009907B3">
        <w:rPr>
          <w:rFonts w:ascii="Arial Narrow" w:hAnsi="Arial Narrow" w:cs="Times New Roman"/>
          <w:b/>
          <w:sz w:val="22"/>
          <w:szCs w:val="22"/>
        </w:rPr>
        <w:t xml:space="preserve">obsahuje aj krytie </w:t>
      </w:r>
      <w:r w:rsidRPr="009907B3">
        <w:rPr>
          <w:rFonts w:ascii="Arial Narrow" w:hAnsi="Arial Narrow" w:cs="Times New Roman"/>
          <w:b/>
          <w:sz w:val="22"/>
          <w:szCs w:val="22"/>
        </w:rPr>
        <w:t>pripravovaných legislatívnych zmien v sociálnej oblasti</w:t>
      </w:r>
      <w:r>
        <w:rPr>
          <w:rFonts w:ascii="Arial Narrow" w:hAnsi="Arial Narrow" w:cs="Times New Roman"/>
          <w:sz w:val="22"/>
          <w:szCs w:val="22"/>
        </w:rPr>
        <w:t>, ktorých cieľom je zlepšenie sociálnej situácie jednotlivých skupín obyvateľstva.</w:t>
      </w:r>
    </w:p>
    <w:p w:rsidR="00CC0A61" w:rsidP="00CC0A61">
      <w:pPr>
        <w:ind w:firstLine="708"/>
        <w:jc w:val="both"/>
        <w:rPr>
          <w:rFonts w:ascii="Arial Narrow" w:hAnsi="Arial Narrow" w:cs="Times New Roman"/>
          <w:sz w:val="22"/>
          <w:szCs w:val="22"/>
        </w:rPr>
      </w:pPr>
    </w:p>
    <w:p w:rsidR="00CC0A61" w:rsidRPr="00E32587" w:rsidP="00CC0A61">
      <w:pPr>
        <w:pStyle w:val="BodyText"/>
        <w:spacing w:after="0"/>
        <w:ind w:firstLine="709"/>
        <w:rPr>
          <w:rFonts w:ascii="Arial Narrow" w:hAnsi="Arial Narrow" w:cs="Times New Roman"/>
          <w:sz w:val="22"/>
          <w:szCs w:val="22"/>
        </w:rPr>
      </w:pPr>
      <w:r>
        <w:rPr>
          <w:rFonts w:ascii="Arial Narrow" w:hAnsi="Arial Narrow" w:cs="Times New Roman"/>
          <w:sz w:val="22"/>
          <w:szCs w:val="22"/>
        </w:rPr>
        <w:t xml:space="preserve">V návrhu rozpočtu  verejnej správy na roky 2009 až 2011 </w:t>
      </w:r>
      <w:r w:rsidRPr="00E32587">
        <w:rPr>
          <w:rFonts w:ascii="Arial Narrow" w:hAnsi="Arial Narrow" w:cs="Times New Roman"/>
          <w:sz w:val="22"/>
          <w:szCs w:val="22"/>
        </w:rPr>
        <w:t xml:space="preserve">sa </w:t>
      </w:r>
      <w:r w:rsidRPr="00E32587">
        <w:rPr>
          <w:rFonts w:ascii="Arial Narrow" w:hAnsi="Arial Narrow" w:cs="Times New Roman"/>
          <w:b/>
          <w:sz w:val="22"/>
          <w:szCs w:val="22"/>
        </w:rPr>
        <w:t>nepredpoklad</w:t>
      </w:r>
      <w:r>
        <w:rPr>
          <w:rFonts w:ascii="Arial Narrow" w:hAnsi="Arial Narrow" w:cs="Times New Roman"/>
          <w:b/>
          <w:sz w:val="22"/>
          <w:szCs w:val="22"/>
        </w:rPr>
        <w:t>á</w:t>
      </w:r>
      <w:r w:rsidRPr="00E32587">
        <w:rPr>
          <w:rFonts w:ascii="Arial Narrow" w:hAnsi="Arial Narrow" w:cs="Times New Roman"/>
          <w:sz w:val="22"/>
          <w:szCs w:val="22"/>
        </w:rPr>
        <w:t xml:space="preserve"> </w:t>
      </w:r>
      <w:r>
        <w:rPr>
          <w:rFonts w:ascii="Arial Narrow" w:hAnsi="Arial Narrow" w:cs="Times New Roman"/>
          <w:b/>
          <w:sz w:val="22"/>
          <w:szCs w:val="22"/>
        </w:rPr>
        <w:t xml:space="preserve">žiadna </w:t>
      </w:r>
      <w:r w:rsidRPr="00E32587">
        <w:rPr>
          <w:rFonts w:ascii="Arial Narrow" w:hAnsi="Arial Narrow" w:cs="Times New Roman"/>
          <w:b/>
          <w:sz w:val="22"/>
          <w:szCs w:val="22"/>
        </w:rPr>
        <w:t>privatizáci</w:t>
      </w:r>
      <w:r>
        <w:rPr>
          <w:rFonts w:ascii="Arial Narrow" w:hAnsi="Arial Narrow" w:cs="Times New Roman"/>
          <w:b/>
          <w:sz w:val="22"/>
          <w:szCs w:val="22"/>
        </w:rPr>
        <w:t>a.</w:t>
      </w:r>
    </w:p>
    <w:p w:rsidR="00CC0A61" w:rsidP="00CC0A61">
      <w:pPr>
        <w:rPr>
          <w:rFonts w:cs="Times New Roman"/>
        </w:rPr>
      </w:pPr>
    </w:p>
    <w:p w:rsidR="000E060D" w:rsidRPr="00E32587" w:rsidP="000E060D">
      <w:pPr>
        <w:pStyle w:val="BodyText"/>
        <w:spacing w:after="0"/>
        <w:ind w:firstLine="709"/>
        <w:rPr>
          <w:rFonts w:ascii="Arial Narrow" w:hAnsi="Arial Narrow" w:cs="Times New Roman"/>
          <w:sz w:val="22"/>
          <w:szCs w:val="22"/>
        </w:rPr>
      </w:pPr>
    </w:p>
    <w:p w:rsidR="000E060D" w:rsidP="000E060D">
      <w:pPr>
        <w:ind w:firstLine="708"/>
        <w:jc w:val="both"/>
        <w:rPr>
          <w:rFonts w:ascii="Arial Narrow" w:hAnsi="Arial Narrow" w:cs="Times New Roman"/>
          <w:sz w:val="22"/>
          <w:szCs w:val="22"/>
        </w:rPr>
      </w:pPr>
    </w:p>
    <w:p w:rsidR="000E060D" w:rsidRPr="00075D0D" w:rsidP="000E060D">
      <w:pPr>
        <w:pStyle w:val="Heading1"/>
        <w:rPr>
          <w:rFonts w:ascii="Arial Narrow" w:hAnsi="Arial Narrow"/>
          <w:sz w:val="28"/>
        </w:rPr>
      </w:pPr>
      <w:bookmarkStart w:id="10" w:name="_Toc211592387"/>
      <w:r w:rsidRPr="00075D0D">
        <w:rPr>
          <w:rFonts w:ascii="Arial Narrow" w:hAnsi="Arial Narrow"/>
          <w:sz w:val="28"/>
        </w:rPr>
        <w:t>1. V</w:t>
      </w:r>
      <w:bookmarkEnd w:id="0"/>
      <w:r w:rsidRPr="00075D0D">
        <w:rPr>
          <w:rFonts w:ascii="Arial Narrow" w:hAnsi="Arial Narrow"/>
          <w:sz w:val="28"/>
        </w:rPr>
        <w:t>ývoj makroekonom</w:t>
      </w:r>
      <w:r w:rsidRPr="00075D0D">
        <w:rPr>
          <w:rFonts w:ascii="Arial Narrow" w:hAnsi="Arial Narrow"/>
          <w:sz w:val="28"/>
        </w:rPr>
        <w:t>ického prostredia</w:t>
      </w:r>
      <w:bookmarkEnd w:id="1"/>
      <w:bookmarkEnd w:id="2"/>
      <w:bookmarkEnd w:id="3"/>
      <w:bookmarkEnd w:id="10"/>
      <w:r w:rsidRPr="00075D0D">
        <w:rPr>
          <w:rFonts w:ascii="Arial Narrow" w:hAnsi="Arial Narrow"/>
          <w:sz w:val="28"/>
        </w:rPr>
        <w:t xml:space="preserve"> </w:t>
      </w:r>
    </w:p>
    <w:p w:rsidR="000E060D" w:rsidP="000E060D">
      <w:pPr>
        <w:rPr>
          <w:rFonts w:ascii="Arial Narrow" w:hAnsi="Arial Narrow" w:cs="Times New Roman"/>
          <w:b/>
          <w:highlight w:val="yellow"/>
        </w:rPr>
      </w:pPr>
    </w:p>
    <w:p w:rsidR="000E060D" w:rsidRPr="0087062F" w:rsidP="000E060D">
      <w:pPr>
        <w:pStyle w:val="Heading2"/>
        <w:rPr>
          <w:rFonts w:ascii="Arial Narrow" w:hAnsi="Arial Narrow"/>
          <w:i w:val="0"/>
          <w:sz w:val="24"/>
          <w:szCs w:val="24"/>
        </w:rPr>
      </w:pPr>
      <w:bookmarkStart w:id="11" w:name="_Toc97700651"/>
      <w:bookmarkStart w:id="12" w:name="_Toc148255236"/>
      <w:bookmarkStart w:id="13" w:name="_Toc211592388"/>
      <w:r w:rsidRPr="0087062F">
        <w:rPr>
          <w:rFonts w:ascii="Arial Narrow" w:hAnsi="Arial Narrow"/>
          <w:i w:val="0"/>
          <w:sz w:val="24"/>
          <w:szCs w:val="24"/>
        </w:rPr>
        <w:t>1.1</w:t>
      </w:r>
      <w:r>
        <w:rPr>
          <w:rFonts w:ascii="Arial Narrow" w:hAnsi="Arial Narrow"/>
          <w:i w:val="0"/>
          <w:sz w:val="24"/>
          <w:szCs w:val="24"/>
        </w:rPr>
        <w:t>.</w:t>
      </w:r>
      <w:r w:rsidRPr="0087062F">
        <w:rPr>
          <w:rFonts w:ascii="Arial Narrow" w:hAnsi="Arial Narrow"/>
          <w:i w:val="0"/>
          <w:sz w:val="24"/>
          <w:szCs w:val="24"/>
        </w:rPr>
        <w:t xml:space="preserve"> Charakteristika vývoja ekonomiky v roku </w:t>
      </w:r>
      <w:r w:rsidRPr="00BD1713">
        <w:rPr>
          <w:rFonts w:ascii="Arial Narrow" w:hAnsi="Arial Narrow"/>
          <w:i w:val="0"/>
          <w:sz w:val="24"/>
          <w:szCs w:val="24"/>
        </w:rPr>
        <w:t>200</w:t>
      </w:r>
      <w:bookmarkEnd w:id="11"/>
      <w:bookmarkEnd w:id="12"/>
      <w:r w:rsidRPr="00BD1713">
        <w:rPr>
          <w:rFonts w:ascii="Arial Narrow" w:hAnsi="Arial Narrow"/>
          <w:i w:val="0"/>
          <w:sz w:val="24"/>
          <w:szCs w:val="24"/>
        </w:rPr>
        <w:t>8</w:t>
      </w:r>
      <w:bookmarkEnd w:id="13"/>
      <w:r>
        <w:rPr>
          <w:rFonts w:ascii="Arial Narrow" w:hAnsi="Arial Narrow"/>
          <w:i w:val="0"/>
          <w:sz w:val="24"/>
          <w:szCs w:val="24"/>
        </w:rPr>
        <w:t xml:space="preserve">   </w:t>
      </w:r>
    </w:p>
    <w:p w:rsidR="000E060D" w:rsidP="000E060D">
      <w:pPr>
        <w:ind w:firstLine="680"/>
        <w:jc w:val="both"/>
        <w:rPr>
          <w:rFonts w:ascii="Arial Narrow" w:hAnsi="Arial Narrow" w:cs="Times New Roman"/>
          <w:sz w:val="22"/>
          <w:szCs w:val="22"/>
        </w:rPr>
      </w:pPr>
    </w:p>
    <w:p w:rsidR="000E060D" w:rsidP="000E060D">
      <w:pPr>
        <w:ind w:firstLine="680"/>
        <w:jc w:val="both"/>
        <w:rPr>
          <w:rFonts w:ascii="Arial Narrow" w:hAnsi="Arial Narrow" w:cs="Times New Roman"/>
          <w:sz w:val="22"/>
          <w:szCs w:val="22"/>
        </w:rPr>
      </w:pPr>
      <w:r>
        <w:rPr>
          <w:rFonts w:ascii="Arial Narrow" w:hAnsi="Arial Narrow" w:cs="Times New Roman"/>
          <w:sz w:val="22"/>
          <w:szCs w:val="22"/>
        </w:rPr>
        <w:t>Výkonnosť ekonomiky S</w:t>
      </w:r>
      <w:r w:rsidR="00EE08D1">
        <w:rPr>
          <w:rFonts w:ascii="Arial Narrow" w:hAnsi="Arial Narrow" w:cs="Times New Roman"/>
          <w:sz w:val="22"/>
          <w:szCs w:val="22"/>
        </w:rPr>
        <w:t xml:space="preserve">R </w:t>
      </w:r>
      <w:r>
        <w:rPr>
          <w:rFonts w:ascii="Arial Narrow" w:hAnsi="Arial Narrow" w:cs="Times New Roman"/>
          <w:sz w:val="22"/>
          <w:szCs w:val="22"/>
        </w:rPr>
        <w:t xml:space="preserve">dosahuje aj v roku 2008 vysoké, ale miernejšie tempá reálneho rastu oproti celkovej dynamike za rok 2007. Na </w:t>
      </w:r>
      <w:r w:rsidRPr="0056769B">
        <w:rPr>
          <w:rFonts w:ascii="Arial Narrow" w:hAnsi="Arial Narrow" w:cs="Times New Roman"/>
          <w:sz w:val="22"/>
          <w:szCs w:val="22"/>
        </w:rPr>
        <w:t>základe posledného vývoja ekonomiky SR a predpokla</w:t>
      </w:r>
      <w:r w:rsidRPr="0056769B">
        <w:rPr>
          <w:rFonts w:ascii="Arial Narrow" w:hAnsi="Arial Narrow" w:cs="Times New Roman"/>
          <w:sz w:val="22"/>
          <w:szCs w:val="22"/>
        </w:rPr>
        <w:t>dov o vývoji vnú</w:t>
      </w:r>
      <w:r>
        <w:rPr>
          <w:rFonts w:ascii="Arial Narrow" w:hAnsi="Arial Narrow" w:cs="Times New Roman"/>
          <w:sz w:val="22"/>
          <w:szCs w:val="22"/>
        </w:rPr>
        <w:t xml:space="preserve">torných a vonkajších podmienok sa naďalej očakáva, že silný rast bude udržateľný a neprinesie vážnejšie riziká pre makroekonomickú stabilitu tak v roku 2008, ako aj v strednodobom horizonte. </w:t>
      </w:r>
    </w:p>
    <w:p w:rsidR="000E060D" w:rsidP="000E060D">
      <w:pPr>
        <w:ind w:firstLine="680"/>
        <w:jc w:val="both"/>
        <w:rPr>
          <w:rFonts w:ascii="Arial Narrow" w:hAnsi="Arial Narrow" w:cs="Times New Roman"/>
          <w:b/>
          <w:bCs/>
          <w:sz w:val="22"/>
          <w:szCs w:val="22"/>
        </w:rPr>
      </w:pPr>
    </w:p>
    <w:p w:rsidR="000E060D" w:rsidP="000E060D">
      <w:pPr>
        <w:ind w:firstLine="680"/>
        <w:jc w:val="both"/>
        <w:rPr>
          <w:rFonts w:ascii="Arial Narrow" w:hAnsi="Arial Narrow" w:cs="Times New Roman"/>
          <w:sz w:val="22"/>
          <w:szCs w:val="22"/>
        </w:rPr>
      </w:pPr>
      <w:r w:rsidRPr="0025357E">
        <w:rPr>
          <w:rFonts w:ascii="Arial Narrow" w:hAnsi="Arial Narrow" w:cs="Times New Roman"/>
          <w:sz w:val="22"/>
          <w:szCs w:val="22"/>
        </w:rPr>
        <w:t>Podľa aktuálnych predikcií sa spomalí rast celkového HDP v roku 2008 na úroveň 7,7</w:t>
      </w:r>
      <w:r>
        <w:rPr>
          <w:rFonts w:ascii="Arial Narrow" w:hAnsi="Arial Narrow" w:cs="Times New Roman"/>
          <w:sz w:val="22"/>
          <w:szCs w:val="22"/>
        </w:rPr>
        <w:t xml:space="preserve"> </w:t>
      </w:r>
      <w:r w:rsidRPr="0025357E">
        <w:rPr>
          <w:rFonts w:ascii="Arial Narrow" w:hAnsi="Arial Narrow" w:cs="Times New Roman"/>
          <w:sz w:val="22"/>
          <w:szCs w:val="22"/>
        </w:rPr>
        <w:t>% (</w:t>
      </w:r>
      <w:r>
        <w:rPr>
          <w:rFonts w:ascii="Arial Narrow" w:hAnsi="Arial Narrow" w:cs="Times New Roman"/>
          <w:sz w:val="22"/>
          <w:szCs w:val="22"/>
        </w:rPr>
        <w:t xml:space="preserve">z </w:t>
      </w:r>
      <w:r w:rsidRPr="0025357E">
        <w:rPr>
          <w:rFonts w:ascii="Arial Narrow" w:hAnsi="Arial Narrow" w:cs="Times New Roman"/>
          <w:sz w:val="22"/>
          <w:szCs w:val="22"/>
        </w:rPr>
        <w:t>10,4</w:t>
      </w:r>
      <w:r>
        <w:rPr>
          <w:rFonts w:ascii="Arial Narrow" w:hAnsi="Arial Narrow" w:cs="Times New Roman"/>
          <w:sz w:val="22"/>
          <w:szCs w:val="22"/>
        </w:rPr>
        <w:t xml:space="preserve"> </w:t>
      </w:r>
      <w:r w:rsidRPr="0025357E">
        <w:rPr>
          <w:rFonts w:ascii="Arial Narrow" w:hAnsi="Arial Narrow" w:cs="Times New Roman"/>
          <w:sz w:val="22"/>
          <w:szCs w:val="22"/>
        </w:rPr>
        <w:t>% v roku 2007), a to vplyvom domáceho aj zahraničného dopytu. Reálna súkromná spotreba zostáva na vysokých hodnotách v dô</w:t>
      </w:r>
      <w:r>
        <w:rPr>
          <w:rFonts w:ascii="Arial Narrow" w:hAnsi="Arial Narrow" w:cs="Times New Roman"/>
          <w:sz w:val="22"/>
          <w:szCs w:val="22"/>
        </w:rPr>
        <w:t>sledku</w:t>
      </w:r>
      <w:r w:rsidRPr="0025357E">
        <w:rPr>
          <w:rFonts w:ascii="Arial Narrow" w:hAnsi="Arial Narrow" w:cs="Times New Roman"/>
          <w:sz w:val="22"/>
          <w:szCs w:val="22"/>
        </w:rPr>
        <w:t xml:space="preserve"> rastu reálnych </w:t>
      </w:r>
      <w:r>
        <w:rPr>
          <w:rFonts w:ascii="Arial Narrow" w:hAnsi="Arial Narrow" w:cs="Times New Roman"/>
          <w:sz w:val="22"/>
          <w:szCs w:val="22"/>
        </w:rPr>
        <w:t xml:space="preserve">aj nominálnych </w:t>
      </w:r>
      <w:r w:rsidRPr="0025357E">
        <w:rPr>
          <w:rFonts w:ascii="Arial Narrow" w:hAnsi="Arial Narrow" w:cs="Times New Roman"/>
          <w:sz w:val="22"/>
          <w:szCs w:val="22"/>
        </w:rPr>
        <w:t xml:space="preserve">miezd </w:t>
      </w:r>
      <w:r>
        <w:rPr>
          <w:rFonts w:ascii="Arial Narrow" w:hAnsi="Arial Narrow" w:cs="Times New Roman"/>
          <w:sz w:val="22"/>
          <w:szCs w:val="22"/>
        </w:rPr>
        <w:t>a tiež zamestnanosti</w:t>
      </w:r>
      <w:r w:rsidRPr="0025357E">
        <w:rPr>
          <w:rFonts w:ascii="Arial Narrow" w:hAnsi="Arial Narrow" w:cs="Times New Roman"/>
          <w:sz w:val="22"/>
          <w:szCs w:val="22"/>
        </w:rPr>
        <w:t xml:space="preserve">. K reálnemu rastu HDP pozitívne prispieva aj čistý zahraničný dopyt podporovaný výrobou v automobilovom, ale aj v elektrotechnickom priemysle, avšak v menšej miere ako v roku 2007. </w:t>
      </w:r>
      <w:r w:rsidR="001652B0">
        <w:rPr>
          <w:rFonts w:ascii="Arial Narrow" w:hAnsi="Arial Narrow" w:cs="Times New Roman"/>
          <w:sz w:val="22"/>
          <w:szCs w:val="22"/>
        </w:rPr>
        <w:t xml:space="preserve">Miera inflácie a saldo bežného účtu platobnej bilancie, t. j. </w:t>
      </w:r>
      <w:r w:rsidRPr="0025357E">
        <w:rPr>
          <w:rFonts w:ascii="Arial Narrow" w:hAnsi="Arial Narrow" w:cs="Times New Roman"/>
          <w:sz w:val="22"/>
          <w:szCs w:val="22"/>
        </w:rPr>
        <w:t xml:space="preserve">indikátory </w:t>
      </w:r>
      <w:r w:rsidR="001652B0">
        <w:rPr>
          <w:rFonts w:ascii="Arial Narrow" w:hAnsi="Arial Narrow" w:cs="Times New Roman"/>
          <w:sz w:val="22"/>
          <w:szCs w:val="22"/>
        </w:rPr>
        <w:t xml:space="preserve">ekonomickej rovnováhy, sa mierne zhoršili, avšak nie sú signálom vážnejšieho rizika prehrievania ekonomiky, pretože sú spôsobené vplyvmi vonkajšieho prostredia. </w:t>
      </w:r>
      <w:r w:rsidRPr="0025357E">
        <w:rPr>
          <w:rFonts w:ascii="Arial Narrow" w:hAnsi="Arial Narrow" w:cs="Times New Roman"/>
          <w:sz w:val="22"/>
          <w:szCs w:val="22"/>
        </w:rPr>
        <w:t xml:space="preserve">Výkon ekonomiky </w:t>
      </w:r>
      <w:r>
        <w:rPr>
          <w:rFonts w:ascii="Arial Narrow" w:hAnsi="Arial Narrow" w:cs="Times New Roman"/>
          <w:sz w:val="22"/>
          <w:szCs w:val="22"/>
        </w:rPr>
        <w:t>je</w:t>
      </w:r>
      <w:r w:rsidR="001652B0">
        <w:rPr>
          <w:rFonts w:ascii="Arial Narrow" w:hAnsi="Arial Narrow" w:cs="Times New Roman"/>
          <w:sz w:val="22"/>
          <w:szCs w:val="22"/>
        </w:rPr>
        <w:t xml:space="preserve"> </w:t>
      </w:r>
      <w:r>
        <w:rPr>
          <w:rFonts w:ascii="Arial Narrow" w:hAnsi="Arial Narrow" w:cs="Times New Roman"/>
          <w:sz w:val="22"/>
          <w:szCs w:val="22"/>
        </w:rPr>
        <w:t>len mierne nad potenciálnym produktom a </w:t>
      </w:r>
      <w:r w:rsidRPr="0025357E">
        <w:rPr>
          <w:rFonts w:ascii="Arial Narrow" w:hAnsi="Arial Narrow" w:cs="Times New Roman"/>
          <w:sz w:val="22"/>
          <w:szCs w:val="22"/>
        </w:rPr>
        <w:t>postupne</w:t>
      </w:r>
      <w:r>
        <w:rPr>
          <w:rFonts w:ascii="Arial Narrow" w:hAnsi="Arial Narrow" w:cs="Times New Roman"/>
          <w:sz w:val="22"/>
          <w:szCs w:val="22"/>
        </w:rPr>
        <w:t xml:space="preserve"> sa bude v ďalších rokoch</w:t>
      </w:r>
      <w:r w:rsidRPr="0025357E">
        <w:rPr>
          <w:rFonts w:ascii="Arial Narrow" w:hAnsi="Arial Narrow" w:cs="Times New Roman"/>
          <w:sz w:val="22"/>
          <w:szCs w:val="22"/>
        </w:rPr>
        <w:t xml:space="preserve"> približovať k</w:t>
      </w:r>
      <w:r>
        <w:rPr>
          <w:rFonts w:ascii="Arial Narrow" w:hAnsi="Arial Narrow" w:cs="Times New Roman"/>
          <w:sz w:val="22"/>
          <w:szCs w:val="22"/>
        </w:rPr>
        <w:t xml:space="preserve"> tejto </w:t>
      </w:r>
      <w:r w:rsidRPr="0025357E">
        <w:rPr>
          <w:rFonts w:ascii="Arial Narrow" w:hAnsi="Arial Narrow" w:cs="Times New Roman"/>
          <w:sz w:val="22"/>
          <w:szCs w:val="22"/>
        </w:rPr>
        <w:t>rovnovážn</w:t>
      </w:r>
      <w:r>
        <w:rPr>
          <w:rFonts w:ascii="Arial Narrow" w:hAnsi="Arial Narrow" w:cs="Times New Roman"/>
          <w:sz w:val="22"/>
          <w:szCs w:val="22"/>
        </w:rPr>
        <w:t>ej úrovni</w:t>
      </w:r>
      <w:r w:rsidRPr="0025357E">
        <w:rPr>
          <w:rFonts w:ascii="Arial Narrow" w:hAnsi="Arial Narrow" w:cs="Times New Roman"/>
          <w:sz w:val="22"/>
          <w:szCs w:val="22"/>
        </w:rPr>
        <w:t xml:space="preserve">. </w:t>
      </w:r>
      <w:r w:rsidR="001652B0">
        <w:rPr>
          <w:rFonts w:ascii="Arial Narrow" w:hAnsi="Arial Narrow" w:cs="Times New Roman"/>
          <w:sz w:val="22"/>
          <w:szCs w:val="22"/>
        </w:rPr>
        <w:t xml:space="preserve">Saldo </w:t>
      </w:r>
      <w:r w:rsidRPr="0025357E">
        <w:rPr>
          <w:rFonts w:ascii="Arial Narrow" w:hAnsi="Arial Narrow" w:cs="Times New Roman"/>
          <w:sz w:val="22"/>
          <w:szCs w:val="22"/>
        </w:rPr>
        <w:t xml:space="preserve">bežného účtu </w:t>
      </w:r>
      <w:r w:rsidR="00582962">
        <w:rPr>
          <w:rFonts w:ascii="Arial Narrow" w:hAnsi="Arial Narrow" w:cs="Times New Roman"/>
          <w:sz w:val="22"/>
          <w:szCs w:val="22"/>
        </w:rPr>
        <w:t xml:space="preserve">v roku 2008 odráža zvýšenie deficitu obchodnej bilancie. Miera inflácie sa v roku 2008 zvyšuje najmä v dôsledku globálnych vplyvov – z titulu vyšších než očakávaných svetových cien ropy a potravín.  </w:t>
      </w:r>
    </w:p>
    <w:p w:rsidR="000E060D" w:rsidP="000E060D">
      <w:pPr>
        <w:ind w:firstLine="680"/>
        <w:jc w:val="both"/>
        <w:rPr>
          <w:rFonts w:ascii="Arial Narrow" w:hAnsi="Arial Narrow" w:cs="Times New Roman"/>
          <w:sz w:val="22"/>
          <w:szCs w:val="22"/>
        </w:rPr>
      </w:pPr>
    </w:p>
    <w:p w:rsidR="000E060D" w:rsidRPr="0056769B" w:rsidP="000E060D">
      <w:pPr>
        <w:ind w:firstLine="680"/>
        <w:jc w:val="both"/>
        <w:rPr>
          <w:rFonts w:ascii="Arial Narrow" w:hAnsi="Arial Narrow" w:cs="Times New Roman"/>
          <w:sz w:val="22"/>
          <w:szCs w:val="22"/>
        </w:rPr>
      </w:pPr>
      <w:r w:rsidRPr="00900AE9">
        <w:rPr>
          <w:rFonts w:ascii="Arial Narrow" w:hAnsi="Arial Narrow" w:cs="Times New Roman"/>
          <w:sz w:val="22"/>
          <w:szCs w:val="22"/>
          <w:u w:val="single"/>
        </w:rPr>
        <w:t>V porovnaní s makroekonomickým rámcom rozpočtu pre rok 2008</w:t>
      </w:r>
      <w:r w:rsidRPr="00900AE9">
        <w:rPr>
          <w:rFonts w:ascii="Arial Narrow" w:hAnsi="Arial Narrow" w:cs="Times New Roman"/>
          <w:sz w:val="22"/>
          <w:szCs w:val="22"/>
        </w:rPr>
        <w:t xml:space="preserve"> došlo k zvýšeniu odhadu rastu HDP na rok 2008. </w:t>
      </w:r>
      <w:r>
        <w:rPr>
          <w:rFonts w:ascii="Arial Narrow" w:hAnsi="Arial Narrow" w:cs="Times New Roman"/>
          <w:sz w:val="22"/>
          <w:szCs w:val="22"/>
        </w:rPr>
        <w:t>Z hľadiska štruktúry dopytu</w:t>
      </w:r>
      <w:r w:rsidR="00EE08D1">
        <w:rPr>
          <w:rFonts w:ascii="Arial Narrow" w:hAnsi="Arial Narrow" w:cs="Times New Roman"/>
          <w:sz w:val="22"/>
          <w:szCs w:val="22"/>
        </w:rPr>
        <w:t>,</w:t>
      </w:r>
      <w:r>
        <w:rPr>
          <w:rFonts w:ascii="Arial Narrow" w:hAnsi="Arial Narrow" w:cs="Times New Roman"/>
          <w:sz w:val="22"/>
          <w:szCs w:val="22"/>
        </w:rPr>
        <w:t xml:space="preserve"> zvýšenému rastu HDP korešponduje vyššia dynamika súkromnej spotreby. Vyššia spotreba </w:t>
      </w:r>
      <w:r w:rsidRPr="00900AE9">
        <w:rPr>
          <w:rFonts w:ascii="Arial Narrow" w:hAnsi="Arial Narrow" w:cs="Times New Roman"/>
          <w:sz w:val="22"/>
          <w:szCs w:val="22"/>
        </w:rPr>
        <w:t xml:space="preserve">odráža rýchlejší </w:t>
      </w:r>
      <w:r>
        <w:rPr>
          <w:rFonts w:ascii="Arial Narrow" w:hAnsi="Arial Narrow" w:cs="Times New Roman"/>
          <w:sz w:val="22"/>
          <w:szCs w:val="22"/>
        </w:rPr>
        <w:t xml:space="preserve">než </w:t>
      </w:r>
      <w:r w:rsidR="00EE08D1">
        <w:rPr>
          <w:rFonts w:ascii="Arial Narrow" w:hAnsi="Arial Narrow" w:cs="Times New Roman"/>
          <w:sz w:val="22"/>
          <w:szCs w:val="22"/>
        </w:rPr>
        <w:t>o</w:t>
      </w:r>
      <w:r w:rsidRPr="00900AE9">
        <w:rPr>
          <w:rFonts w:ascii="Arial Narrow" w:hAnsi="Arial Narrow" w:cs="Times New Roman"/>
          <w:sz w:val="22"/>
          <w:szCs w:val="22"/>
        </w:rPr>
        <w:t xml:space="preserve">čakávaný rast mzdovej bázy v dôsledku </w:t>
      </w:r>
      <w:r w:rsidR="00476943">
        <w:rPr>
          <w:rFonts w:ascii="Arial Narrow" w:hAnsi="Arial Narrow" w:cs="Times New Roman"/>
          <w:sz w:val="22"/>
          <w:szCs w:val="22"/>
        </w:rPr>
        <w:t>silnejšieho</w:t>
      </w:r>
      <w:r w:rsidRPr="00900AE9">
        <w:rPr>
          <w:rFonts w:ascii="Arial Narrow" w:hAnsi="Arial Narrow" w:cs="Times New Roman"/>
          <w:sz w:val="22"/>
          <w:szCs w:val="22"/>
        </w:rPr>
        <w:t xml:space="preserve"> rastu reálnych</w:t>
      </w:r>
      <w:r>
        <w:rPr>
          <w:rFonts w:ascii="Arial Narrow" w:hAnsi="Arial Narrow" w:cs="Times New Roman"/>
          <w:sz w:val="22"/>
          <w:szCs w:val="22"/>
        </w:rPr>
        <w:t xml:space="preserve"> aj nominálnych</w:t>
      </w:r>
      <w:r w:rsidRPr="00900AE9">
        <w:rPr>
          <w:rFonts w:ascii="Arial Narrow" w:hAnsi="Arial Narrow" w:cs="Times New Roman"/>
          <w:sz w:val="22"/>
          <w:szCs w:val="22"/>
        </w:rPr>
        <w:t xml:space="preserve"> miezd a</w:t>
      </w:r>
      <w:r>
        <w:rPr>
          <w:rFonts w:ascii="Arial Narrow" w:hAnsi="Arial Narrow" w:cs="Times New Roman"/>
          <w:sz w:val="22"/>
          <w:szCs w:val="22"/>
        </w:rPr>
        <w:t xml:space="preserve"> tiež </w:t>
      </w:r>
      <w:r w:rsidRPr="00900AE9">
        <w:rPr>
          <w:rFonts w:ascii="Arial Narrow" w:hAnsi="Arial Narrow" w:cs="Times New Roman"/>
          <w:sz w:val="22"/>
          <w:szCs w:val="22"/>
        </w:rPr>
        <w:t xml:space="preserve">zamestnanosti. Oproti minuloročnému rámcu </w:t>
      </w:r>
      <w:r>
        <w:rPr>
          <w:rFonts w:ascii="Arial Narrow" w:hAnsi="Arial Narrow" w:cs="Times New Roman"/>
          <w:sz w:val="22"/>
          <w:szCs w:val="22"/>
        </w:rPr>
        <w:t>sa v dôsledku dynamickejšej spotreby a tiež dovozov do elektrotechnického priemyslu zvýšili prognózované hodnoty importu</w:t>
      </w:r>
      <w:r w:rsidRPr="00900AE9">
        <w:rPr>
          <w:rFonts w:ascii="Arial Narrow" w:hAnsi="Arial Narrow" w:cs="Times New Roman"/>
          <w:sz w:val="22"/>
          <w:szCs w:val="22"/>
        </w:rPr>
        <w:t xml:space="preserve">, a v menšej miere </w:t>
      </w:r>
      <w:r>
        <w:rPr>
          <w:rFonts w:ascii="Arial Narrow" w:hAnsi="Arial Narrow" w:cs="Times New Roman"/>
          <w:sz w:val="22"/>
          <w:szCs w:val="22"/>
        </w:rPr>
        <w:t xml:space="preserve">aj prognózy </w:t>
      </w:r>
      <w:r w:rsidRPr="00900AE9">
        <w:rPr>
          <w:rFonts w:ascii="Arial Narrow" w:hAnsi="Arial Narrow" w:cs="Times New Roman"/>
          <w:sz w:val="22"/>
          <w:szCs w:val="22"/>
        </w:rPr>
        <w:t>export</w:t>
      </w:r>
      <w:r>
        <w:rPr>
          <w:rFonts w:ascii="Arial Narrow" w:hAnsi="Arial Narrow" w:cs="Times New Roman"/>
          <w:sz w:val="22"/>
          <w:szCs w:val="22"/>
        </w:rPr>
        <w:t>u.</w:t>
      </w:r>
      <w:r>
        <w:rPr>
          <w:rFonts w:ascii="Arial Narrow" w:hAnsi="Arial Narrow" w:cs="Times New Roman"/>
          <w:sz w:val="22"/>
          <w:szCs w:val="22"/>
        </w:rPr>
        <w:t xml:space="preserve"> Tento fakt</w:t>
      </w:r>
      <w:r w:rsidRPr="00900AE9">
        <w:rPr>
          <w:rFonts w:ascii="Arial Narrow" w:hAnsi="Arial Narrow" w:cs="Times New Roman"/>
          <w:sz w:val="22"/>
          <w:szCs w:val="22"/>
        </w:rPr>
        <w:t xml:space="preserve"> </w:t>
      </w:r>
      <w:r>
        <w:rPr>
          <w:rFonts w:ascii="Arial Narrow" w:hAnsi="Arial Narrow" w:cs="Times New Roman"/>
          <w:sz w:val="22"/>
          <w:szCs w:val="22"/>
        </w:rPr>
        <w:t xml:space="preserve">spôsobil </w:t>
      </w:r>
      <w:r w:rsidRPr="00900AE9">
        <w:rPr>
          <w:rFonts w:ascii="Arial Narrow" w:hAnsi="Arial Narrow" w:cs="Times New Roman"/>
          <w:sz w:val="22"/>
          <w:szCs w:val="22"/>
        </w:rPr>
        <w:t>mierne zn</w:t>
      </w:r>
      <w:r>
        <w:rPr>
          <w:rFonts w:ascii="Arial Narrow" w:hAnsi="Arial Narrow" w:cs="Times New Roman"/>
          <w:sz w:val="22"/>
          <w:szCs w:val="22"/>
        </w:rPr>
        <w:t>íženie</w:t>
      </w:r>
      <w:r w:rsidRPr="00900AE9">
        <w:rPr>
          <w:rFonts w:ascii="Arial Narrow" w:hAnsi="Arial Narrow" w:cs="Times New Roman"/>
          <w:sz w:val="22"/>
          <w:szCs w:val="22"/>
        </w:rPr>
        <w:t xml:space="preserve"> príspevk</w:t>
      </w:r>
      <w:r>
        <w:rPr>
          <w:rFonts w:ascii="Arial Narrow" w:hAnsi="Arial Narrow" w:cs="Times New Roman"/>
          <w:sz w:val="22"/>
          <w:szCs w:val="22"/>
        </w:rPr>
        <w:t>u</w:t>
      </w:r>
      <w:r w:rsidRPr="00900AE9">
        <w:rPr>
          <w:rFonts w:ascii="Arial Narrow" w:hAnsi="Arial Narrow" w:cs="Times New Roman"/>
          <w:sz w:val="22"/>
          <w:szCs w:val="22"/>
        </w:rPr>
        <w:t xml:space="preserve"> </w:t>
      </w:r>
      <w:r>
        <w:rPr>
          <w:rFonts w:ascii="Arial Narrow" w:hAnsi="Arial Narrow" w:cs="Times New Roman"/>
          <w:sz w:val="22"/>
          <w:szCs w:val="22"/>
        </w:rPr>
        <w:t>čistého zahraničného dopytu k HDP a</w:t>
      </w:r>
      <w:r w:rsidR="00476943">
        <w:rPr>
          <w:rFonts w:ascii="Arial Narrow" w:hAnsi="Arial Narrow" w:cs="Times New Roman"/>
          <w:sz w:val="22"/>
          <w:szCs w:val="22"/>
        </w:rPr>
        <w:t> následne aj spomenuté</w:t>
      </w:r>
      <w:r>
        <w:rPr>
          <w:rFonts w:ascii="Arial Narrow" w:hAnsi="Arial Narrow" w:cs="Times New Roman"/>
          <w:sz w:val="22"/>
          <w:szCs w:val="22"/>
        </w:rPr>
        <w:t xml:space="preserve"> zhoršenie bežného účtu platobnej bilancie oproti očakávaniam </w:t>
      </w:r>
      <w:r w:rsidR="00476943">
        <w:rPr>
          <w:rFonts w:ascii="Arial Narrow" w:hAnsi="Arial Narrow" w:cs="Times New Roman"/>
          <w:sz w:val="22"/>
          <w:szCs w:val="22"/>
        </w:rPr>
        <w:t>v čase tvorby</w:t>
      </w:r>
      <w:r>
        <w:rPr>
          <w:rFonts w:ascii="Arial Narrow" w:hAnsi="Arial Narrow" w:cs="Times New Roman"/>
          <w:sz w:val="22"/>
          <w:szCs w:val="22"/>
        </w:rPr>
        <w:t xml:space="preserve"> rozpočtu na rok 2008.</w:t>
      </w:r>
      <w:r w:rsidRPr="00900AE9">
        <w:rPr>
          <w:rFonts w:ascii="Arial Narrow" w:hAnsi="Arial Narrow" w:cs="Times New Roman"/>
          <w:sz w:val="22"/>
          <w:szCs w:val="22"/>
        </w:rPr>
        <w:t xml:space="preserve"> </w:t>
      </w:r>
      <w:r>
        <w:rPr>
          <w:rFonts w:ascii="Arial Narrow" w:hAnsi="Arial Narrow" w:cs="Times New Roman"/>
          <w:sz w:val="22"/>
          <w:szCs w:val="22"/>
        </w:rPr>
        <w:t>N</w:t>
      </w:r>
      <w:r w:rsidRPr="00900AE9">
        <w:rPr>
          <w:rFonts w:ascii="Arial Narrow" w:hAnsi="Arial Narrow" w:cs="Times New Roman"/>
          <w:sz w:val="22"/>
          <w:szCs w:val="22"/>
        </w:rPr>
        <w:t xml:space="preserve">ižšie sú </w:t>
      </w:r>
      <w:r>
        <w:rPr>
          <w:rFonts w:ascii="Arial Narrow" w:hAnsi="Arial Narrow" w:cs="Times New Roman"/>
          <w:sz w:val="22"/>
          <w:szCs w:val="22"/>
        </w:rPr>
        <w:t xml:space="preserve">aj </w:t>
      </w:r>
      <w:r w:rsidRPr="00900AE9">
        <w:rPr>
          <w:rFonts w:ascii="Arial Narrow" w:hAnsi="Arial Narrow" w:cs="Times New Roman"/>
          <w:sz w:val="22"/>
          <w:szCs w:val="22"/>
        </w:rPr>
        <w:t xml:space="preserve">prognózy tvorby hrubého fixného kapitálu, ktoré odrážajú skutočný vývoj investícií vykazovaný v priebehu roka 2008. Oproti predchádzajúcej prognóze sa v dôsledku </w:t>
      </w:r>
      <w:r w:rsidR="00EA58EF">
        <w:rPr>
          <w:rFonts w:ascii="Arial Narrow" w:hAnsi="Arial Narrow" w:cs="Times New Roman"/>
          <w:sz w:val="22"/>
          <w:szCs w:val="22"/>
        </w:rPr>
        <w:t xml:space="preserve">reakcie niektorých spotrebiteľských sektorov na </w:t>
      </w:r>
      <w:r w:rsidRPr="00900AE9">
        <w:rPr>
          <w:rFonts w:ascii="Arial Narrow" w:hAnsi="Arial Narrow" w:cs="Times New Roman"/>
          <w:sz w:val="22"/>
          <w:szCs w:val="22"/>
        </w:rPr>
        <w:t>globáln</w:t>
      </w:r>
      <w:r w:rsidR="00EA58EF">
        <w:rPr>
          <w:rFonts w:ascii="Arial Narrow" w:hAnsi="Arial Narrow" w:cs="Times New Roman"/>
          <w:sz w:val="22"/>
          <w:szCs w:val="22"/>
        </w:rPr>
        <w:t>y</w:t>
      </w:r>
      <w:r w:rsidRPr="00900AE9">
        <w:rPr>
          <w:rFonts w:ascii="Arial Narrow" w:hAnsi="Arial Narrow" w:cs="Times New Roman"/>
          <w:sz w:val="22"/>
          <w:szCs w:val="22"/>
        </w:rPr>
        <w:t xml:space="preserve"> rast</w:t>
      </w:r>
      <w:r w:rsidR="00EA58EF">
        <w:rPr>
          <w:rFonts w:ascii="Arial Narrow" w:hAnsi="Arial Narrow" w:cs="Times New Roman"/>
          <w:sz w:val="22"/>
          <w:szCs w:val="22"/>
        </w:rPr>
        <w:t xml:space="preserve"> </w:t>
      </w:r>
      <w:r w:rsidRPr="00900AE9">
        <w:rPr>
          <w:rFonts w:ascii="Arial Narrow" w:hAnsi="Arial Narrow" w:cs="Times New Roman"/>
          <w:sz w:val="22"/>
          <w:szCs w:val="22"/>
        </w:rPr>
        <w:t>potravín a</w:t>
      </w:r>
      <w:r w:rsidR="00EA58EF">
        <w:rPr>
          <w:rFonts w:ascii="Arial Narrow" w:hAnsi="Arial Narrow" w:cs="Times New Roman"/>
          <w:sz w:val="22"/>
          <w:szCs w:val="22"/>
        </w:rPr>
        <w:t> </w:t>
      </w:r>
      <w:r w:rsidRPr="00900AE9">
        <w:rPr>
          <w:rFonts w:ascii="Arial Narrow" w:hAnsi="Arial Narrow" w:cs="Times New Roman"/>
          <w:sz w:val="22"/>
          <w:szCs w:val="22"/>
        </w:rPr>
        <w:t>ropy</w:t>
      </w:r>
      <w:r w:rsidR="00EA58EF">
        <w:rPr>
          <w:rFonts w:ascii="Arial Narrow" w:hAnsi="Arial Narrow" w:cs="Times New Roman"/>
          <w:sz w:val="22"/>
          <w:szCs w:val="22"/>
        </w:rPr>
        <w:t>, ako aj potreby premietnuť aktuálny vývoj do regulovaných</w:t>
      </w:r>
      <w:r w:rsidR="00EA58EF">
        <w:rPr>
          <w:rFonts w:ascii="Arial Narrow" w:hAnsi="Arial Narrow" w:cs="Times New Roman"/>
          <w:sz w:val="22"/>
          <w:szCs w:val="22"/>
        </w:rPr>
        <w:t xml:space="preserve"> cien energií, </w:t>
      </w:r>
      <w:r w:rsidRPr="00900AE9">
        <w:rPr>
          <w:rFonts w:ascii="Arial Narrow" w:hAnsi="Arial Narrow" w:cs="Times New Roman"/>
          <w:sz w:val="22"/>
          <w:szCs w:val="22"/>
        </w:rPr>
        <w:t xml:space="preserve">zvýšila prognóza inflácie, čo ovplyvnilo aj rast deflátorov </w:t>
      </w:r>
      <w:r>
        <w:rPr>
          <w:rFonts w:ascii="Arial Narrow" w:hAnsi="Arial Narrow" w:cs="Times New Roman"/>
          <w:sz w:val="22"/>
          <w:szCs w:val="22"/>
        </w:rPr>
        <w:t xml:space="preserve">a nominálnych hodnôt </w:t>
      </w:r>
      <w:r w:rsidRPr="00900AE9">
        <w:rPr>
          <w:rFonts w:ascii="Arial Narrow" w:hAnsi="Arial Narrow" w:cs="Times New Roman"/>
          <w:sz w:val="22"/>
          <w:szCs w:val="22"/>
        </w:rPr>
        <w:t>makroekonomických indikátorov.</w:t>
      </w:r>
      <w:r>
        <w:rPr>
          <w:rFonts w:ascii="Arial Narrow" w:hAnsi="Arial Narrow" w:cs="Times New Roman"/>
          <w:sz w:val="22"/>
          <w:szCs w:val="22"/>
        </w:rPr>
        <w:t xml:space="preserve"> </w:t>
      </w:r>
    </w:p>
    <w:p w:rsidR="000E060D" w:rsidP="000E060D">
      <w:pPr>
        <w:ind w:firstLine="680"/>
        <w:jc w:val="both"/>
        <w:rPr>
          <w:rFonts w:ascii="Arial Narrow" w:hAnsi="Arial Narrow" w:cs="Times New Roman"/>
          <w:sz w:val="22"/>
          <w:szCs w:val="22"/>
        </w:rPr>
      </w:pPr>
    </w:p>
    <w:tbl>
      <w:tblPr>
        <w:tblW w:w="7183" w:type="dxa"/>
        <w:jc w:val="center"/>
        <w:tblCellMar>
          <w:left w:w="70" w:type="dxa"/>
          <w:right w:w="70" w:type="dxa"/>
        </w:tblCellMar>
      </w:tblPr>
      <w:tblGrid>
        <w:gridCol w:w="3556"/>
        <w:gridCol w:w="1260"/>
        <w:gridCol w:w="1260"/>
        <w:gridCol w:w="1107"/>
      </w:tblGrid>
      <w:tr>
        <w:tblPrEx>
          <w:tblW w:w="7183" w:type="dxa"/>
          <w:jc w:val="center"/>
          <w:tblCellMar>
            <w:left w:w="70" w:type="dxa"/>
            <w:right w:w="70" w:type="dxa"/>
          </w:tblCellMar>
        </w:tblPrEx>
        <w:trPr>
          <w:trHeight w:val="284"/>
          <w:jc w:val="center"/>
        </w:trPr>
        <w:tc>
          <w:tcPr>
            <w:tcW w:w="7183" w:type="dxa"/>
            <w:gridSpan w:val="4"/>
            <w:tcBorders>
              <w:top w:val="nil"/>
              <w:left w:val="nil"/>
              <w:bottom w:val="nil"/>
              <w:right w:val="nil"/>
              <w:tl2br w:val="nil"/>
              <w:tr2bl w:val="nil"/>
            </w:tcBorders>
            <w:shd w:val="clear" w:color="auto" w:fill="000000"/>
            <w:textDirection w:val="lrTb"/>
            <w:vAlign w:val="bottom"/>
          </w:tcPr>
          <w:p w:rsidR="000E060D" w:rsidRPr="004226C0" w:rsidP="000E060D">
            <w:pPr>
              <w:jc w:val="both"/>
              <w:rPr>
                <w:rFonts w:ascii="Arial Narrow" w:hAnsi="Arial Narrow" w:cs="Arial"/>
                <w:b/>
                <w:bCs/>
                <w:color w:val="FFFFFF"/>
                <w:sz w:val="18"/>
                <w:szCs w:val="18"/>
                <w:highlight w:val="yellow"/>
                <w:lang w:eastAsia="sk-SK"/>
              </w:rPr>
            </w:pPr>
            <w:bookmarkStart w:id="14" w:name="_Toc97700652"/>
            <w:bookmarkStart w:id="15" w:name="_Toc148255237"/>
            <w:r w:rsidRPr="00751EE8">
              <w:rPr>
                <w:rFonts w:ascii="Arial Narrow" w:hAnsi="Arial Narrow" w:cs="Arial"/>
                <w:b/>
                <w:bCs/>
                <w:color w:val="FFFFFF"/>
                <w:sz w:val="18"/>
                <w:szCs w:val="18"/>
                <w:lang w:eastAsia="sk-SK"/>
              </w:rPr>
              <w:t>Aktualizácia prognóz na rok 2008</w:t>
            </w:r>
          </w:p>
        </w:tc>
      </w:tr>
      <w:tr>
        <w:tblPrEx>
          <w:tblW w:w="7183" w:type="dxa"/>
          <w:jc w:val="center"/>
          <w:tblCellMar>
            <w:left w:w="70" w:type="dxa"/>
            <w:right w:w="70" w:type="dxa"/>
          </w:tblCellMar>
        </w:tblPrEx>
        <w:trPr>
          <w:trHeight w:val="284"/>
          <w:jc w:val="center"/>
        </w:trPr>
        <w:tc>
          <w:tcPr>
            <w:tcW w:w="3556" w:type="dxa"/>
            <w:tcBorders>
              <w:top w:val="nil"/>
              <w:left w:val="nil"/>
              <w:bottom w:val="single" w:sz="8" w:space="0" w:color="auto"/>
              <w:right w:val="nil"/>
              <w:tl2br w:val="nil"/>
              <w:tr2bl w:val="nil"/>
            </w:tcBorders>
            <w:shd w:val="clear" w:color="auto" w:fill="C0C0C0"/>
            <w:textDirection w:val="lrTb"/>
            <w:vAlign w:val="bottom"/>
          </w:tcPr>
          <w:p w:rsidR="000E060D" w:rsidRPr="004226C0" w:rsidP="000E060D">
            <w:pPr>
              <w:rPr>
                <w:rFonts w:ascii="Arial Narrow" w:hAnsi="Arial Narrow" w:cs="Arial"/>
                <w:b/>
                <w:bCs/>
                <w:sz w:val="18"/>
                <w:szCs w:val="18"/>
                <w:highlight w:val="yellow"/>
                <w:lang w:eastAsia="sk-SK"/>
              </w:rPr>
            </w:pPr>
            <w:r w:rsidRPr="00751EE8">
              <w:rPr>
                <w:rFonts w:ascii="Arial Narrow" w:hAnsi="Arial Narrow" w:cs="Arial"/>
                <w:b/>
                <w:bCs/>
                <w:sz w:val="18"/>
                <w:szCs w:val="18"/>
                <w:lang w:eastAsia="sk-SK"/>
              </w:rPr>
              <w:t>v %, ak nie je uvedené inak</w:t>
            </w:r>
          </w:p>
        </w:tc>
        <w:tc>
          <w:tcPr>
            <w:tcW w:w="1260" w:type="dxa"/>
            <w:tcBorders>
              <w:top w:val="nil"/>
              <w:left w:val="nil"/>
              <w:bottom w:val="single" w:sz="8" w:space="0" w:color="auto"/>
              <w:right w:val="nil"/>
              <w:tl2br w:val="nil"/>
              <w:tr2bl w:val="nil"/>
            </w:tcBorders>
            <w:shd w:val="clear" w:color="auto" w:fill="C0C0C0"/>
            <w:textDirection w:val="lrTb"/>
            <w:vAlign w:val="bottom"/>
          </w:tcPr>
          <w:p w:rsidR="000E060D" w:rsidRPr="004226C0" w:rsidP="000E060D">
            <w:pPr>
              <w:jc w:val="center"/>
              <w:rPr>
                <w:rFonts w:ascii="Arial Narrow" w:hAnsi="Arial Narrow" w:cs="Arial"/>
                <w:b/>
                <w:bCs/>
                <w:sz w:val="18"/>
                <w:szCs w:val="18"/>
                <w:highlight w:val="yellow"/>
                <w:lang w:eastAsia="sk-SK"/>
              </w:rPr>
            </w:pPr>
            <w:r w:rsidRPr="00751EE8">
              <w:rPr>
                <w:rFonts w:ascii="Arial Narrow" w:hAnsi="Arial Narrow" w:cs="Arial"/>
                <w:b/>
                <w:bCs/>
                <w:sz w:val="18"/>
                <w:szCs w:val="18"/>
                <w:lang w:eastAsia="sk-SK"/>
              </w:rPr>
              <w:t>Rozpočet 2008</w:t>
            </w:r>
          </w:p>
        </w:tc>
        <w:tc>
          <w:tcPr>
            <w:tcW w:w="1260" w:type="dxa"/>
            <w:tcBorders>
              <w:top w:val="nil"/>
              <w:left w:val="nil"/>
              <w:bottom w:val="single" w:sz="8" w:space="0" w:color="auto"/>
              <w:right w:val="nil"/>
              <w:tl2br w:val="nil"/>
              <w:tr2bl w:val="nil"/>
            </w:tcBorders>
            <w:shd w:val="clear" w:color="auto" w:fill="C0C0C0"/>
            <w:textDirection w:val="lrTb"/>
            <w:vAlign w:val="bottom"/>
          </w:tcPr>
          <w:p w:rsidR="000E060D" w:rsidRPr="004226C0" w:rsidP="000E060D">
            <w:pPr>
              <w:jc w:val="center"/>
              <w:rPr>
                <w:rFonts w:ascii="Arial Narrow" w:hAnsi="Arial Narrow" w:cs="Arial"/>
                <w:b/>
                <w:bCs/>
                <w:sz w:val="18"/>
                <w:szCs w:val="18"/>
                <w:highlight w:val="yellow"/>
                <w:lang w:eastAsia="sk-SK"/>
              </w:rPr>
            </w:pPr>
            <w:r w:rsidRPr="00751EE8">
              <w:rPr>
                <w:rFonts w:ascii="Arial Narrow" w:hAnsi="Arial Narrow" w:cs="Arial"/>
                <w:b/>
                <w:bCs/>
                <w:sz w:val="18"/>
                <w:szCs w:val="18"/>
                <w:lang w:eastAsia="sk-SK"/>
              </w:rPr>
              <w:t>Aktuálny odhad</w:t>
            </w:r>
          </w:p>
        </w:tc>
        <w:tc>
          <w:tcPr>
            <w:tcW w:w="1107" w:type="dxa"/>
            <w:tcBorders>
              <w:top w:val="nil"/>
              <w:left w:val="nil"/>
              <w:bottom w:val="single" w:sz="8" w:space="0" w:color="auto"/>
              <w:right w:val="nil"/>
              <w:tl2br w:val="nil"/>
              <w:tr2bl w:val="nil"/>
            </w:tcBorders>
            <w:shd w:val="clear" w:color="auto" w:fill="C0C0C0"/>
            <w:textDirection w:val="lrTb"/>
            <w:vAlign w:val="bottom"/>
          </w:tcPr>
          <w:p w:rsidR="000E060D" w:rsidRPr="00751EE8" w:rsidP="000E060D">
            <w:pPr>
              <w:jc w:val="center"/>
              <w:rPr>
                <w:rFonts w:ascii="Arial Narrow" w:hAnsi="Arial Narrow" w:cs="Arial"/>
                <w:b/>
                <w:bCs/>
                <w:sz w:val="18"/>
                <w:szCs w:val="18"/>
                <w:lang w:eastAsia="sk-SK"/>
              </w:rPr>
            </w:pPr>
            <w:r w:rsidRPr="00751EE8">
              <w:rPr>
                <w:rFonts w:ascii="Arial Narrow" w:hAnsi="Arial Narrow" w:cs="Arial"/>
                <w:b/>
                <w:bCs/>
                <w:sz w:val="18"/>
                <w:szCs w:val="18"/>
                <w:lang w:eastAsia="sk-SK"/>
              </w:rPr>
              <w:t>Rozdiel v p.b.</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Hrubý domáci produkt</w:t>
            </w:r>
            <w:r w:rsidR="007302D1">
              <w:rPr>
                <w:rFonts w:ascii="Arial Narrow" w:hAnsi="Arial Narrow" w:cs="Arial"/>
                <w:sz w:val="18"/>
                <w:szCs w:val="18"/>
                <w:lang w:eastAsia="sk-SK"/>
              </w:rPr>
              <w:t>,</w:t>
            </w:r>
            <w:r w:rsidRPr="00751EE8">
              <w:rPr>
                <w:rFonts w:ascii="Arial Narrow" w:hAnsi="Arial Narrow" w:cs="Arial"/>
                <w:sz w:val="18"/>
                <w:szCs w:val="18"/>
                <w:lang w:eastAsia="sk-SK"/>
              </w:rPr>
              <w:t xml:space="preserve"> reálny rast</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6,8</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7,7</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0,9</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C94F9F" w:rsidP="000E060D">
            <w:pPr>
              <w:ind w:right="-203"/>
              <w:rPr>
                <w:rFonts w:ascii="Arial Narrow" w:hAnsi="Arial Narrow" w:cs="Arial"/>
                <w:i/>
                <w:sz w:val="18"/>
                <w:szCs w:val="18"/>
                <w:lang w:eastAsia="sk-SK"/>
              </w:rPr>
            </w:pPr>
            <w:r w:rsidRPr="00751EE8">
              <w:rPr>
                <w:rFonts w:ascii="Arial Narrow" w:hAnsi="Arial Narrow" w:cs="Arial"/>
                <w:sz w:val="18"/>
                <w:szCs w:val="18"/>
                <w:lang w:eastAsia="sk-SK"/>
              </w:rPr>
              <w:t>Hrubý domáci produkt v bežných cenách</w:t>
            </w:r>
            <w:r>
              <w:rPr>
                <w:rFonts w:ascii="Arial Narrow" w:hAnsi="Arial Narrow" w:cs="Arial"/>
                <w:sz w:val="18"/>
                <w:szCs w:val="18"/>
                <w:lang w:eastAsia="sk-SK"/>
              </w:rPr>
              <w:t xml:space="preserve"> – mld. eur</w:t>
            </w:r>
            <w:r w:rsidRPr="00C94F9F">
              <w:rPr>
                <w:rFonts w:ascii="Arial Narrow" w:hAnsi="Arial Narrow" w:cs="Arial"/>
                <w:i/>
                <w:sz w:val="18"/>
                <w:szCs w:val="18"/>
                <w:lang w:eastAsia="sk-SK"/>
              </w:rPr>
              <w:t xml:space="preserve">                          </w:t>
            </w:r>
            <w:r>
              <w:rPr>
                <w:rFonts w:ascii="Arial Narrow" w:hAnsi="Arial Narrow" w:cs="Arial"/>
                <w:i/>
                <w:sz w:val="18"/>
                <w:szCs w:val="18"/>
                <w:lang w:eastAsia="sk-SK"/>
              </w:rPr>
              <w:t xml:space="preserve">                  </w:t>
            </w:r>
          </w:p>
        </w:tc>
        <w:tc>
          <w:tcPr>
            <w:tcW w:w="1260" w:type="dxa"/>
            <w:tcBorders>
              <w:top w:val="nil"/>
              <w:left w:val="nil"/>
              <w:bottom w:val="nil"/>
              <w:right w:val="nil"/>
              <w:tl2br w:val="nil"/>
              <w:tr2bl w:val="nil"/>
            </w:tcBorders>
            <w:textDirection w:val="lrTb"/>
            <w:vAlign w:val="bottom"/>
          </w:tcPr>
          <w:p w:rsidR="000E060D" w:rsidRPr="00FC6E32" w:rsidP="00694E16">
            <w:pPr>
              <w:jc w:val="right"/>
              <w:rPr>
                <w:rFonts w:ascii="Arial Narrow" w:hAnsi="Arial Narrow" w:cs="Arial"/>
                <w:sz w:val="18"/>
                <w:szCs w:val="18"/>
                <w:lang w:eastAsia="sk-SK"/>
              </w:rPr>
            </w:pPr>
            <w:r w:rsidRPr="00FC6E32">
              <w:rPr>
                <w:rFonts w:ascii="Arial Narrow" w:hAnsi="Arial Narrow" w:cs="Arial"/>
                <w:sz w:val="18"/>
                <w:szCs w:val="18"/>
                <w:lang w:eastAsia="sk-SK"/>
              </w:rPr>
              <w:t>66</w:t>
            </w:r>
            <w:r w:rsidRPr="00FC6E32" w:rsidR="00FC6E32">
              <w:rPr>
                <w:rFonts w:ascii="Arial Narrow" w:hAnsi="Arial Narrow" w:cs="Arial"/>
                <w:sz w:val="18"/>
                <w:szCs w:val="18"/>
                <w:lang w:eastAsia="sk-SK"/>
              </w:rPr>
              <w:t>,0061</w:t>
            </w:r>
          </w:p>
        </w:tc>
        <w:tc>
          <w:tcPr>
            <w:tcW w:w="1260" w:type="dxa"/>
            <w:tcBorders>
              <w:top w:val="nil"/>
              <w:left w:val="nil"/>
              <w:bottom w:val="nil"/>
              <w:right w:val="nil"/>
              <w:tl2br w:val="nil"/>
              <w:tr2bl w:val="nil"/>
            </w:tcBorders>
            <w:noWrap/>
            <w:textDirection w:val="lrTb"/>
            <w:vAlign w:val="bottom"/>
          </w:tcPr>
          <w:p w:rsidR="000E060D" w:rsidRPr="00FC6E32" w:rsidP="00694E16">
            <w:pPr>
              <w:jc w:val="right"/>
              <w:rPr>
                <w:rFonts w:ascii="Arial Narrow" w:hAnsi="Arial Narrow" w:cs="Arial"/>
                <w:sz w:val="18"/>
                <w:szCs w:val="18"/>
                <w:lang w:eastAsia="sk-SK"/>
              </w:rPr>
            </w:pPr>
            <w:r w:rsidRPr="00FC6E32">
              <w:rPr>
                <w:rFonts w:ascii="Arial Narrow" w:hAnsi="Arial Narrow" w:cs="Arial"/>
                <w:sz w:val="18"/>
                <w:szCs w:val="18"/>
                <w:lang w:eastAsia="sk-SK"/>
              </w:rPr>
              <w:t>68,</w:t>
            </w:r>
            <w:r w:rsidRPr="00FC6E32" w:rsidR="00FC6E32">
              <w:rPr>
                <w:rFonts w:ascii="Arial Narrow" w:hAnsi="Arial Narrow" w:cs="Arial"/>
                <w:sz w:val="18"/>
                <w:szCs w:val="18"/>
                <w:lang w:eastAsia="sk-SK"/>
              </w:rPr>
              <w:t>4625</w:t>
            </w:r>
          </w:p>
        </w:tc>
        <w:tc>
          <w:tcPr>
            <w:tcW w:w="1107" w:type="dxa"/>
            <w:tcBorders>
              <w:top w:val="nil"/>
              <w:left w:val="nil"/>
              <w:bottom w:val="nil"/>
              <w:right w:val="nil"/>
              <w:tl2br w:val="nil"/>
              <w:tr2bl w:val="nil"/>
            </w:tcBorders>
            <w:textDirection w:val="lrTb"/>
            <w:vAlign w:val="bottom"/>
          </w:tcPr>
          <w:p w:rsidR="000E060D" w:rsidRPr="00FC6E32" w:rsidP="00694E16">
            <w:pPr>
              <w:jc w:val="right"/>
              <w:rPr>
                <w:rFonts w:ascii="Arial Narrow" w:hAnsi="Arial Narrow" w:cs="Arial"/>
                <w:sz w:val="18"/>
                <w:szCs w:val="18"/>
                <w:lang w:eastAsia="sk-SK"/>
              </w:rPr>
            </w:pPr>
            <w:r w:rsidRPr="00FC6E32">
              <w:rPr>
                <w:rFonts w:ascii="Arial Narrow" w:hAnsi="Arial Narrow" w:cs="Arial"/>
                <w:sz w:val="18"/>
                <w:szCs w:val="18"/>
                <w:lang w:eastAsia="sk-SK"/>
              </w:rPr>
              <w:t>2,</w:t>
            </w:r>
            <w:r w:rsidRPr="00FC6E32" w:rsidR="00FC6E32">
              <w:rPr>
                <w:rFonts w:ascii="Arial Narrow" w:hAnsi="Arial Narrow" w:cs="Arial"/>
                <w:sz w:val="18"/>
                <w:szCs w:val="18"/>
                <w:lang w:eastAsia="sk-SK"/>
              </w:rPr>
              <w:t>4563</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Konečná spotreba domácností</w:t>
            </w:r>
            <w:r w:rsidR="000278EC">
              <w:rPr>
                <w:rFonts w:ascii="Arial Narrow" w:hAnsi="Arial Narrow" w:cs="Arial"/>
                <w:sz w:val="18"/>
                <w:szCs w:val="18"/>
                <w:lang w:eastAsia="sk-SK"/>
              </w:rPr>
              <w:t xml:space="preserve">, </w:t>
            </w:r>
            <w:r w:rsidRPr="00751EE8">
              <w:rPr>
                <w:rFonts w:ascii="Arial Narrow" w:hAnsi="Arial Narrow" w:cs="Arial"/>
                <w:sz w:val="18"/>
                <w:szCs w:val="18"/>
                <w:lang w:eastAsia="sk-SK"/>
              </w:rPr>
              <w:t>reálny rast</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6,0</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7,0</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1,0</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Konečná spotreba domácností</w:t>
            </w:r>
            <w:r w:rsidR="000278EC">
              <w:rPr>
                <w:rFonts w:ascii="Arial Narrow" w:hAnsi="Arial Narrow" w:cs="Arial"/>
                <w:sz w:val="18"/>
                <w:szCs w:val="18"/>
                <w:lang w:eastAsia="sk-SK"/>
              </w:rPr>
              <w:t xml:space="preserve">, </w:t>
            </w:r>
            <w:r w:rsidRPr="00751EE8">
              <w:rPr>
                <w:rFonts w:ascii="Arial Narrow" w:hAnsi="Arial Narrow" w:cs="Arial"/>
                <w:sz w:val="18"/>
                <w:szCs w:val="18"/>
                <w:lang w:eastAsia="sk-SK"/>
              </w:rPr>
              <w:t>nominálny rast</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8,2</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11,</w:t>
            </w:r>
            <w:r w:rsidR="000278EC">
              <w:rPr>
                <w:rFonts w:ascii="Arial Narrow" w:hAnsi="Arial Narrow" w:cs="Arial"/>
                <w:sz w:val="18"/>
                <w:szCs w:val="18"/>
                <w:lang w:eastAsia="sk-SK"/>
              </w:rPr>
              <w:t>7</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3,</w:t>
            </w:r>
            <w:r w:rsidR="000278EC">
              <w:rPr>
                <w:rFonts w:ascii="Arial Narrow" w:hAnsi="Arial Narrow" w:cs="Arial"/>
                <w:sz w:val="18"/>
                <w:szCs w:val="18"/>
                <w:lang w:eastAsia="sk-SK"/>
              </w:rPr>
              <w:t>5</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Priemerná mesačná mzda</w:t>
            </w:r>
            <w:r w:rsidR="000278EC">
              <w:rPr>
                <w:rFonts w:ascii="Arial Narrow" w:hAnsi="Arial Narrow" w:cs="Arial"/>
                <w:sz w:val="18"/>
                <w:szCs w:val="18"/>
                <w:lang w:eastAsia="sk-SK"/>
              </w:rPr>
              <w:t>,</w:t>
            </w:r>
            <w:r w:rsidRPr="00751EE8">
              <w:rPr>
                <w:rFonts w:ascii="Arial Narrow" w:hAnsi="Arial Narrow" w:cs="Arial"/>
                <w:sz w:val="18"/>
                <w:szCs w:val="18"/>
                <w:lang w:eastAsia="sk-SK"/>
              </w:rPr>
              <w:t xml:space="preserve"> reálny rast</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4,5</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4,7</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0,2</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Priemerná mesačná mzda</w:t>
            </w:r>
            <w:r w:rsidR="000278EC">
              <w:rPr>
                <w:rFonts w:ascii="Arial Narrow" w:hAnsi="Arial Narrow" w:cs="Arial"/>
                <w:sz w:val="18"/>
                <w:szCs w:val="18"/>
                <w:lang w:eastAsia="sk-SK"/>
              </w:rPr>
              <w:t>,</w:t>
            </w:r>
            <w:r w:rsidRPr="00751EE8">
              <w:rPr>
                <w:rFonts w:ascii="Arial Narrow" w:hAnsi="Arial Narrow" w:cs="Arial"/>
                <w:sz w:val="18"/>
                <w:szCs w:val="18"/>
                <w:lang w:eastAsia="sk-SK"/>
              </w:rPr>
              <w:t xml:space="preserve"> nominálny rast</w:t>
            </w:r>
          </w:p>
        </w:tc>
        <w:tc>
          <w:tcPr>
            <w:tcW w:w="1260" w:type="dxa"/>
            <w:tcBorders>
              <w:top w:val="nil"/>
              <w:left w:val="nil"/>
              <w:bottom w:val="nil"/>
              <w:right w:val="nil"/>
              <w:tl2br w:val="nil"/>
              <w:tr2bl w:val="nil"/>
            </w:tcBorders>
            <w:textDirection w:val="lrTb"/>
            <w:vAlign w:val="bottom"/>
          </w:tcPr>
          <w:p w:rsidR="000E060D" w:rsidRPr="004226C0" w:rsidP="00694E16">
            <w:pPr>
              <w:jc w:val="right"/>
              <w:rPr>
                <w:rFonts w:ascii="Arial Narrow" w:hAnsi="Arial Narrow" w:cs="Arial"/>
                <w:sz w:val="18"/>
                <w:szCs w:val="18"/>
                <w:highlight w:val="yellow"/>
                <w:lang w:eastAsia="sk-SK"/>
              </w:rPr>
            </w:pPr>
            <w:r w:rsidRPr="00751EE8">
              <w:rPr>
                <w:rFonts w:ascii="Arial Narrow" w:hAnsi="Arial Narrow" w:cs="Arial"/>
                <w:sz w:val="18"/>
                <w:szCs w:val="18"/>
                <w:lang w:eastAsia="sk-SK"/>
              </w:rPr>
              <w:t>6,6</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9,</w:t>
            </w:r>
            <w:r w:rsidR="000278EC">
              <w:rPr>
                <w:rFonts w:ascii="Arial Narrow" w:hAnsi="Arial Narrow" w:cs="Arial"/>
                <w:sz w:val="18"/>
                <w:szCs w:val="18"/>
                <w:lang w:eastAsia="sk-SK"/>
              </w:rPr>
              <w:t>3</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2,</w:t>
            </w:r>
            <w:r w:rsidR="000278EC">
              <w:rPr>
                <w:rFonts w:ascii="Arial Narrow" w:hAnsi="Arial Narrow" w:cs="Arial"/>
                <w:sz w:val="18"/>
                <w:szCs w:val="18"/>
                <w:lang w:eastAsia="sk-SK"/>
              </w:rPr>
              <w:t>7</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Rast zamestnanosti (štatistické zisťovanie)</w:t>
            </w:r>
          </w:p>
        </w:tc>
        <w:tc>
          <w:tcPr>
            <w:tcW w:w="1260" w:type="dxa"/>
            <w:tcBorders>
              <w:top w:val="nil"/>
              <w:left w:val="nil"/>
              <w:bottom w:val="nil"/>
              <w:right w:val="nil"/>
              <w:tl2br w:val="nil"/>
              <w:tr2bl w:val="nil"/>
            </w:tcBorders>
            <w:textDirection w:val="lrTb"/>
            <w:vAlign w:val="bottom"/>
          </w:tcPr>
          <w:p w:rsidR="000E060D" w:rsidRPr="004226C0" w:rsidP="00694E16">
            <w:pPr>
              <w:jc w:val="right"/>
              <w:rPr>
                <w:rFonts w:ascii="Arial Narrow" w:hAnsi="Arial Narrow" w:cs="Arial"/>
                <w:sz w:val="18"/>
                <w:szCs w:val="18"/>
                <w:highlight w:val="yellow"/>
                <w:lang w:eastAsia="sk-SK"/>
              </w:rPr>
            </w:pPr>
            <w:r w:rsidRPr="00751EE8">
              <w:rPr>
                <w:rFonts w:ascii="Arial Narrow" w:hAnsi="Arial Narrow" w:cs="Arial"/>
                <w:sz w:val="18"/>
                <w:szCs w:val="18"/>
                <w:lang w:eastAsia="sk-SK"/>
              </w:rPr>
              <w:t>1,6</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2,</w:t>
            </w:r>
            <w:r w:rsidR="000278EC">
              <w:rPr>
                <w:rFonts w:ascii="Arial Narrow" w:hAnsi="Arial Narrow" w:cs="Arial"/>
                <w:sz w:val="18"/>
                <w:szCs w:val="18"/>
                <w:lang w:eastAsia="sk-SK"/>
              </w:rPr>
              <w:t>5</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0,</w:t>
            </w:r>
            <w:r w:rsidR="000278EC">
              <w:rPr>
                <w:rFonts w:ascii="Arial Narrow" w:hAnsi="Arial Narrow" w:cs="Arial"/>
                <w:sz w:val="18"/>
                <w:szCs w:val="18"/>
                <w:lang w:eastAsia="sk-SK"/>
              </w:rPr>
              <w:t>9</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Index spotrebiteľských cien</w:t>
            </w:r>
            <w:r w:rsidR="000278EC">
              <w:rPr>
                <w:rFonts w:ascii="Arial Narrow" w:hAnsi="Arial Narrow" w:cs="Arial"/>
                <w:sz w:val="18"/>
                <w:szCs w:val="18"/>
                <w:lang w:eastAsia="sk-SK"/>
              </w:rPr>
              <w:t>,</w:t>
            </w:r>
            <w:r w:rsidRPr="00751EE8">
              <w:rPr>
                <w:rFonts w:ascii="Arial Narrow" w:hAnsi="Arial Narrow" w:cs="Arial"/>
                <w:sz w:val="18"/>
                <w:szCs w:val="18"/>
                <w:lang w:eastAsia="sk-SK"/>
              </w:rPr>
              <w:t xml:space="preserve"> priemerný rast</w:t>
            </w:r>
          </w:p>
        </w:tc>
        <w:tc>
          <w:tcPr>
            <w:tcW w:w="1260" w:type="dxa"/>
            <w:tcBorders>
              <w:top w:val="nil"/>
              <w:left w:val="nil"/>
              <w:bottom w:val="nil"/>
              <w:right w:val="nil"/>
              <w:tl2br w:val="nil"/>
              <w:tr2bl w:val="nil"/>
            </w:tcBorders>
            <w:textDirection w:val="lrTb"/>
            <w:vAlign w:val="bottom"/>
          </w:tcPr>
          <w:p w:rsidR="000E060D" w:rsidRPr="004226C0" w:rsidP="00694E16">
            <w:pPr>
              <w:jc w:val="right"/>
              <w:rPr>
                <w:rFonts w:ascii="Arial Narrow" w:hAnsi="Arial Narrow" w:cs="Arial"/>
                <w:sz w:val="18"/>
                <w:szCs w:val="18"/>
                <w:highlight w:val="yellow"/>
                <w:lang w:eastAsia="sk-SK"/>
              </w:rPr>
            </w:pPr>
            <w:r w:rsidRPr="00751EE8">
              <w:rPr>
                <w:rFonts w:ascii="Arial Narrow" w:hAnsi="Arial Narrow" w:cs="Arial"/>
                <w:sz w:val="18"/>
                <w:szCs w:val="18"/>
                <w:lang w:eastAsia="sk-SK"/>
              </w:rPr>
              <w:t>2,0</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4,</w:t>
            </w:r>
            <w:r w:rsidR="000278EC">
              <w:rPr>
                <w:rFonts w:ascii="Arial Narrow" w:hAnsi="Arial Narrow" w:cs="Arial"/>
                <w:sz w:val="18"/>
                <w:szCs w:val="18"/>
                <w:lang w:eastAsia="sk-SK"/>
              </w:rPr>
              <w:t>4</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2,</w:t>
            </w:r>
            <w:r w:rsidR="000278EC">
              <w:rPr>
                <w:rFonts w:ascii="Arial Narrow" w:hAnsi="Arial Narrow" w:cs="Arial"/>
                <w:sz w:val="18"/>
                <w:szCs w:val="18"/>
                <w:lang w:eastAsia="sk-SK"/>
              </w:rPr>
              <w:t>4</w:t>
            </w:r>
          </w:p>
        </w:tc>
      </w:tr>
      <w:tr>
        <w:tblPrEx>
          <w:tblW w:w="7183" w:type="dxa"/>
          <w:jc w:val="center"/>
          <w:tblCellMar>
            <w:left w:w="70" w:type="dxa"/>
            <w:right w:w="70" w:type="dxa"/>
          </w:tblCellMar>
        </w:tblPrEx>
        <w:trPr>
          <w:trHeight w:val="284"/>
          <w:jc w:val="center"/>
        </w:trPr>
        <w:tc>
          <w:tcPr>
            <w:tcW w:w="3556" w:type="dxa"/>
            <w:tcBorders>
              <w:top w:val="nil"/>
              <w:left w:val="nil"/>
              <w:bottom w:val="nil"/>
              <w:right w:val="nil"/>
              <w:tl2br w:val="nil"/>
              <w:tr2bl w:val="nil"/>
            </w:tcBorders>
            <w:textDirection w:val="lrTb"/>
            <w:vAlign w:val="bottom"/>
          </w:tcPr>
          <w:p w:rsidR="000E060D" w:rsidRPr="00751EE8" w:rsidP="000E060D">
            <w:pPr>
              <w:rPr>
                <w:rFonts w:ascii="Arial Narrow" w:hAnsi="Arial Narrow" w:cs="Arial"/>
                <w:sz w:val="18"/>
                <w:szCs w:val="18"/>
                <w:lang w:eastAsia="sk-SK"/>
              </w:rPr>
            </w:pPr>
            <w:r w:rsidRPr="00751EE8">
              <w:rPr>
                <w:rFonts w:ascii="Arial Narrow" w:hAnsi="Arial Narrow" w:cs="Arial"/>
                <w:sz w:val="18"/>
                <w:szCs w:val="18"/>
                <w:lang w:eastAsia="sk-SK"/>
              </w:rPr>
              <w:t>Bilancia bežného účtu</w:t>
            </w:r>
            <w:r w:rsidR="000278EC">
              <w:rPr>
                <w:rFonts w:ascii="Arial Narrow" w:hAnsi="Arial Narrow" w:cs="Arial"/>
                <w:sz w:val="18"/>
                <w:szCs w:val="18"/>
                <w:lang w:eastAsia="sk-SK"/>
              </w:rPr>
              <w:t xml:space="preserve">, </w:t>
            </w:r>
            <w:r w:rsidRPr="00751EE8">
              <w:rPr>
                <w:rFonts w:ascii="Arial Narrow" w:hAnsi="Arial Narrow" w:cs="Arial"/>
                <w:sz w:val="18"/>
                <w:szCs w:val="18"/>
                <w:lang w:eastAsia="sk-SK"/>
              </w:rPr>
              <w:t>podiel na  HDP</w:t>
            </w:r>
          </w:p>
        </w:tc>
        <w:tc>
          <w:tcPr>
            <w:tcW w:w="1260" w:type="dxa"/>
            <w:tcBorders>
              <w:top w:val="nil"/>
              <w:left w:val="nil"/>
              <w:bottom w:val="nil"/>
              <w:right w:val="nil"/>
              <w:tl2br w:val="nil"/>
              <w:tr2bl w:val="nil"/>
            </w:tcBorders>
            <w:textDirection w:val="lrTb"/>
            <w:vAlign w:val="bottom"/>
          </w:tcPr>
          <w:p w:rsidR="000E060D" w:rsidRPr="004226C0" w:rsidP="00694E16">
            <w:pPr>
              <w:jc w:val="right"/>
              <w:rPr>
                <w:rFonts w:ascii="Arial Narrow" w:hAnsi="Arial Narrow" w:cs="Arial"/>
                <w:sz w:val="18"/>
                <w:szCs w:val="18"/>
                <w:highlight w:val="yellow"/>
                <w:lang w:eastAsia="sk-SK"/>
              </w:rPr>
            </w:pPr>
            <w:r w:rsidRPr="00751EE8">
              <w:rPr>
                <w:rFonts w:ascii="Arial Narrow" w:hAnsi="Arial Narrow" w:cs="Arial"/>
                <w:sz w:val="18"/>
                <w:szCs w:val="18"/>
                <w:lang w:eastAsia="sk-SK"/>
              </w:rPr>
              <w:t>-2,</w:t>
            </w:r>
            <w:r w:rsidRPr="00751EE8">
              <w:rPr>
                <w:rFonts w:ascii="Arial Narrow" w:hAnsi="Arial Narrow" w:cs="Arial"/>
                <w:sz w:val="18"/>
                <w:szCs w:val="18"/>
                <w:lang w:eastAsia="sk-SK"/>
              </w:rPr>
              <w:t>6</w:t>
            </w:r>
          </w:p>
        </w:tc>
        <w:tc>
          <w:tcPr>
            <w:tcW w:w="1260"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w:t>
            </w:r>
            <w:r w:rsidR="000278EC">
              <w:rPr>
                <w:rFonts w:ascii="Arial Narrow" w:hAnsi="Arial Narrow" w:cs="Arial"/>
                <w:sz w:val="18"/>
                <w:szCs w:val="18"/>
                <w:lang w:eastAsia="sk-SK"/>
              </w:rPr>
              <w:t>5</w:t>
            </w:r>
            <w:r w:rsidRPr="00751EE8">
              <w:rPr>
                <w:rFonts w:ascii="Arial Narrow" w:hAnsi="Arial Narrow" w:cs="Arial"/>
                <w:sz w:val="18"/>
                <w:szCs w:val="18"/>
                <w:lang w:eastAsia="sk-SK"/>
              </w:rPr>
              <w:t>,</w:t>
            </w:r>
            <w:r w:rsidR="000278EC">
              <w:rPr>
                <w:rFonts w:ascii="Arial Narrow" w:hAnsi="Arial Narrow" w:cs="Arial"/>
                <w:sz w:val="18"/>
                <w:szCs w:val="18"/>
                <w:lang w:eastAsia="sk-SK"/>
              </w:rPr>
              <w:t>0</w:t>
            </w:r>
          </w:p>
        </w:tc>
        <w:tc>
          <w:tcPr>
            <w:tcW w:w="1107" w:type="dxa"/>
            <w:tcBorders>
              <w:top w:val="nil"/>
              <w:left w:val="nil"/>
              <w:bottom w:val="nil"/>
              <w:right w:val="nil"/>
              <w:tl2br w:val="nil"/>
              <w:tr2bl w:val="nil"/>
            </w:tcBorders>
            <w:textDirection w:val="lrTb"/>
            <w:vAlign w:val="bottom"/>
          </w:tcPr>
          <w:p w:rsidR="000E060D" w:rsidRPr="00751EE8" w:rsidP="00694E16">
            <w:pPr>
              <w:jc w:val="right"/>
              <w:rPr>
                <w:rFonts w:ascii="Arial Narrow" w:hAnsi="Arial Narrow" w:cs="Arial"/>
                <w:sz w:val="18"/>
                <w:szCs w:val="18"/>
                <w:lang w:eastAsia="sk-SK"/>
              </w:rPr>
            </w:pPr>
            <w:r w:rsidRPr="00751EE8">
              <w:rPr>
                <w:rFonts w:ascii="Arial Narrow" w:hAnsi="Arial Narrow" w:cs="Arial"/>
                <w:sz w:val="18"/>
                <w:szCs w:val="18"/>
                <w:lang w:eastAsia="sk-SK"/>
              </w:rPr>
              <w:t>-</w:t>
            </w:r>
            <w:r w:rsidR="000278EC">
              <w:rPr>
                <w:rFonts w:ascii="Arial Narrow" w:hAnsi="Arial Narrow" w:cs="Arial"/>
                <w:sz w:val="18"/>
                <w:szCs w:val="18"/>
                <w:lang w:eastAsia="sk-SK"/>
              </w:rPr>
              <w:t>2</w:t>
            </w:r>
            <w:r w:rsidRPr="00751EE8">
              <w:rPr>
                <w:rFonts w:ascii="Arial Narrow" w:hAnsi="Arial Narrow" w:cs="Arial"/>
                <w:sz w:val="18"/>
                <w:szCs w:val="18"/>
                <w:lang w:eastAsia="sk-SK"/>
              </w:rPr>
              <w:t>,</w:t>
            </w:r>
            <w:r w:rsidR="000278EC">
              <w:rPr>
                <w:rFonts w:ascii="Arial Narrow" w:hAnsi="Arial Narrow" w:cs="Arial"/>
                <w:sz w:val="18"/>
                <w:szCs w:val="18"/>
                <w:lang w:eastAsia="sk-SK"/>
              </w:rPr>
              <w:t>4</w:t>
            </w:r>
          </w:p>
        </w:tc>
      </w:tr>
      <w:tr>
        <w:tblPrEx>
          <w:tblW w:w="7183" w:type="dxa"/>
          <w:jc w:val="center"/>
          <w:tblCellMar>
            <w:left w:w="70" w:type="dxa"/>
            <w:right w:w="70" w:type="dxa"/>
          </w:tblCellMar>
        </w:tblPrEx>
        <w:trPr>
          <w:trHeight w:val="210"/>
          <w:jc w:val="center"/>
        </w:trPr>
        <w:tc>
          <w:tcPr>
            <w:tcW w:w="7183" w:type="dxa"/>
            <w:gridSpan w:val="4"/>
            <w:tcBorders>
              <w:top w:val="single" w:sz="4" w:space="0" w:color="auto"/>
              <w:left w:val="nil"/>
              <w:bottom w:val="nil"/>
              <w:right w:val="nil"/>
              <w:tl2br w:val="nil"/>
              <w:tr2bl w:val="nil"/>
            </w:tcBorders>
            <w:textDirection w:val="lrTb"/>
            <w:vAlign w:val="bottom"/>
          </w:tcPr>
          <w:p w:rsidR="000E060D" w:rsidP="000E060D">
            <w:pPr>
              <w:jc w:val="right"/>
              <w:rPr>
                <w:rFonts w:ascii="Arial Narrow" w:hAnsi="Arial Narrow" w:cs="Arial"/>
                <w:i/>
                <w:iCs/>
                <w:sz w:val="18"/>
                <w:szCs w:val="18"/>
                <w:lang w:eastAsia="sk-SK"/>
              </w:rPr>
            </w:pPr>
            <w:r w:rsidRPr="00751EE8">
              <w:rPr>
                <w:rFonts w:ascii="Arial Narrow" w:hAnsi="Arial Narrow" w:cs="Arial"/>
                <w:i/>
                <w:iCs/>
                <w:sz w:val="18"/>
                <w:szCs w:val="18"/>
                <w:lang w:eastAsia="sk-SK"/>
              </w:rPr>
              <w:t>Zdroj: MF SR</w:t>
            </w:r>
          </w:p>
        </w:tc>
      </w:tr>
    </w:tbl>
    <w:p w:rsidR="000E060D" w:rsidRPr="00C85B85" w:rsidP="000E060D">
      <w:pPr>
        <w:pStyle w:val="Heading2"/>
        <w:rPr>
          <w:rFonts w:ascii="Arial Narrow" w:hAnsi="Arial Narrow"/>
          <w:i w:val="0"/>
          <w:sz w:val="24"/>
          <w:szCs w:val="24"/>
        </w:rPr>
      </w:pPr>
      <w:bookmarkStart w:id="16" w:name="_Toc211592389"/>
      <w:r w:rsidRPr="00C85B85">
        <w:rPr>
          <w:rFonts w:ascii="Arial Narrow" w:hAnsi="Arial Narrow"/>
          <w:i w:val="0"/>
          <w:sz w:val="24"/>
          <w:szCs w:val="24"/>
        </w:rPr>
        <w:t>1.2</w:t>
      </w:r>
      <w:r>
        <w:rPr>
          <w:rFonts w:ascii="Arial Narrow" w:hAnsi="Arial Narrow"/>
          <w:i w:val="0"/>
          <w:sz w:val="24"/>
          <w:szCs w:val="24"/>
        </w:rPr>
        <w:t xml:space="preserve">. </w:t>
      </w:r>
      <w:r w:rsidRPr="00C85B85">
        <w:rPr>
          <w:rFonts w:ascii="Arial Narrow" w:hAnsi="Arial Narrow"/>
          <w:i w:val="0"/>
          <w:sz w:val="24"/>
          <w:szCs w:val="24"/>
        </w:rPr>
        <w:t>Makroekonomické rámce zostave</w:t>
      </w:r>
      <w:r>
        <w:rPr>
          <w:rFonts w:ascii="Arial Narrow" w:hAnsi="Arial Narrow"/>
          <w:i w:val="0"/>
          <w:sz w:val="24"/>
          <w:szCs w:val="24"/>
        </w:rPr>
        <w:t xml:space="preserve">nia návrhu rozpočtu na roky </w:t>
      </w:r>
      <w:r w:rsidRPr="00BD1713">
        <w:rPr>
          <w:rFonts w:ascii="Arial Narrow" w:hAnsi="Arial Narrow"/>
          <w:i w:val="0"/>
          <w:sz w:val="24"/>
          <w:szCs w:val="24"/>
        </w:rPr>
        <w:t>2009 až 20</w:t>
      </w:r>
      <w:bookmarkEnd w:id="14"/>
      <w:bookmarkEnd w:id="15"/>
      <w:r w:rsidRPr="00BD1713">
        <w:rPr>
          <w:rFonts w:ascii="Arial Narrow" w:hAnsi="Arial Narrow"/>
          <w:i w:val="0"/>
          <w:sz w:val="24"/>
          <w:szCs w:val="24"/>
        </w:rPr>
        <w:t>11</w:t>
      </w:r>
      <w:bookmarkEnd w:id="16"/>
      <w:r w:rsidRPr="00BD1713">
        <w:rPr>
          <w:rFonts w:ascii="Arial Narrow" w:hAnsi="Arial Narrow"/>
          <w:i w:val="0"/>
          <w:sz w:val="24"/>
          <w:szCs w:val="24"/>
        </w:rPr>
        <w:t xml:space="preserve"> </w:t>
      </w:r>
    </w:p>
    <w:p w:rsidR="000E060D" w:rsidP="000E060D">
      <w:pPr>
        <w:keepNext/>
        <w:keepLines/>
        <w:ind w:firstLine="708"/>
        <w:jc w:val="both"/>
        <w:rPr>
          <w:rFonts w:ascii="Arial Narrow" w:hAnsi="Arial Narrow" w:cs="Times New Roman"/>
          <w:sz w:val="22"/>
          <w:szCs w:val="22"/>
        </w:rPr>
      </w:pPr>
    </w:p>
    <w:p w:rsidR="000E060D" w:rsidP="000E060D">
      <w:pPr>
        <w:keepNext/>
        <w:keepLines/>
        <w:ind w:firstLine="708"/>
        <w:jc w:val="both"/>
        <w:rPr>
          <w:rFonts w:ascii="Arial Narrow" w:hAnsi="Arial Narrow" w:cs="Times New Roman"/>
          <w:sz w:val="22"/>
          <w:szCs w:val="22"/>
        </w:rPr>
      </w:pPr>
      <w:r w:rsidRPr="00751EE8">
        <w:rPr>
          <w:rFonts w:ascii="Arial Narrow" w:hAnsi="Arial Narrow" w:cs="Times New Roman"/>
          <w:sz w:val="22"/>
          <w:szCs w:val="22"/>
        </w:rPr>
        <w:t xml:space="preserve">Aktuálna prognóza makroekonomického vývoja do roku 2011 je postavená na </w:t>
      </w:r>
      <w:r>
        <w:rPr>
          <w:rFonts w:ascii="Arial Narrow" w:hAnsi="Arial Narrow" w:cs="Times New Roman"/>
          <w:sz w:val="22"/>
          <w:szCs w:val="22"/>
        </w:rPr>
        <w:t xml:space="preserve">odhadoch vývoja v roku 2008 </w:t>
      </w:r>
      <w:r w:rsidRPr="00751EE8">
        <w:rPr>
          <w:rFonts w:ascii="Arial Narrow" w:hAnsi="Arial Narrow" w:cs="Times New Roman"/>
          <w:sz w:val="22"/>
          <w:szCs w:val="22"/>
        </w:rPr>
        <w:t>a</w:t>
      </w:r>
      <w:r>
        <w:rPr>
          <w:rFonts w:ascii="Arial Narrow" w:hAnsi="Arial Narrow" w:cs="Times New Roman"/>
          <w:sz w:val="22"/>
          <w:szCs w:val="22"/>
        </w:rPr>
        <w:t xml:space="preserve">  </w:t>
      </w:r>
      <w:r w:rsidRPr="00751EE8">
        <w:rPr>
          <w:rFonts w:ascii="Arial Narrow" w:hAnsi="Arial Narrow" w:cs="Times New Roman"/>
          <w:sz w:val="22"/>
          <w:szCs w:val="22"/>
        </w:rPr>
        <w:t>predpokladoch o vnútorných a vonkajších podmienka</w:t>
      </w:r>
      <w:r w:rsidRPr="00751EE8">
        <w:rPr>
          <w:rFonts w:ascii="Arial Narrow" w:hAnsi="Arial Narrow" w:cs="Times New Roman"/>
          <w:sz w:val="22"/>
          <w:szCs w:val="22"/>
        </w:rPr>
        <w:t xml:space="preserve">ch ekonomiky SR v strednodobom horizonte. </w:t>
      </w:r>
      <w:r>
        <w:rPr>
          <w:rFonts w:ascii="Arial Narrow" w:hAnsi="Arial Narrow" w:cs="Times New Roman"/>
          <w:sz w:val="22"/>
          <w:szCs w:val="22"/>
        </w:rPr>
        <w:t>Aktualizácia opäť prináša pozitívne očakávania o vývoji ekonomiky SR, a to i napriek tomu, že zohľadňuje  aktuáln</w:t>
      </w:r>
      <w:r w:rsidR="004A0DF8">
        <w:rPr>
          <w:rFonts w:ascii="Arial Narrow" w:hAnsi="Arial Narrow" w:cs="Times New Roman"/>
          <w:sz w:val="22"/>
          <w:szCs w:val="22"/>
        </w:rPr>
        <w:t>y</w:t>
      </w:r>
      <w:r>
        <w:rPr>
          <w:rFonts w:ascii="Arial Narrow" w:hAnsi="Arial Narrow" w:cs="Times New Roman"/>
          <w:sz w:val="22"/>
          <w:szCs w:val="22"/>
        </w:rPr>
        <w:t xml:space="preserve"> a</w:t>
      </w:r>
      <w:r w:rsidR="004A0DF8">
        <w:rPr>
          <w:rFonts w:ascii="Arial Narrow" w:hAnsi="Arial Narrow" w:cs="Times New Roman"/>
          <w:sz w:val="22"/>
          <w:szCs w:val="22"/>
        </w:rPr>
        <w:t xml:space="preserve"> </w:t>
      </w:r>
      <w:r>
        <w:rPr>
          <w:rFonts w:ascii="Arial Narrow" w:hAnsi="Arial Narrow" w:cs="Times New Roman"/>
          <w:sz w:val="22"/>
          <w:szCs w:val="22"/>
        </w:rPr>
        <w:t>negatívn</w:t>
      </w:r>
      <w:r w:rsidR="004A0DF8">
        <w:rPr>
          <w:rFonts w:ascii="Arial Narrow" w:hAnsi="Arial Narrow" w:cs="Times New Roman"/>
          <w:sz w:val="22"/>
          <w:szCs w:val="22"/>
        </w:rPr>
        <w:t>y</w:t>
      </w:r>
      <w:r>
        <w:rPr>
          <w:rFonts w:ascii="Arial Narrow" w:hAnsi="Arial Narrow" w:cs="Times New Roman"/>
          <w:sz w:val="22"/>
          <w:szCs w:val="22"/>
        </w:rPr>
        <w:t xml:space="preserve"> </w:t>
      </w:r>
      <w:r w:rsidR="004A0DF8">
        <w:rPr>
          <w:rFonts w:ascii="Arial Narrow" w:hAnsi="Arial Narrow" w:cs="Times New Roman"/>
          <w:sz w:val="22"/>
          <w:szCs w:val="22"/>
        </w:rPr>
        <w:t>vývoj</w:t>
      </w:r>
      <w:r>
        <w:rPr>
          <w:rFonts w:ascii="Arial Narrow" w:hAnsi="Arial Narrow" w:cs="Times New Roman"/>
          <w:sz w:val="22"/>
          <w:szCs w:val="22"/>
        </w:rPr>
        <w:t xml:space="preserve"> globálnych faktorov</w:t>
      </w:r>
      <w:r w:rsidR="004A0DF8">
        <w:rPr>
          <w:rFonts w:ascii="Arial Narrow" w:hAnsi="Arial Narrow" w:cs="Times New Roman"/>
          <w:sz w:val="22"/>
          <w:szCs w:val="22"/>
        </w:rPr>
        <w:t>. Ide hlavne o</w:t>
      </w:r>
      <w:r>
        <w:rPr>
          <w:rFonts w:ascii="Arial Narrow" w:hAnsi="Arial Narrow" w:cs="Times New Roman"/>
          <w:sz w:val="22"/>
          <w:szCs w:val="22"/>
        </w:rPr>
        <w:t xml:space="preserve"> rast cien energetických surovín a potravín, vplyv finančnej krízy</w:t>
      </w:r>
      <w:r w:rsidR="004A0DF8">
        <w:rPr>
          <w:rFonts w:ascii="Arial Narrow" w:hAnsi="Arial Narrow" w:cs="Times New Roman"/>
          <w:sz w:val="22"/>
          <w:szCs w:val="22"/>
        </w:rPr>
        <w:t xml:space="preserve"> a</w:t>
      </w:r>
      <w:r>
        <w:rPr>
          <w:rFonts w:ascii="Arial Narrow" w:hAnsi="Arial Narrow" w:cs="Times New Roman"/>
          <w:sz w:val="22"/>
          <w:szCs w:val="22"/>
        </w:rPr>
        <w:t xml:space="preserve"> prognózovaný slabší vývoj</w:t>
      </w:r>
      <w:r w:rsidRPr="0056769B">
        <w:rPr>
          <w:rFonts w:ascii="Arial Narrow" w:hAnsi="Arial Narrow" w:cs="Times New Roman"/>
          <w:sz w:val="22"/>
          <w:szCs w:val="22"/>
        </w:rPr>
        <w:t xml:space="preserve"> ekonomík dôležitých obchodných partnerov SR</w:t>
      </w:r>
      <w:r w:rsidR="004A0DF8">
        <w:rPr>
          <w:rFonts w:ascii="Arial Narrow" w:hAnsi="Arial Narrow" w:cs="Times New Roman"/>
          <w:sz w:val="22"/>
          <w:szCs w:val="22"/>
        </w:rPr>
        <w:t xml:space="preserve">. Navyše sa k týmto faktorom radí </w:t>
      </w:r>
      <w:r>
        <w:rPr>
          <w:rFonts w:ascii="Arial Narrow" w:hAnsi="Arial Narrow" w:cs="Times New Roman"/>
          <w:sz w:val="22"/>
          <w:szCs w:val="22"/>
        </w:rPr>
        <w:t xml:space="preserve">aj doznievajúci, avšak stále pomerne vysoký vplyv </w:t>
      </w:r>
      <w:r w:rsidRPr="0056769B">
        <w:rPr>
          <w:rFonts w:ascii="Arial Narrow" w:hAnsi="Arial Narrow" w:cs="Times New Roman"/>
          <w:sz w:val="22"/>
          <w:szCs w:val="22"/>
        </w:rPr>
        <w:t>zahraničných inve</w:t>
      </w:r>
      <w:r>
        <w:rPr>
          <w:rFonts w:ascii="Arial Narrow" w:hAnsi="Arial Narrow" w:cs="Times New Roman"/>
          <w:sz w:val="22"/>
          <w:szCs w:val="22"/>
        </w:rPr>
        <w:t>storov na rast a konkurencieschopnosť slovenskej ekonomiky. V dôsledku postupnej finalizácie silného procesu etablovania alebo rozširovania výrob na Slovensku sa dynamika investícií, produkcie, exportu a celkového výkonu ekonomiky oproti historicky jedinečným  hodnotám z roku 2007, resp.  2006 postupne spomalí.</w:t>
      </w:r>
    </w:p>
    <w:p w:rsidR="000E060D" w:rsidP="000E060D">
      <w:pPr>
        <w:keepNext/>
        <w:keepLines/>
        <w:ind w:firstLine="708"/>
        <w:jc w:val="both"/>
        <w:rPr>
          <w:rFonts w:ascii="Arial Narrow" w:hAnsi="Arial Narrow" w:cs="Times New Roman"/>
          <w:sz w:val="22"/>
          <w:szCs w:val="22"/>
        </w:rPr>
      </w:pPr>
    </w:p>
    <w:p w:rsidR="000E060D" w:rsidP="000E060D">
      <w:pPr>
        <w:keepNext/>
        <w:keepLines/>
        <w:ind w:firstLine="708"/>
        <w:jc w:val="both"/>
        <w:rPr>
          <w:rFonts w:ascii="Arial Narrow" w:hAnsi="Arial Narrow" w:cs="Times New Roman"/>
          <w:sz w:val="22"/>
          <w:szCs w:val="22"/>
        </w:rPr>
      </w:pPr>
      <w:r w:rsidR="004A0DF8">
        <w:rPr>
          <w:rFonts w:ascii="Arial Narrow" w:hAnsi="Arial Narrow" w:cs="Times New Roman"/>
          <w:sz w:val="22"/>
          <w:szCs w:val="22"/>
        </w:rPr>
        <w:t>Z</w:t>
      </w:r>
      <w:r>
        <w:rPr>
          <w:rFonts w:ascii="Arial Narrow" w:hAnsi="Arial Narrow" w:cs="Times New Roman"/>
          <w:sz w:val="22"/>
          <w:szCs w:val="22"/>
        </w:rPr>
        <w:t>a zása</w:t>
      </w:r>
      <w:r>
        <w:rPr>
          <w:rFonts w:ascii="Arial Narrow" w:hAnsi="Arial Narrow" w:cs="Times New Roman"/>
          <w:sz w:val="22"/>
          <w:szCs w:val="22"/>
        </w:rPr>
        <w:t xml:space="preserve">dný zlom </w:t>
      </w:r>
      <w:r w:rsidR="004A0DF8">
        <w:rPr>
          <w:rFonts w:ascii="Arial Narrow" w:hAnsi="Arial Narrow" w:cs="Times New Roman"/>
          <w:sz w:val="22"/>
          <w:szCs w:val="22"/>
        </w:rPr>
        <w:t xml:space="preserve">v slovenskej ekonomike možno považovať skutočnosť, že SR </w:t>
      </w:r>
      <w:r>
        <w:rPr>
          <w:rFonts w:ascii="Arial Narrow" w:hAnsi="Arial Narrow" w:cs="Times New Roman"/>
          <w:sz w:val="22"/>
          <w:szCs w:val="22"/>
        </w:rPr>
        <w:t>bola v roku 2008 oficiálne hodnotená v európskych štruktúrach ako krajina, ktorá je v dostatočnej miere pripravená  na vstup do eurozóny a </w:t>
      </w:r>
      <w:r w:rsidRPr="00F15A95">
        <w:rPr>
          <w:rFonts w:ascii="Arial Narrow" w:hAnsi="Arial Narrow" w:cs="Times New Roman"/>
          <w:i/>
          <w:sz w:val="22"/>
          <w:szCs w:val="22"/>
        </w:rPr>
        <w:t>na prijatie eura k 1. 1. 2009</w:t>
      </w:r>
      <w:r>
        <w:rPr>
          <w:rFonts w:ascii="Arial Narrow" w:hAnsi="Arial Narrow" w:cs="Times New Roman"/>
          <w:sz w:val="22"/>
          <w:szCs w:val="22"/>
        </w:rPr>
        <w:t>. SR oficiálne splnila všetky podmienky pre prijatie eura na udržateľnej úrovni  a 8. júl 2008 sa stal  dátumom vyhlásenia konverzného kurzu pre slovenskú korunu zo strany Rady EÚ. V januári 2009 sa tak všetky hodnotové vyjadrenia v SKK pretransformujú cez konverzný kurz do jed</w:t>
      </w:r>
      <w:r>
        <w:rPr>
          <w:rFonts w:ascii="Arial Narrow" w:hAnsi="Arial Narrow" w:cs="Times New Roman"/>
          <w:sz w:val="22"/>
          <w:szCs w:val="22"/>
        </w:rPr>
        <w:t xml:space="preserve">notnej európskej meny euro a následne </w:t>
      </w:r>
      <w:r w:rsidRPr="00F15A95">
        <w:rPr>
          <w:rFonts w:ascii="Arial Narrow" w:hAnsi="Arial Narrow" w:cs="Times New Roman"/>
          <w:i/>
          <w:sz w:val="22"/>
          <w:szCs w:val="22"/>
        </w:rPr>
        <w:t>SR a jej ekonomika bude fungovať v nových podmienkach jednotného trhu a jednotnej menovej politiky eurozóny.</w:t>
      </w:r>
      <w:r>
        <w:rPr>
          <w:rFonts w:ascii="Arial Narrow" w:hAnsi="Arial Narrow" w:cs="Times New Roman"/>
          <w:sz w:val="22"/>
          <w:szCs w:val="22"/>
        </w:rPr>
        <w:t xml:space="preserve">  </w:t>
      </w:r>
      <w:r w:rsidR="00F15A95">
        <w:rPr>
          <w:rFonts w:ascii="Arial Narrow" w:hAnsi="Arial Narrow" w:cs="Times New Roman"/>
          <w:sz w:val="22"/>
          <w:szCs w:val="22"/>
        </w:rPr>
        <w:t xml:space="preserve">Preto jedným z hlavných predpokladov </w:t>
      </w:r>
      <w:r>
        <w:rPr>
          <w:rFonts w:ascii="Arial Narrow" w:hAnsi="Arial Narrow" w:cs="Times New Roman"/>
          <w:sz w:val="22"/>
          <w:szCs w:val="22"/>
        </w:rPr>
        <w:t xml:space="preserve">prognózy </w:t>
      </w:r>
      <w:r w:rsidR="00F15A95">
        <w:rPr>
          <w:rFonts w:ascii="Arial Narrow" w:hAnsi="Arial Narrow" w:cs="Times New Roman"/>
          <w:sz w:val="22"/>
          <w:szCs w:val="22"/>
        </w:rPr>
        <w:t xml:space="preserve">je </w:t>
      </w:r>
      <w:r>
        <w:rPr>
          <w:rFonts w:ascii="Arial Narrow" w:hAnsi="Arial Narrow" w:cs="Times New Roman"/>
          <w:sz w:val="22"/>
          <w:szCs w:val="22"/>
        </w:rPr>
        <w:t>účinné napĺňanie hlavných zámerov</w:t>
      </w:r>
      <w:r w:rsidRPr="00AC5F35">
        <w:rPr>
          <w:rFonts w:ascii="Arial Narrow" w:hAnsi="Arial Narrow" w:cs="Times New Roman"/>
          <w:sz w:val="22"/>
          <w:szCs w:val="22"/>
        </w:rPr>
        <w:t xml:space="preserve"> celkovej hospodárskej pol</w:t>
      </w:r>
      <w:r w:rsidRPr="00AC5F35">
        <w:rPr>
          <w:rFonts w:ascii="Arial Narrow" w:hAnsi="Arial Narrow" w:cs="Times New Roman"/>
          <w:sz w:val="22"/>
          <w:szCs w:val="22"/>
        </w:rPr>
        <w:t>itiky vlády</w:t>
      </w:r>
      <w:r>
        <w:rPr>
          <w:rFonts w:ascii="Arial Narrow" w:hAnsi="Arial Narrow" w:cs="Times New Roman"/>
          <w:sz w:val="22"/>
          <w:szCs w:val="22"/>
        </w:rPr>
        <w:t xml:space="preserve"> </w:t>
      </w:r>
      <w:r w:rsidRPr="00751EE8">
        <w:rPr>
          <w:rFonts w:ascii="Arial Narrow" w:hAnsi="Arial Narrow" w:cs="Times New Roman"/>
          <w:sz w:val="22"/>
          <w:szCs w:val="22"/>
        </w:rPr>
        <w:t>na podporu úspešného členstva SR v</w:t>
      </w:r>
      <w:r>
        <w:rPr>
          <w:rFonts w:ascii="Arial Narrow" w:hAnsi="Arial Narrow" w:cs="Times New Roman"/>
          <w:sz w:val="22"/>
          <w:szCs w:val="22"/>
        </w:rPr>
        <w:t xml:space="preserve"> nových podmienkach </w:t>
      </w:r>
      <w:r w:rsidRPr="00751EE8">
        <w:rPr>
          <w:rFonts w:ascii="Arial Narrow" w:hAnsi="Arial Narrow" w:cs="Times New Roman"/>
          <w:sz w:val="22"/>
          <w:szCs w:val="22"/>
        </w:rPr>
        <w:t>eurozón</w:t>
      </w:r>
      <w:r>
        <w:rPr>
          <w:rFonts w:ascii="Arial Narrow" w:hAnsi="Arial Narrow" w:cs="Times New Roman"/>
          <w:sz w:val="22"/>
          <w:szCs w:val="22"/>
        </w:rPr>
        <w:t>y a pokračujúceho stabilného procesu celkovej konvergencie SR k rozvinutým krajinám.</w:t>
      </w:r>
    </w:p>
    <w:p w:rsidR="000E060D" w:rsidP="000E060D">
      <w:pPr>
        <w:keepNext/>
        <w:keepLines/>
        <w:jc w:val="both"/>
        <w:rPr>
          <w:rFonts w:ascii="Arial Narrow" w:hAnsi="Arial Narrow" w:cs="Times New Roman"/>
          <w:sz w:val="22"/>
          <w:szCs w:val="22"/>
        </w:rPr>
      </w:pPr>
    </w:p>
    <w:p w:rsidR="000E060D" w:rsidP="000E060D">
      <w:pPr>
        <w:keepNext/>
        <w:keepLines/>
        <w:ind w:firstLine="708"/>
        <w:jc w:val="both"/>
        <w:rPr>
          <w:rFonts w:ascii="Arial Narrow" w:hAnsi="Arial Narrow" w:cs="Times New Roman"/>
          <w:sz w:val="22"/>
          <w:szCs w:val="22"/>
        </w:rPr>
      </w:pPr>
      <w:r>
        <w:rPr>
          <w:rFonts w:ascii="Arial Narrow" w:hAnsi="Arial Narrow" w:cs="Times New Roman"/>
          <w:sz w:val="22"/>
          <w:szCs w:val="22"/>
        </w:rPr>
        <w:t xml:space="preserve">Ďalšie nové  skutočnosti, významné pre aktualizáciu prognózy, prinieslo zhoršenie predpokladov o </w:t>
      </w:r>
      <w:r>
        <w:rPr>
          <w:rFonts w:ascii="Arial Narrow" w:hAnsi="Arial Narrow" w:cs="Times New Roman"/>
          <w:sz w:val="22"/>
          <w:szCs w:val="22"/>
        </w:rPr>
        <w:t xml:space="preserve">vývoji  vonkajšieho  prostredia. </w:t>
      </w:r>
      <w:r w:rsidRPr="00CA7059">
        <w:rPr>
          <w:rFonts w:ascii="Arial Narrow" w:hAnsi="Arial Narrow" w:cs="Times New Roman"/>
          <w:b/>
          <w:i/>
          <w:sz w:val="22"/>
          <w:szCs w:val="22"/>
        </w:rPr>
        <w:t>Vývoj globálnej ekonomiky</w:t>
      </w:r>
      <w:r w:rsidRPr="00C01C23">
        <w:rPr>
          <w:rFonts w:ascii="Arial Narrow" w:hAnsi="Arial Narrow" w:cs="Times New Roman"/>
          <w:sz w:val="22"/>
          <w:szCs w:val="22"/>
        </w:rPr>
        <w:t xml:space="preserve"> v roku 2007 a 2008 bol narušený turbulenciami na finančných trhoch spôsobenými hypotekárnou krízou v USA. Najviac postihnutými krízou sú Spojené štáty americké, kde by sa mal hospodársky rast v roku 2008 spomaliť na 0,9</w:t>
      </w:r>
      <w:r>
        <w:rPr>
          <w:rFonts w:ascii="Arial Narrow" w:hAnsi="Arial Narrow" w:cs="Times New Roman"/>
          <w:sz w:val="22"/>
          <w:szCs w:val="22"/>
        </w:rPr>
        <w:t xml:space="preserve"> </w:t>
      </w:r>
      <w:r w:rsidRPr="00C01C23">
        <w:rPr>
          <w:rFonts w:ascii="Arial Narrow" w:hAnsi="Arial Narrow" w:cs="Times New Roman"/>
          <w:sz w:val="22"/>
          <w:szCs w:val="22"/>
        </w:rPr>
        <w:t>% (z 2,</w:t>
      </w:r>
      <w:r w:rsidR="00674D45">
        <w:rPr>
          <w:rFonts w:ascii="Arial Narrow" w:hAnsi="Arial Narrow" w:cs="Times New Roman"/>
          <w:sz w:val="22"/>
          <w:szCs w:val="22"/>
        </w:rPr>
        <w:t>1</w:t>
      </w:r>
      <w:r>
        <w:rPr>
          <w:rFonts w:ascii="Arial Narrow" w:hAnsi="Arial Narrow" w:cs="Times New Roman"/>
          <w:sz w:val="22"/>
          <w:szCs w:val="22"/>
        </w:rPr>
        <w:t xml:space="preserve"> </w:t>
      </w:r>
      <w:r w:rsidRPr="00C01C23">
        <w:rPr>
          <w:rFonts w:ascii="Arial Narrow" w:hAnsi="Arial Narrow" w:cs="Times New Roman"/>
          <w:sz w:val="22"/>
          <w:szCs w:val="22"/>
        </w:rPr>
        <w:t>% v roku 2007), pričom eurozóna  by mala dosiahnuť rast 1,</w:t>
      </w:r>
      <w:r w:rsidR="00674D45">
        <w:rPr>
          <w:rFonts w:ascii="Arial Narrow" w:hAnsi="Arial Narrow" w:cs="Times New Roman"/>
          <w:sz w:val="22"/>
          <w:szCs w:val="22"/>
        </w:rPr>
        <w:t>3</w:t>
      </w:r>
      <w:r>
        <w:rPr>
          <w:rFonts w:ascii="Arial Narrow" w:hAnsi="Arial Narrow" w:cs="Times New Roman"/>
          <w:sz w:val="22"/>
          <w:szCs w:val="22"/>
        </w:rPr>
        <w:t xml:space="preserve"> </w:t>
      </w:r>
      <w:r w:rsidRPr="00C01C23">
        <w:rPr>
          <w:rFonts w:ascii="Arial Narrow" w:hAnsi="Arial Narrow" w:cs="Times New Roman"/>
          <w:sz w:val="22"/>
          <w:szCs w:val="22"/>
        </w:rPr>
        <w:t>% (na rozdiel od 2,6</w:t>
      </w:r>
      <w:r>
        <w:rPr>
          <w:rFonts w:ascii="Arial Narrow" w:hAnsi="Arial Narrow" w:cs="Times New Roman"/>
          <w:sz w:val="22"/>
          <w:szCs w:val="22"/>
        </w:rPr>
        <w:t xml:space="preserve"> </w:t>
      </w:r>
      <w:r w:rsidRPr="00C01C23">
        <w:rPr>
          <w:rFonts w:ascii="Arial Narrow" w:hAnsi="Arial Narrow" w:cs="Times New Roman"/>
          <w:sz w:val="22"/>
          <w:szCs w:val="22"/>
        </w:rPr>
        <w:t>% v roku 2007). Podľa národných prognóz a prognóz zahraničných autorít sa očakáva, že hospodársky rast eurozóny by v priemere za obdobie 2009</w:t>
      </w:r>
      <w:r>
        <w:rPr>
          <w:rFonts w:ascii="Arial Narrow" w:hAnsi="Arial Narrow" w:cs="Times New Roman"/>
          <w:sz w:val="22"/>
          <w:szCs w:val="22"/>
        </w:rPr>
        <w:t xml:space="preserve"> až </w:t>
      </w:r>
      <w:r w:rsidRPr="00C01C23">
        <w:rPr>
          <w:rFonts w:ascii="Arial Narrow" w:hAnsi="Arial Narrow" w:cs="Times New Roman"/>
          <w:sz w:val="22"/>
          <w:szCs w:val="22"/>
        </w:rPr>
        <w:t>2011 mohol dosiahnuť 1,8</w:t>
      </w:r>
      <w:r>
        <w:rPr>
          <w:rFonts w:ascii="Arial Narrow" w:hAnsi="Arial Narrow" w:cs="Times New Roman"/>
          <w:sz w:val="22"/>
          <w:szCs w:val="22"/>
        </w:rPr>
        <w:t xml:space="preserve"> </w:t>
      </w:r>
      <w:r w:rsidRPr="00C01C23">
        <w:rPr>
          <w:rFonts w:ascii="Arial Narrow" w:hAnsi="Arial Narrow" w:cs="Times New Roman"/>
          <w:sz w:val="22"/>
          <w:szCs w:val="22"/>
        </w:rPr>
        <w:t>%, rast USA 2,</w:t>
      </w:r>
      <w:r w:rsidR="00674D45">
        <w:rPr>
          <w:rFonts w:ascii="Arial Narrow" w:hAnsi="Arial Narrow" w:cs="Times New Roman"/>
          <w:sz w:val="22"/>
          <w:szCs w:val="22"/>
        </w:rPr>
        <w:t>1</w:t>
      </w:r>
      <w:r>
        <w:rPr>
          <w:rFonts w:ascii="Arial Narrow" w:hAnsi="Arial Narrow" w:cs="Times New Roman"/>
          <w:sz w:val="22"/>
          <w:szCs w:val="22"/>
        </w:rPr>
        <w:t xml:space="preserve"> </w:t>
      </w:r>
      <w:r w:rsidRPr="00C01C23">
        <w:rPr>
          <w:rFonts w:ascii="Arial Narrow" w:hAnsi="Arial Narrow" w:cs="Times New Roman"/>
          <w:sz w:val="22"/>
          <w:szCs w:val="22"/>
        </w:rPr>
        <w:t>%, Japonska 1,</w:t>
      </w:r>
      <w:r w:rsidR="00674D45">
        <w:rPr>
          <w:rFonts w:ascii="Arial Narrow" w:hAnsi="Arial Narrow" w:cs="Times New Roman"/>
          <w:sz w:val="22"/>
          <w:szCs w:val="22"/>
        </w:rPr>
        <w:t>3</w:t>
      </w:r>
      <w:r>
        <w:rPr>
          <w:rFonts w:ascii="Arial Narrow" w:hAnsi="Arial Narrow" w:cs="Times New Roman"/>
          <w:sz w:val="22"/>
          <w:szCs w:val="22"/>
        </w:rPr>
        <w:t xml:space="preserve"> </w:t>
      </w:r>
      <w:r w:rsidRPr="00C01C23">
        <w:rPr>
          <w:rFonts w:ascii="Arial Narrow" w:hAnsi="Arial Narrow" w:cs="Times New Roman"/>
          <w:sz w:val="22"/>
          <w:szCs w:val="22"/>
        </w:rPr>
        <w:t>% a rast našich najbližších susedov by mohol byť v Českej republike 5,</w:t>
      </w:r>
      <w:r w:rsidR="00674D45">
        <w:rPr>
          <w:rFonts w:ascii="Arial Narrow" w:hAnsi="Arial Narrow" w:cs="Times New Roman"/>
          <w:sz w:val="22"/>
          <w:szCs w:val="22"/>
        </w:rPr>
        <w:t>0</w:t>
      </w:r>
      <w:r>
        <w:rPr>
          <w:rFonts w:ascii="Arial Narrow" w:hAnsi="Arial Narrow" w:cs="Times New Roman"/>
          <w:sz w:val="22"/>
          <w:szCs w:val="22"/>
        </w:rPr>
        <w:t xml:space="preserve"> </w:t>
      </w:r>
      <w:r w:rsidRPr="00C01C23">
        <w:rPr>
          <w:rFonts w:ascii="Arial Narrow" w:hAnsi="Arial Narrow" w:cs="Times New Roman"/>
          <w:sz w:val="22"/>
          <w:szCs w:val="22"/>
        </w:rPr>
        <w:t>%, v Poľsku 4,</w:t>
      </w:r>
      <w:r w:rsidR="00674D45">
        <w:rPr>
          <w:rFonts w:ascii="Arial Narrow" w:hAnsi="Arial Narrow" w:cs="Times New Roman"/>
          <w:sz w:val="22"/>
          <w:szCs w:val="22"/>
        </w:rPr>
        <w:t>2</w:t>
      </w:r>
      <w:r>
        <w:rPr>
          <w:rFonts w:ascii="Arial Narrow" w:hAnsi="Arial Narrow" w:cs="Times New Roman"/>
          <w:sz w:val="22"/>
          <w:szCs w:val="22"/>
        </w:rPr>
        <w:t xml:space="preserve"> </w:t>
      </w:r>
      <w:r w:rsidRPr="00C01C23">
        <w:rPr>
          <w:rFonts w:ascii="Arial Narrow" w:hAnsi="Arial Narrow" w:cs="Times New Roman"/>
          <w:sz w:val="22"/>
          <w:szCs w:val="22"/>
        </w:rPr>
        <w:t>% a v Maďarsku 3,2</w:t>
      </w:r>
      <w:r>
        <w:rPr>
          <w:rFonts w:ascii="Arial Narrow" w:hAnsi="Arial Narrow" w:cs="Times New Roman"/>
          <w:sz w:val="22"/>
          <w:szCs w:val="22"/>
        </w:rPr>
        <w:t xml:space="preserve"> </w:t>
      </w:r>
      <w:r w:rsidRPr="00C01C23">
        <w:rPr>
          <w:rFonts w:ascii="Arial Narrow" w:hAnsi="Arial Narrow" w:cs="Times New Roman"/>
          <w:sz w:val="22"/>
          <w:szCs w:val="22"/>
        </w:rPr>
        <w:t>%</w:t>
      </w:r>
      <w:r>
        <w:rPr>
          <w:rFonts w:ascii="Arial Narrow" w:hAnsi="Arial Narrow" w:cs="Times New Roman"/>
          <w:sz w:val="22"/>
          <w:szCs w:val="22"/>
        </w:rPr>
        <w:t> </w:t>
      </w:r>
      <w:r>
        <w:rPr>
          <w:rStyle w:val="FootnoteReference"/>
          <w:rFonts w:ascii="Arial Narrow" w:hAnsi="Arial Narrow" w:cs="Times New Roman"/>
          <w:sz w:val="22"/>
          <w:szCs w:val="22"/>
          <w:rtl w:val="0"/>
        </w:rPr>
        <w:footnoteReference w:id="0"/>
      </w:r>
      <w:r>
        <w:rPr>
          <w:rFonts w:ascii="Arial Narrow" w:hAnsi="Arial Narrow" w:cs="Times New Roman"/>
          <w:sz w:val="22"/>
          <w:szCs w:val="22"/>
        </w:rPr>
        <w:t>. </w:t>
      </w:r>
      <w:r w:rsidRPr="00C01C23">
        <w:rPr>
          <w:rFonts w:ascii="Arial Narrow" w:hAnsi="Arial Narrow" w:cs="Times New Roman"/>
          <w:sz w:val="22"/>
          <w:szCs w:val="22"/>
        </w:rPr>
        <w:t xml:space="preserve">Napriek tomu, že aktuálne vyhliadky vonkajšieho prostredia a z nich vyplývajúce riziká sa zhoršili, nateraz sa neočakáva ich výrazný vplyv na ekonomiku Slovenska. Zvyšuje sa vplyv rýchlo rozvíjajúcich sa ekonomík Číny a Indie na svetovú ekonomiku. Zároveň takmer dvojciferný ekonomický rast týchto krajín pôsobí v smere zvyšovania dopytu po komoditách na svetových trhoch a ich cien, najmä energetických surovín. Očakávame, že </w:t>
      </w:r>
      <w:r w:rsidR="00674D45">
        <w:rPr>
          <w:rFonts w:ascii="Arial Narrow" w:hAnsi="Arial Narrow" w:cs="Times New Roman"/>
          <w:sz w:val="22"/>
          <w:szCs w:val="22"/>
        </w:rPr>
        <w:t xml:space="preserve">napriek súčasnému znižovaniu </w:t>
      </w:r>
      <w:r w:rsidR="00B169E3">
        <w:rPr>
          <w:rFonts w:ascii="Arial Narrow" w:hAnsi="Arial Narrow" w:cs="Times New Roman"/>
          <w:sz w:val="22"/>
          <w:szCs w:val="22"/>
        </w:rPr>
        <w:t xml:space="preserve">sa </w:t>
      </w:r>
      <w:r w:rsidRPr="00C01C23">
        <w:rPr>
          <w:rFonts w:ascii="Arial Narrow" w:hAnsi="Arial Narrow" w:cs="Times New Roman"/>
          <w:sz w:val="22"/>
          <w:szCs w:val="22"/>
        </w:rPr>
        <w:t>ceny ropy budú v rokoch 2009</w:t>
      </w:r>
      <w:r>
        <w:rPr>
          <w:rFonts w:ascii="Arial Narrow" w:hAnsi="Arial Narrow" w:cs="Times New Roman"/>
          <w:sz w:val="22"/>
          <w:szCs w:val="22"/>
        </w:rPr>
        <w:t xml:space="preserve"> až </w:t>
      </w:r>
      <w:r w:rsidRPr="00C01C23">
        <w:rPr>
          <w:rFonts w:ascii="Arial Narrow" w:hAnsi="Arial Narrow" w:cs="Times New Roman"/>
          <w:sz w:val="22"/>
          <w:szCs w:val="22"/>
        </w:rPr>
        <w:t xml:space="preserve">2011 pohybovať na </w:t>
      </w:r>
      <w:r w:rsidR="00B169E3">
        <w:rPr>
          <w:rFonts w:ascii="Arial Narrow" w:hAnsi="Arial Narrow" w:cs="Times New Roman"/>
          <w:sz w:val="22"/>
          <w:szCs w:val="22"/>
        </w:rPr>
        <w:t xml:space="preserve">relatívne vysokej </w:t>
      </w:r>
      <w:r w:rsidRPr="00C01C23">
        <w:rPr>
          <w:rFonts w:ascii="Arial Narrow" w:hAnsi="Arial Narrow" w:cs="Times New Roman"/>
          <w:sz w:val="22"/>
          <w:szCs w:val="22"/>
        </w:rPr>
        <w:t>úrovni okolo 11</w:t>
      </w:r>
      <w:r w:rsidR="00B169E3">
        <w:rPr>
          <w:rFonts w:ascii="Arial Narrow" w:hAnsi="Arial Narrow" w:cs="Times New Roman"/>
          <w:sz w:val="22"/>
          <w:szCs w:val="22"/>
        </w:rPr>
        <w:t>7</w:t>
      </w:r>
      <w:r w:rsidRPr="00C01C23">
        <w:rPr>
          <w:rFonts w:ascii="Arial Narrow" w:hAnsi="Arial Narrow" w:cs="Times New Roman"/>
          <w:sz w:val="22"/>
          <w:szCs w:val="22"/>
        </w:rPr>
        <w:t xml:space="preserve"> USD/bl.</w:t>
      </w:r>
      <w:r w:rsidRPr="00ED28F3">
        <w:rPr>
          <w:rFonts w:ascii="Arial Narrow" w:hAnsi="Arial Narrow" w:cs="Times New Roman"/>
          <w:sz w:val="22"/>
          <w:szCs w:val="22"/>
        </w:rPr>
        <w:t xml:space="preserve"> </w:t>
      </w:r>
    </w:p>
    <w:p w:rsidR="000E060D" w:rsidP="000E060D">
      <w:pPr>
        <w:keepNext/>
        <w:keepLines/>
        <w:ind w:firstLine="708"/>
        <w:jc w:val="both"/>
        <w:rPr>
          <w:rFonts w:ascii="Arial Narrow" w:hAnsi="Arial Narrow" w:cs="Times New Roman"/>
          <w:sz w:val="22"/>
          <w:szCs w:val="22"/>
        </w:rPr>
      </w:pPr>
    </w:p>
    <w:p w:rsidR="000E060D" w:rsidP="000E060D">
      <w:pPr>
        <w:keepNext/>
        <w:keepLines/>
        <w:ind w:firstLine="708"/>
        <w:jc w:val="both"/>
        <w:rPr>
          <w:rFonts w:ascii="Arial Narrow" w:hAnsi="Arial Narrow" w:cs="Times New Roman"/>
          <w:sz w:val="22"/>
          <w:szCs w:val="22"/>
        </w:rPr>
      </w:pPr>
      <w:r w:rsidRPr="00CA7059">
        <w:rPr>
          <w:rFonts w:ascii="Arial Narrow" w:hAnsi="Arial Narrow" w:cs="Times New Roman"/>
          <w:b/>
          <w:i/>
          <w:sz w:val="22"/>
          <w:szCs w:val="22"/>
        </w:rPr>
        <w:t>Domáce pozitívne očakávania</w:t>
      </w:r>
      <w:r w:rsidRPr="004765CC">
        <w:rPr>
          <w:rFonts w:ascii="Arial Narrow" w:hAnsi="Arial Narrow" w:cs="Times New Roman"/>
          <w:sz w:val="22"/>
          <w:szCs w:val="22"/>
        </w:rPr>
        <w:t xml:space="preserve"> ekonomického vý</w:t>
      </w:r>
      <w:r w:rsidRPr="004765CC">
        <w:rPr>
          <w:rFonts w:ascii="Arial Narrow" w:hAnsi="Arial Narrow" w:cs="Times New Roman"/>
          <w:sz w:val="22"/>
          <w:szCs w:val="22"/>
        </w:rPr>
        <w:t xml:space="preserve">voja prechodne slabnú </w:t>
      </w:r>
      <w:r>
        <w:rPr>
          <w:rFonts w:ascii="Arial Narrow" w:hAnsi="Arial Narrow" w:cs="Times New Roman"/>
          <w:sz w:val="22"/>
          <w:szCs w:val="22"/>
        </w:rPr>
        <w:t xml:space="preserve">najmä </w:t>
      </w:r>
      <w:r w:rsidRPr="004765CC">
        <w:rPr>
          <w:rFonts w:ascii="Arial Narrow" w:hAnsi="Arial Narrow" w:cs="Times New Roman"/>
          <w:sz w:val="22"/>
          <w:szCs w:val="22"/>
        </w:rPr>
        <w:t>pod</w:t>
      </w:r>
      <w:r>
        <w:rPr>
          <w:rFonts w:ascii="Arial Narrow" w:hAnsi="Arial Narrow" w:cs="Times New Roman"/>
          <w:sz w:val="22"/>
          <w:szCs w:val="22"/>
        </w:rPr>
        <w:t xml:space="preserve"> vplyvom vonkajšieho prostredia (indikátory ekonomickej dôvery v eurozóne dosahujú rekordné minimá), ale aj vp</w:t>
      </w:r>
      <w:r w:rsidRPr="004765CC">
        <w:rPr>
          <w:rFonts w:ascii="Arial Narrow" w:hAnsi="Arial Narrow" w:cs="Times New Roman"/>
          <w:sz w:val="22"/>
          <w:szCs w:val="22"/>
        </w:rPr>
        <w:t>lyvom</w:t>
      </w:r>
      <w:r>
        <w:rPr>
          <w:rFonts w:ascii="Arial Narrow" w:hAnsi="Arial Narrow" w:cs="Times New Roman"/>
          <w:sz w:val="22"/>
          <w:szCs w:val="22"/>
        </w:rPr>
        <w:t xml:space="preserve"> </w:t>
      </w:r>
      <w:r w:rsidRPr="004765CC">
        <w:rPr>
          <w:rFonts w:ascii="Arial Narrow" w:hAnsi="Arial Narrow" w:cs="Times New Roman"/>
          <w:sz w:val="22"/>
          <w:szCs w:val="22"/>
        </w:rPr>
        <w:t xml:space="preserve"> istej miery </w:t>
      </w:r>
      <w:r>
        <w:rPr>
          <w:rFonts w:ascii="Arial Narrow" w:hAnsi="Arial Narrow" w:cs="Times New Roman"/>
          <w:sz w:val="22"/>
          <w:szCs w:val="22"/>
        </w:rPr>
        <w:t xml:space="preserve">krátkodobých </w:t>
      </w:r>
      <w:r w:rsidRPr="004765CC">
        <w:rPr>
          <w:rFonts w:ascii="Arial Narrow" w:hAnsi="Arial Narrow" w:cs="Times New Roman"/>
          <w:sz w:val="22"/>
          <w:szCs w:val="22"/>
        </w:rPr>
        <w:t>obáv z</w:t>
      </w:r>
      <w:r>
        <w:rPr>
          <w:rFonts w:ascii="Arial Narrow" w:hAnsi="Arial Narrow" w:cs="Times New Roman"/>
          <w:sz w:val="22"/>
          <w:szCs w:val="22"/>
        </w:rPr>
        <w:t> nových nepoznaných podmienok po vstupe SR do eurozóny a vplyvom doznievajúce</w:t>
      </w:r>
      <w:r>
        <w:rPr>
          <w:rFonts w:ascii="Arial Narrow" w:hAnsi="Arial Narrow" w:cs="Times New Roman"/>
          <w:sz w:val="22"/>
          <w:szCs w:val="22"/>
        </w:rPr>
        <w:t>j dynamiky aktivít veľkých zahraničných investorov. K</w:t>
      </w:r>
      <w:r w:rsidRPr="004765CC">
        <w:rPr>
          <w:rFonts w:ascii="Arial Narrow" w:hAnsi="Arial Narrow" w:cs="Times New Roman"/>
          <w:sz w:val="22"/>
          <w:szCs w:val="22"/>
        </w:rPr>
        <w:t xml:space="preserve">lesajúcu tendenciu má predovšetkým dôvera v priemysle v dôsledku poklesu dopytu po priemyselných výrobkoch a neistého vývoja vonkajšieho prostredia. </w:t>
      </w:r>
    </w:p>
    <w:p w:rsidR="000E060D" w:rsidP="000E060D">
      <w:pPr>
        <w:keepNext/>
        <w:ind w:firstLine="709"/>
        <w:jc w:val="both"/>
        <w:rPr>
          <w:rFonts w:ascii="Arial Narrow" w:hAnsi="Arial Narrow" w:cs="Times New Roman"/>
          <w:sz w:val="22"/>
          <w:szCs w:val="22"/>
        </w:rPr>
      </w:pPr>
    </w:p>
    <w:p w:rsidR="000E060D" w:rsidRPr="00D97897" w:rsidP="000E060D">
      <w:pPr>
        <w:keepNext/>
        <w:ind w:firstLine="709"/>
        <w:jc w:val="both"/>
        <w:rPr>
          <w:rFonts w:ascii="Arial Narrow" w:hAnsi="Arial Narrow" w:cs="Times New Roman"/>
          <w:sz w:val="22"/>
          <w:szCs w:val="22"/>
        </w:rPr>
      </w:pPr>
      <w:r w:rsidR="00D021DA">
        <w:rPr>
          <w:rFonts w:ascii="Arial Narrow" w:hAnsi="Arial Narrow" w:cs="Times New Roman"/>
          <w:sz w:val="22"/>
          <w:szCs w:val="22"/>
        </w:rPr>
        <w:t>S</w:t>
      </w:r>
      <w:r w:rsidRPr="00105F80">
        <w:rPr>
          <w:rFonts w:ascii="Arial Narrow" w:hAnsi="Arial Narrow" w:cs="Times New Roman"/>
          <w:sz w:val="22"/>
          <w:szCs w:val="22"/>
        </w:rPr>
        <w:t xml:space="preserve">trednodobé ciele </w:t>
      </w:r>
      <w:r w:rsidR="00D021DA">
        <w:rPr>
          <w:rFonts w:ascii="Arial Narrow" w:hAnsi="Arial Narrow" w:cs="Times New Roman"/>
          <w:i/>
          <w:sz w:val="22"/>
          <w:szCs w:val="22"/>
        </w:rPr>
        <w:t xml:space="preserve">makroekonomickej politiky </w:t>
      </w:r>
      <w:r w:rsidRPr="00105F80">
        <w:rPr>
          <w:rFonts w:ascii="Arial Narrow" w:hAnsi="Arial Narrow" w:cs="Times New Roman"/>
          <w:sz w:val="22"/>
          <w:szCs w:val="22"/>
        </w:rPr>
        <w:t>sú konzi</w:t>
      </w:r>
      <w:r w:rsidRPr="00105F80">
        <w:rPr>
          <w:rFonts w:ascii="Arial Narrow" w:hAnsi="Arial Narrow" w:cs="Times New Roman"/>
          <w:sz w:val="22"/>
          <w:szCs w:val="22"/>
        </w:rPr>
        <w:t xml:space="preserve">stentné so záväzkami </w:t>
      </w:r>
      <w:r>
        <w:rPr>
          <w:rFonts w:ascii="Arial Narrow" w:hAnsi="Arial Narrow" w:cs="Times New Roman"/>
          <w:sz w:val="22"/>
          <w:szCs w:val="22"/>
        </w:rPr>
        <w:t>SR vyplývajúcimi z členstva v HMÚ</w:t>
      </w:r>
      <w:r w:rsidRPr="00105F80">
        <w:rPr>
          <w:rFonts w:ascii="Arial Narrow" w:hAnsi="Arial Narrow" w:cs="Times New Roman"/>
          <w:sz w:val="22"/>
          <w:szCs w:val="22"/>
        </w:rPr>
        <w:t xml:space="preserve">. </w:t>
      </w:r>
      <w:r w:rsidR="00D021DA">
        <w:rPr>
          <w:rFonts w:ascii="Arial Narrow" w:hAnsi="Arial Narrow" w:cs="Times New Roman"/>
          <w:sz w:val="22"/>
          <w:szCs w:val="22"/>
        </w:rPr>
        <w:t>V dôsledku absentujúceho vplyvu nástrojov národnej menovej politiky budú mať oveľa väčší význam fiškálna a štrukturálna politik</w:t>
      </w:r>
      <w:r w:rsidR="002829E9">
        <w:rPr>
          <w:rFonts w:ascii="Arial Narrow" w:hAnsi="Arial Narrow" w:cs="Times New Roman"/>
          <w:sz w:val="22"/>
          <w:szCs w:val="22"/>
        </w:rPr>
        <w:t>a</w:t>
      </w:r>
      <w:r w:rsidR="00D021DA">
        <w:rPr>
          <w:rFonts w:ascii="Arial Narrow" w:hAnsi="Arial Narrow" w:cs="Times New Roman"/>
          <w:sz w:val="22"/>
          <w:szCs w:val="22"/>
        </w:rPr>
        <w:t xml:space="preserve">. </w:t>
      </w:r>
      <w:r w:rsidRPr="00105F80">
        <w:rPr>
          <w:rFonts w:ascii="Arial Narrow" w:hAnsi="Arial Narrow" w:cs="Times New Roman"/>
          <w:sz w:val="22"/>
          <w:szCs w:val="22"/>
        </w:rPr>
        <w:t>V prípade fiškálnej politiky sú ciele jasne deklarované fiškálnou kons</w:t>
      </w:r>
      <w:r w:rsidRPr="00105F80">
        <w:rPr>
          <w:rFonts w:ascii="Arial Narrow" w:hAnsi="Arial Narrow" w:cs="Times New Roman"/>
          <w:sz w:val="22"/>
          <w:szCs w:val="22"/>
        </w:rPr>
        <w:t>olidáciou konkretizovanou vo viacro</w:t>
      </w:r>
      <w:r>
        <w:rPr>
          <w:rFonts w:ascii="Arial Narrow" w:hAnsi="Arial Narrow" w:cs="Times New Roman"/>
          <w:sz w:val="22"/>
          <w:szCs w:val="22"/>
        </w:rPr>
        <w:t xml:space="preserve">čnom  rozpočte verejnej správy. V podmienkach vysokého rastu ekonomiky SR a vstupu SR do eurozóny v období globálneho inflačného rizika vláda SR zvyšuje pre nastávajúce obdobie ambicióznosť svojich cieľov vo fiškálnej konsolidácii. Postupuje tak v súlade s odporúčaniami EK pri hodnotení poslednej aktualizácie Konvergenčného programu SR.  Predpokladom prognózy je preto dôsledné plnenie vládou deklarovaných cieľov - lepšie </w:t>
      </w:r>
      <w:r w:rsidRPr="00F81DA1">
        <w:rPr>
          <w:rFonts w:ascii="Arial Narrow" w:hAnsi="Arial Narrow" w:cs="Times New Roman"/>
          <w:sz w:val="22"/>
          <w:szCs w:val="22"/>
        </w:rPr>
        <w:t>využiť vysoký ekonomický rast na urýchlenie konsolid</w:t>
      </w:r>
      <w:r w:rsidRPr="00F81DA1">
        <w:rPr>
          <w:rFonts w:ascii="Arial Narrow" w:hAnsi="Arial Narrow" w:cs="Times New Roman"/>
          <w:sz w:val="22"/>
          <w:szCs w:val="22"/>
        </w:rPr>
        <w:t>ácie verejných financií</w:t>
      </w:r>
      <w:r>
        <w:rPr>
          <w:rFonts w:ascii="Arial Narrow" w:hAnsi="Arial Narrow" w:cs="Times New Roman"/>
          <w:sz w:val="22"/>
          <w:szCs w:val="22"/>
        </w:rPr>
        <w:t xml:space="preserve">, </w:t>
      </w:r>
      <w:r w:rsidRPr="00F81DA1">
        <w:rPr>
          <w:rFonts w:ascii="Arial Narrow" w:hAnsi="Arial Narrow" w:cs="Times New Roman"/>
          <w:sz w:val="22"/>
          <w:szCs w:val="22"/>
        </w:rPr>
        <w:t>a v prípade potreby</w:t>
      </w:r>
      <w:r>
        <w:rPr>
          <w:rFonts w:ascii="Arial Narrow" w:hAnsi="Arial Narrow" w:cs="Times New Roman"/>
          <w:sz w:val="22"/>
          <w:szCs w:val="22"/>
        </w:rPr>
        <w:t xml:space="preserve">, napr. pri </w:t>
      </w:r>
      <w:r w:rsidRPr="00F81DA1">
        <w:rPr>
          <w:rFonts w:ascii="Arial Narrow" w:hAnsi="Arial Narrow" w:cs="Times New Roman"/>
          <w:sz w:val="22"/>
          <w:szCs w:val="22"/>
        </w:rPr>
        <w:t xml:space="preserve"> </w:t>
      </w:r>
      <w:r>
        <w:rPr>
          <w:rFonts w:ascii="Arial Narrow" w:hAnsi="Arial Narrow" w:cs="Times New Roman"/>
          <w:sz w:val="22"/>
          <w:szCs w:val="22"/>
        </w:rPr>
        <w:t xml:space="preserve">vyšších inflačných tlakoch, opäť flexibilne </w:t>
      </w:r>
      <w:r w:rsidRPr="00F81DA1">
        <w:rPr>
          <w:rFonts w:ascii="Arial Narrow" w:hAnsi="Arial Narrow" w:cs="Times New Roman"/>
          <w:sz w:val="22"/>
          <w:szCs w:val="22"/>
        </w:rPr>
        <w:t>sprísniť fiškálnu politiku</w:t>
      </w:r>
      <w:r>
        <w:rPr>
          <w:rFonts w:ascii="Arial Narrow" w:hAnsi="Arial Narrow" w:cs="Times New Roman"/>
          <w:sz w:val="22"/>
          <w:szCs w:val="22"/>
        </w:rPr>
        <w:t xml:space="preserve">. </w:t>
      </w:r>
      <w:r w:rsidRPr="00F81DA1">
        <w:rPr>
          <w:rFonts w:ascii="Arial Narrow" w:hAnsi="Arial Narrow" w:cs="Times New Roman"/>
          <w:sz w:val="22"/>
          <w:szCs w:val="22"/>
        </w:rPr>
        <w:t xml:space="preserve"> </w:t>
      </w:r>
      <w:r>
        <w:rPr>
          <w:rFonts w:ascii="Arial Narrow" w:hAnsi="Arial Narrow" w:cs="Times New Roman"/>
          <w:sz w:val="22"/>
          <w:szCs w:val="22"/>
        </w:rPr>
        <w:t>Okrem toho sa predpokladá, že fiškálne ciele vláda podporí účinným dolaďovaním</w:t>
      </w:r>
      <w:r w:rsidRPr="00F81DA1">
        <w:rPr>
          <w:rFonts w:ascii="Arial Narrow" w:hAnsi="Arial Narrow" w:cs="Times New Roman"/>
          <w:sz w:val="22"/>
          <w:szCs w:val="22"/>
        </w:rPr>
        <w:t xml:space="preserve"> štrukturáln</w:t>
      </w:r>
      <w:r>
        <w:rPr>
          <w:rFonts w:ascii="Arial Narrow" w:hAnsi="Arial Narrow" w:cs="Times New Roman"/>
          <w:sz w:val="22"/>
          <w:szCs w:val="22"/>
        </w:rPr>
        <w:t>ych  reforiem a politík v súlade s</w:t>
      </w:r>
      <w:r w:rsidR="00697085">
        <w:rPr>
          <w:rFonts w:ascii="Arial Narrow" w:hAnsi="Arial Narrow" w:cs="Times New Roman"/>
          <w:sz w:val="22"/>
          <w:szCs w:val="22"/>
        </w:rPr>
        <w:t xml:space="preserve"> Modernizačným </w:t>
      </w:r>
      <w:r>
        <w:rPr>
          <w:rFonts w:ascii="Arial Narrow" w:hAnsi="Arial Narrow" w:cs="Times New Roman"/>
          <w:sz w:val="22"/>
          <w:szCs w:val="22"/>
        </w:rPr>
        <w:t xml:space="preserve">programom </w:t>
      </w:r>
      <w:r w:rsidR="00697085">
        <w:rPr>
          <w:rFonts w:ascii="Arial Narrow" w:hAnsi="Arial Narrow" w:cs="Times New Roman"/>
          <w:sz w:val="22"/>
          <w:szCs w:val="22"/>
        </w:rPr>
        <w:t>Slovensko 21 a Národným programom reforiem SR</w:t>
      </w:r>
      <w:r>
        <w:rPr>
          <w:rFonts w:ascii="Arial Narrow" w:hAnsi="Arial Narrow" w:cs="Times New Roman"/>
          <w:sz w:val="22"/>
          <w:szCs w:val="22"/>
        </w:rPr>
        <w:t>.</w:t>
      </w:r>
      <w:r w:rsidRPr="00105F80">
        <w:rPr>
          <w:rFonts w:ascii="Arial Narrow" w:hAnsi="Arial Narrow" w:cs="Times New Roman"/>
          <w:sz w:val="22"/>
          <w:szCs w:val="22"/>
        </w:rPr>
        <w:t xml:space="preserve"> </w:t>
      </w:r>
    </w:p>
    <w:p w:rsidR="00D417FE" w:rsidP="000E060D">
      <w:pPr>
        <w:spacing w:before="240"/>
        <w:ind w:firstLine="709"/>
        <w:jc w:val="both"/>
        <w:rPr>
          <w:rFonts w:ascii="Arial Narrow" w:hAnsi="Arial Narrow" w:cs="Times New Roman"/>
          <w:sz w:val="22"/>
          <w:szCs w:val="22"/>
        </w:rPr>
      </w:pPr>
      <w:r w:rsidRPr="00697085" w:rsidR="000E060D">
        <w:rPr>
          <w:rFonts w:ascii="Arial Narrow" w:hAnsi="Arial Narrow" w:cs="Times New Roman"/>
          <w:i/>
          <w:sz w:val="22"/>
          <w:szCs w:val="22"/>
        </w:rPr>
        <w:t>Za daných predpokladov bude ekonomika SR naďalej rásť vysokým tempom</w:t>
      </w:r>
      <w:r w:rsidRPr="002F48AA" w:rsidR="000E060D">
        <w:rPr>
          <w:rFonts w:ascii="Arial Narrow" w:hAnsi="Arial Narrow" w:cs="Times New Roman"/>
          <w:sz w:val="22"/>
          <w:szCs w:val="22"/>
        </w:rPr>
        <w:t xml:space="preserve"> na udržateľnej úrovni, pričom dynamika sa bude postupne zmierňovať. </w:t>
      </w:r>
      <w:r w:rsidR="000E060D">
        <w:rPr>
          <w:rFonts w:ascii="Arial Narrow" w:hAnsi="Arial Narrow" w:cs="Times New Roman"/>
          <w:sz w:val="22"/>
          <w:szCs w:val="22"/>
        </w:rPr>
        <w:t>Očakávané tempá rastu sú však vyššie ako v makroekonomických rámcoch pre rozpočet 2008 až 2010, reflektujú hlavne dynamickejší vývoj v roku 2008.  Z hľadiska štruktúry dopytu zvýšenie odhadov rastu sa týka hlavne reálnej</w:t>
      </w:r>
      <w:r w:rsidRPr="00CA7059" w:rsidR="000E060D">
        <w:rPr>
          <w:rFonts w:ascii="Arial Narrow" w:hAnsi="Arial Narrow" w:cs="Times New Roman"/>
          <w:sz w:val="22"/>
          <w:szCs w:val="22"/>
        </w:rPr>
        <w:t xml:space="preserve"> </w:t>
      </w:r>
      <w:r w:rsidR="000E060D">
        <w:rPr>
          <w:rFonts w:ascii="Arial Narrow" w:hAnsi="Arial Narrow" w:cs="Times New Roman"/>
          <w:sz w:val="22"/>
          <w:szCs w:val="22"/>
        </w:rPr>
        <w:t xml:space="preserve">súkromnej </w:t>
      </w:r>
      <w:r w:rsidRPr="00CA7059" w:rsidR="000E060D">
        <w:rPr>
          <w:rFonts w:ascii="Arial Narrow" w:hAnsi="Arial Narrow" w:cs="Times New Roman"/>
          <w:sz w:val="22"/>
          <w:szCs w:val="22"/>
        </w:rPr>
        <w:t xml:space="preserve">spotreby </w:t>
      </w:r>
      <w:r w:rsidR="00697085">
        <w:rPr>
          <w:rFonts w:ascii="Arial Narrow" w:hAnsi="Arial Narrow" w:cs="Times New Roman"/>
          <w:sz w:val="22"/>
          <w:szCs w:val="22"/>
        </w:rPr>
        <w:t xml:space="preserve">(nominálne a reálne) </w:t>
      </w:r>
      <w:r w:rsidRPr="00CA7059" w:rsidR="000E060D">
        <w:rPr>
          <w:rFonts w:ascii="Arial Narrow" w:hAnsi="Arial Narrow" w:cs="Times New Roman"/>
          <w:sz w:val="22"/>
          <w:szCs w:val="22"/>
        </w:rPr>
        <w:t>v dôsledku vyššieho rastu mzdovej bázy</w:t>
      </w:r>
      <w:r w:rsidR="000E060D">
        <w:rPr>
          <w:rFonts w:ascii="Arial Narrow" w:hAnsi="Arial Narrow" w:cs="Times New Roman"/>
          <w:sz w:val="22"/>
          <w:szCs w:val="22"/>
        </w:rPr>
        <w:t xml:space="preserve"> v pr</w:t>
      </w:r>
      <w:r w:rsidR="000E060D">
        <w:rPr>
          <w:rFonts w:ascii="Arial Narrow" w:hAnsi="Arial Narrow" w:cs="Times New Roman"/>
          <w:sz w:val="22"/>
          <w:szCs w:val="22"/>
        </w:rPr>
        <w:t>iebehu celého sledovaného obdobia, ktorý je odrazom silnejšieho</w:t>
      </w:r>
      <w:r w:rsidRPr="00CA7059" w:rsidR="000E060D">
        <w:rPr>
          <w:rFonts w:ascii="Arial Narrow" w:hAnsi="Arial Narrow" w:cs="Times New Roman"/>
          <w:sz w:val="22"/>
          <w:szCs w:val="22"/>
        </w:rPr>
        <w:t xml:space="preserve"> rastu </w:t>
      </w:r>
      <w:r w:rsidR="000E060D">
        <w:rPr>
          <w:rFonts w:ascii="Arial Narrow" w:hAnsi="Arial Narrow" w:cs="Times New Roman"/>
          <w:sz w:val="22"/>
          <w:szCs w:val="22"/>
        </w:rPr>
        <w:t xml:space="preserve">reálnej </w:t>
      </w:r>
      <w:r w:rsidR="00697085">
        <w:rPr>
          <w:rFonts w:ascii="Arial Narrow" w:hAnsi="Arial Narrow" w:cs="Times New Roman"/>
          <w:sz w:val="22"/>
          <w:szCs w:val="22"/>
        </w:rPr>
        <w:t xml:space="preserve">aj nominálnej </w:t>
      </w:r>
      <w:r w:rsidR="000E060D">
        <w:rPr>
          <w:rFonts w:ascii="Arial Narrow" w:hAnsi="Arial Narrow" w:cs="Times New Roman"/>
          <w:sz w:val="22"/>
          <w:szCs w:val="22"/>
        </w:rPr>
        <w:t>mzdy a tiež  zame</w:t>
      </w:r>
      <w:r w:rsidRPr="00CA7059" w:rsidR="000E060D">
        <w:rPr>
          <w:rFonts w:ascii="Arial Narrow" w:hAnsi="Arial Narrow" w:cs="Times New Roman"/>
          <w:sz w:val="22"/>
          <w:szCs w:val="22"/>
        </w:rPr>
        <w:t>stnanosti</w:t>
      </w:r>
      <w:r w:rsidR="000E060D">
        <w:rPr>
          <w:rFonts w:ascii="Arial Narrow" w:hAnsi="Arial Narrow" w:cs="Times New Roman"/>
          <w:sz w:val="22"/>
          <w:szCs w:val="22"/>
        </w:rPr>
        <w:t>.</w:t>
      </w:r>
      <w:r w:rsidRPr="00CA7059" w:rsidR="000E060D">
        <w:rPr>
          <w:rFonts w:ascii="Arial Narrow" w:hAnsi="Arial Narrow" w:cs="Times New Roman"/>
          <w:sz w:val="22"/>
          <w:szCs w:val="22"/>
        </w:rPr>
        <w:t xml:space="preserve"> Zatiaľ čo rast zamestnanosti si zachováva </w:t>
      </w:r>
      <w:r w:rsidR="000E060D">
        <w:rPr>
          <w:rFonts w:ascii="Arial Narrow" w:hAnsi="Arial Narrow" w:cs="Times New Roman"/>
          <w:sz w:val="22"/>
          <w:szCs w:val="22"/>
        </w:rPr>
        <w:t xml:space="preserve">doteraz predpokladaný </w:t>
      </w:r>
      <w:r w:rsidRPr="00CA7059" w:rsidR="000E060D">
        <w:rPr>
          <w:rFonts w:ascii="Arial Narrow" w:hAnsi="Arial Narrow" w:cs="Times New Roman"/>
          <w:sz w:val="22"/>
          <w:szCs w:val="22"/>
        </w:rPr>
        <w:t xml:space="preserve">priebeh </w:t>
      </w:r>
      <w:r w:rsidR="000E060D">
        <w:rPr>
          <w:rFonts w:ascii="Arial Narrow" w:hAnsi="Arial Narrow" w:cs="Times New Roman"/>
          <w:sz w:val="22"/>
          <w:szCs w:val="22"/>
        </w:rPr>
        <w:t xml:space="preserve">spomaľovania a pravdepodobne </w:t>
      </w:r>
      <w:r w:rsidRPr="00CA7059" w:rsidR="000E060D">
        <w:rPr>
          <w:rFonts w:ascii="Arial Narrow" w:hAnsi="Arial Narrow" w:cs="Times New Roman"/>
          <w:sz w:val="22"/>
          <w:szCs w:val="22"/>
        </w:rPr>
        <w:t>dosiahne rovnovážnu úroveň v roku 2</w:t>
      </w:r>
      <w:r w:rsidRPr="00CA7059" w:rsidR="000E060D">
        <w:rPr>
          <w:rFonts w:ascii="Arial Narrow" w:hAnsi="Arial Narrow" w:cs="Times New Roman"/>
          <w:sz w:val="22"/>
          <w:szCs w:val="22"/>
        </w:rPr>
        <w:t>011,</w:t>
      </w:r>
      <w:r w:rsidR="00410018">
        <w:rPr>
          <w:rFonts w:ascii="Arial Narrow" w:hAnsi="Arial Narrow" w:cs="Times New Roman"/>
          <w:sz w:val="22"/>
          <w:szCs w:val="22"/>
        </w:rPr>
        <w:t xml:space="preserve"> rast</w:t>
      </w:r>
      <w:r w:rsidRPr="00CA7059" w:rsidR="000E060D">
        <w:rPr>
          <w:rFonts w:ascii="Arial Narrow" w:hAnsi="Arial Narrow" w:cs="Times New Roman"/>
          <w:sz w:val="22"/>
          <w:szCs w:val="22"/>
        </w:rPr>
        <w:t xml:space="preserve"> reálnych miezd </w:t>
      </w:r>
      <w:r w:rsidR="00410018">
        <w:rPr>
          <w:rFonts w:ascii="Arial Narrow" w:hAnsi="Arial Narrow" w:cs="Times New Roman"/>
          <w:sz w:val="22"/>
          <w:szCs w:val="22"/>
        </w:rPr>
        <w:t xml:space="preserve">sa podľa aktuálnych očakávaní </w:t>
      </w:r>
      <w:r w:rsidR="000E060D">
        <w:rPr>
          <w:rFonts w:ascii="Arial Narrow" w:hAnsi="Arial Narrow" w:cs="Times New Roman"/>
          <w:sz w:val="22"/>
          <w:szCs w:val="22"/>
        </w:rPr>
        <w:t xml:space="preserve">na rozdiel od pôvodných prognóz </w:t>
      </w:r>
      <w:r w:rsidRPr="00CA7059" w:rsidR="000E060D">
        <w:rPr>
          <w:rFonts w:ascii="Arial Narrow" w:hAnsi="Arial Narrow" w:cs="Times New Roman"/>
          <w:sz w:val="22"/>
          <w:szCs w:val="22"/>
        </w:rPr>
        <w:t>v</w:t>
      </w:r>
      <w:r w:rsidR="000E060D">
        <w:rPr>
          <w:rFonts w:ascii="Arial Narrow" w:hAnsi="Arial Narrow" w:cs="Times New Roman"/>
          <w:sz w:val="22"/>
          <w:szCs w:val="22"/>
        </w:rPr>
        <w:t> </w:t>
      </w:r>
      <w:r w:rsidRPr="00CA7059" w:rsidR="000E060D">
        <w:rPr>
          <w:rFonts w:ascii="Arial Narrow" w:hAnsi="Arial Narrow" w:cs="Times New Roman"/>
          <w:sz w:val="22"/>
          <w:szCs w:val="22"/>
        </w:rPr>
        <w:t>strednodo</w:t>
      </w:r>
      <w:r w:rsidR="000E060D">
        <w:rPr>
          <w:rFonts w:ascii="Arial Narrow" w:hAnsi="Arial Narrow" w:cs="Times New Roman"/>
          <w:sz w:val="22"/>
          <w:szCs w:val="22"/>
        </w:rPr>
        <w:t xml:space="preserve">bom horizonte </w:t>
      </w:r>
      <w:r>
        <w:rPr>
          <w:rFonts w:ascii="Arial Narrow" w:hAnsi="Arial Narrow" w:cs="Times New Roman"/>
          <w:sz w:val="22"/>
          <w:szCs w:val="22"/>
        </w:rPr>
        <w:t>nespomalí</w:t>
      </w:r>
      <w:r w:rsidR="000E060D">
        <w:rPr>
          <w:rFonts w:ascii="Arial Narrow" w:hAnsi="Arial Narrow" w:cs="Times New Roman"/>
          <w:sz w:val="22"/>
          <w:szCs w:val="22"/>
        </w:rPr>
        <w:t xml:space="preserve">. </w:t>
      </w:r>
      <w:r>
        <w:rPr>
          <w:rFonts w:ascii="Arial Narrow" w:hAnsi="Arial Narrow" w:cs="Times New Roman"/>
          <w:sz w:val="22"/>
          <w:szCs w:val="22"/>
        </w:rPr>
        <w:t>O</w:t>
      </w:r>
      <w:r w:rsidR="000E060D">
        <w:rPr>
          <w:rFonts w:ascii="Arial Narrow" w:hAnsi="Arial Narrow" w:cs="Times New Roman"/>
          <w:sz w:val="22"/>
          <w:szCs w:val="22"/>
        </w:rPr>
        <w:t xml:space="preserve">dráža predpoklad silnejšej reálnej konvergencie a zužovania </w:t>
      </w:r>
      <w:r>
        <w:rPr>
          <w:rFonts w:ascii="Arial Narrow" w:hAnsi="Arial Narrow" w:cs="Times New Roman"/>
          <w:sz w:val="22"/>
          <w:szCs w:val="22"/>
        </w:rPr>
        <w:t>rozpätia</w:t>
      </w:r>
      <w:r w:rsidR="000E060D">
        <w:rPr>
          <w:rFonts w:ascii="Arial Narrow" w:hAnsi="Arial Narrow" w:cs="Times New Roman"/>
          <w:sz w:val="22"/>
          <w:szCs w:val="22"/>
        </w:rPr>
        <w:t xml:space="preserve"> medzi previsom rastu </w:t>
      </w:r>
      <w:r>
        <w:rPr>
          <w:rFonts w:ascii="Arial Narrow" w:hAnsi="Arial Narrow" w:cs="Times New Roman"/>
          <w:sz w:val="22"/>
          <w:szCs w:val="22"/>
        </w:rPr>
        <w:t xml:space="preserve">reálnej </w:t>
      </w:r>
      <w:r w:rsidR="000E060D">
        <w:rPr>
          <w:rFonts w:ascii="Arial Narrow" w:hAnsi="Arial Narrow" w:cs="Times New Roman"/>
          <w:sz w:val="22"/>
          <w:szCs w:val="22"/>
        </w:rPr>
        <w:t>produktivity práce nad rastom prie</w:t>
      </w:r>
      <w:r w:rsidR="000E060D">
        <w:rPr>
          <w:rFonts w:ascii="Arial Narrow" w:hAnsi="Arial Narrow" w:cs="Times New Roman"/>
          <w:sz w:val="22"/>
          <w:szCs w:val="22"/>
        </w:rPr>
        <w:t xml:space="preserve">mernej mzdy, avšak  pri zachovaní mzdovej disciplíny. </w:t>
      </w:r>
      <w:r w:rsidRPr="00CA7059" w:rsidR="000E060D">
        <w:rPr>
          <w:rFonts w:ascii="Arial Narrow" w:hAnsi="Arial Narrow" w:cs="Times New Roman"/>
          <w:sz w:val="22"/>
          <w:szCs w:val="22"/>
        </w:rPr>
        <w:t xml:space="preserve"> </w:t>
      </w:r>
    </w:p>
    <w:p w:rsidR="000E060D" w:rsidP="000E060D">
      <w:pPr>
        <w:spacing w:before="240"/>
        <w:ind w:firstLine="709"/>
        <w:jc w:val="both"/>
        <w:rPr>
          <w:rFonts w:ascii="Arial Narrow" w:hAnsi="Arial Narrow" w:cs="Times New Roman"/>
          <w:sz w:val="22"/>
          <w:szCs w:val="22"/>
        </w:rPr>
      </w:pPr>
      <w:r>
        <w:rPr>
          <w:rFonts w:ascii="Arial Narrow" w:hAnsi="Arial Narrow" w:cs="Times New Roman"/>
          <w:sz w:val="22"/>
          <w:szCs w:val="22"/>
        </w:rPr>
        <w:t xml:space="preserve">Na druhej strane, </w:t>
      </w:r>
      <w:r w:rsidR="00D417FE">
        <w:rPr>
          <w:rFonts w:ascii="Arial Narrow" w:hAnsi="Arial Narrow" w:cs="Times New Roman"/>
          <w:sz w:val="22"/>
          <w:szCs w:val="22"/>
        </w:rPr>
        <w:t xml:space="preserve">prognóza </w:t>
      </w:r>
      <w:r>
        <w:rPr>
          <w:rFonts w:ascii="Arial Narrow" w:hAnsi="Arial Narrow" w:cs="Times New Roman"/>
          <w:sz w:val="22"/>
          <w:szCs w:val="22"/>
        </w:rPr>
        <w:t>in</w:t>
      </w:r>
      <w:r w:rsidRPr="003F6B24">
        <w:rPr>
          <w:rFonts w:ascii="Arial Narrow" w:hAnsi="Arial Narrow" w:cs="Times New Roman"/>
          <w:sz w:val="22"/>
          <w:szCs w:val="22"/>
        </w:rPr>
        <w:t>fláci</w:t>
      </w:r>
      <w:r w:rsidR="00D417FE">
        <w:rPr>
          <w:rFonts w:ascii="Arial Narrow" w:hAnsi="Arial Narrow" w:cs="Times New Roman"/>
          <w:sz w:val="22"/>
          <w:szCs w:val="22"/>
        </w:rPr>
        <w:t>e</w:t>
      </w:r>
      <w:r w:rsidRPr="003F6B24">
        <w:rPr>
          <w:rFonts w:ascii="Arial Narrow" w:hAnsi="Arial Narrow" w:cs="Times New Roman"/>
          <w:sz w:val="22"/>
          <w:szCs w:val="22"/>
        </w:rPr>
        <w:t xml:space="preserve"> </w:t>
      </w:r>
      <w:r w:rsidR="00D417FE">
        <w:rPr>
          <w:rFonts w:ascii="Arial Narrow" w:hAnsi="Arial Narrow" w:cs="Times New Roman"/>
          <w:sz w:val="22"/>
          <w:szCs w:val="22"/>
        </w:rPr>
        <w:t xml:space="preserve">bola oproti predpokladom rozpočtu výrazne posunutá smerom nahor. Príčinou sú hlavne </w:t>
      </w:r>
      <w:r>
        <w:rPr>
          <w:rFonts w:ascii="Arial Narrow" w:hAnsi="Arial Narrow" w:cs="Times New Roman"/>
          <w:sz w:val="22"/>
          <w:szCs w:val="22"/>
        </w:rPr>
        <w:t>extern</w:t>
      </w:r>
      <w:r w:rsidR="00D417FE">
        <w:rPr>
          <w:rFonts w:ascii="Arial Narrow" w:hAnsi="Arial Narrow" w:cs="Times New Roman"/>
          <w:sz w:val="22"/>
          <w:szCs w:val="22"/>
        </w:rPr>
        <w:t>é</w:t>
      </w:r>
      <w:r>
        <w:rPr>
          <w:rFonts w:ascii="Arial Narrow" w:hAnsi="Arial Narrow" w:cs="Times New Roman"/>
          <w:sz w:val="22"/>
          <w:szCs w:val="22"/>
        </w:rPr>
        <w:t xml:space="preserve"> globáln</w:t>
      </w:r>
      <w:r w:rsidR="00D417FE">
        <w:rPr>
          <w:rFonts w:ascii="Arial Narrow" w:hAnsi="Arial Narrow" w:cs="Times New Roman"/>
          <w:sz w:val="22"/>
          <w:szCs w:val="22"/>
        </w:rPr>
        <w:t>e</w:t>
      </w:r>
      <w:r>
        <w:rPr>
          <w:rFonts w:ascii="Arial Narrow" w:hAnsi="Arial Narrow" w:cs="Times New Roman"/>
          <w:sz w:val="22"/>
          <w:szCs w:val="22"/>
        </w:rPr>
        <w:t xml:space="preserve"> faktor</w:t>
      </w:r>
      <w:r w:rsidR="00D417FE">
        <w:rPr>
          <w:rFonts w:ascii="Arial Narrow" w:hAnsi="Arial Narrow" w:cs="Times New Roman"/>
          <w:sz w:val="22"/>
          <w:szCs w:val="22"/>
        </w:rPr>
        <w:t>y</w:t>
      </w:r>
      <w:r>
        <w:rPr>
          <w:rFonts w:ascii="Arial Narrow" w:hAnsi="Arial Narrow" w:cs="Times New Roman"/>
          <w:sz w:val="22"/>
          <w:szCs w:val="22"/>
        </w:rPr>
        <w:t xml:space="preserve"> </w:t>
      </w:r>
      <w:r w:rsidR="00D417FE">
        <w:rPr>
          <w:rFonts w:ascii="Arial Narrow" w:hAnsi="Arial Narrow" w:cs="Times New Roman"/>
          <w:sz w:val="22"/>
          <w:szCs w:val="22"/>
        </w:rPr>
        <w:t>–</w:t>
      </w:r>
      <w:r w:rsidRPr="003F6B24">
        <w:rPr>
          <w:rFonts w:ascii="Arial Narrow" w:hAnsi="Arial Narrow" w:cs="Times New Roman"/>
          <w:sz w:val="22"/>
          <w:szCs w:val="22"/>
        </w:rPr>
        <w:t xml:space="preserve"> </w:t>
      </w:r>
      <w:r w:rsidR="00D417FE">
        <w:rPr>
          <w:rFonts w:ascii="Arial Narrow" w:hAnsi="Arial Narrow" w:cs="Times New Roman"/>
          <w:sz w:val="22"/>
          <w:szCs w:val="22"/>
        </w:rPr>
        <w:t xml:space="preserve">prudký </w:t>
      </w:r>
      <w:r w:rsidRPr="003F6B24">
        <w:rPr>
          <w:rFonts w:ascii="Arial Narrow" w:hAnsi="Arial Narrow" w:cs="Times New Roman"/>
          <w:sz w:val="22"/>
          <w:szCs w:val="22"/>
        </w:rPr>
        <w:t xml:space="preserve">rast svetových cien energetických surovín </w:t>
      </w:r>
      <w:r>
        <w:rPr>
          <w:rFonts w:ascii="Arial Narrow" w:hAnsi="Arial Narrow" w:cs="Times New Roman"/>
          <w:sz w:val="22"/>
          <w:szCs w:val="22"/>
        </w:rPr>
        <w:t>a po</w:t>
      </w:r>
      <w:r>
        <w:rPr>
          <w:rFonts w:ascii="Arial Narrow" w:hAnsi="Arial Narrow" w:cs="Times New Roman"/>
          <w:sz w:val="22"/>
          <w:szCs w:val="22"/>
        </w:rPr>
        <w:t>travín</w:t>
      </w:r>
      <w:r w:rsidRPr="0054737E">
        <w:rPr>
          <w:rFonts w:ascii="Arial Narrow" w:hAnsi="Arial Narrow" w:cs="Times New Roman"/>
          <w:sz w:val="22"/>
          <w:szCs w:val="22"/>
        </w:rPr>
        <w:t xml:space="preserve">. Avšak </w:t>
      </w:r>
      <w:r w:rsidR="00D417FE">
        <w:rPr>
          <w:rFonts w:ascii="Arial Narrow" w:hAnsi="Arial Narrow" w:cs="Times New Roman"/>
          <w:sz w:val="22"/>
          <w:szCs w:val="22"/>
        </w:rPr>
        <w:t xml:space="preserve">už počas </w:t>
      </w:r>
      <w:r w:rsidRPr="0054737E">
        <w:rPr>
          <w:rFonts w:ascii="Arial Narrow" w:hAnsi="Arial Narrow" w:cs="Times New Roman"/>
          <w:sz w:val="22"/>
          <w:szCs w:val="22"/>
        </w:rPr>
        <w:t>rok</w:t>
      </w:r>
      <w:r w:rsidR="00D417FE">
        <w:rPr>
          <w:rFonts w:ascii="Arial Narrow" w:hAnsi="Arial Narrow" w:cs="Times New Roman"/>
          <w:sz w:val="22"/>
          <w:szCs w:val="22"/>
        </w:rPr>
        <w:t xml:space="preserve">a </w:t>
      </w:r>
      <w:r w:rsidRPr="0054737E">
        <w:rPr>
          <w:rFonts w:ascii="Arial Narrow" w:hAnsi="Arial Narrow" w:cs="Times New Roman"/>
          <w:sz w:val="22"/>
          <w:szCs w:val="22"/>
        </w:rPr>
        <w:t xml:space="preserve">2009 </w:t>
      </w:r>
      <w:r>
        <w:rPr>
          <w:rFonts w:ascii="Arial Narrow" w:hAnsi="Arial Narrow" w:cs="Times New Roman"/>
          <w:sz w:val="22"/>
          <w:szCs w:val="22"/>
        </w:rPr>
        <w:t xml:space="preserve">by </w:t>
      </w:r>
      <w:r w:rsidRPr="0054737E">
        <w:rPr>
          <w:rFonts w:ascii="Arial Narrow" w:hAnsi="Arial Narrow" w:cs="Times New Roman"/>
          <w:sz w:val="22"/>
          <w:szCs w:val="22"/>
        </w:rPr>
        <w:t xml:space="preserve">sa </w:t>
      </w:r>
      <w:r>
        <w:rPr>
          <w:rFonts w:ascii="Arial Narrow" w:hAnsi="Arial Narrow" w:cs="Times New Roman"/>
          <w:sz w:val="22"/>
          <w:szCs w:val="22"/>
        </w:rPr>
        <w:t xml:space="preserve">malo </w:t>
      </w:r>
      <w:r w:rsidRPr="0054737E">
        <w:rPr>
          <w:rFonts w:ascii="Arial Narrow" w:hAnsi="Arial Narrow" w:cs="Times New Roman"/>
          <w:sz w:val="22"/>
          <w:szCs w:val="22"/>
        </w:rPr>
        <w:t xml:space="preserve"> tempo rastu cien </w:t>
      </w:r>
      <w:r>
        <w:rPr>
          <w:rFonts w:ascii="Arial Narrow" w:hAnsi="Arial Narrow" w:cs="Times New Roman"/>
          <w:sz w:val="22"/>
          <w:szCs w:val="22"/>
        </w:rPr>
        <w:t>zmierniť v dôsledku ut</w:t>
      </w:r>
      <w:r w:rsidR="00D417FE">
        <w:rPr>
          <w:rFonts w:ascii="Arial Narrow" w:hAnsi="Arial Narrow" w:cs="Times New Roman"/>
          <w:sz w:val="22"/>
          <w:szCs w:val="22"/>
        </w:rPr>
        <w:t>lmenia</w:t>
      </w:r>
      <w:r w:rsidRPr="0054737E">
        <w:rPr>
          <w:rFonts w:ascii="Arial Narrow" w:hAnsi="Arial Narrow" w:cs="Times New Roman"/>
          <w:sz w:val="22"/>
          <w:szCs w:val="22"/>
        </w:rPr>
        <w:t xml:space="preserve"> nepriaznivej situácie na trhu s ropou a</w:t>
      </w:r>
      <w:r w:rsidR="00D417FE">
        <w:rPr>
          <w:rFonts w:ascii="Arial Narrow" w:hAnsi="Arial Narrow" w:cs="Times New Roman"/>
          <w:sz w:val="22"/>
          <w:szCs w:val="22"/>
        </w:rPr>
        <w:t> </w:t>
      </w:r>
      <w:r w:rsidRPr="0054737E">
        <w:rPr>
          <w:rFonts w:ascii="Arial Narrow" w:hAnsi="Arial Narrow" w:cs="Times New Roman"/>
          <w:sz w:val="22"/>
          <w:szCs w:val="22"/>
        </w:rPr>
        <w:t>potravinami</w:t>
      </w:r>
      <w:r w:rsidR="00D417FE">
        <w:rPr>
          <w:rFonts w:ascii="Arial Narrow" w:hAnsi="Arial Narrow" w:cs="Times New Roman"/>
          <w:sz w:val="22"/>
          <w:szCs w:val="22"/>
        </w:rPr>
        <w:t xml:space="preserve">. V roku </w:t>
      </w:r>
      <w:r w:rsidRPr="0054737E">
        <w:rPr>
          <w:rFonts w:ascii="Arial Narrow" w:hAnsi="Arial Narrow" w:cs="Times New Roman"/>
          <w:sz w:val="22"/>
          <w:szCs w:val="22"/>
        </w:rPr>
        <w:t>20</w:t>
      </w:r>
      <w:r w:rsidR="00D417FE">
        <w:rPr>
          <w:rFonts w:ascii="Arial Narrow" w:hAnsi="Arial Narrow" w:cs="Times New Roman"/>
          <w:sz w:val="22"/>
          <w:szCs w:val="22"/>
        </w:rPr>
        <w:t>10 očakávame ďalšie zmiernenie inflácie spôsobené u</w:t>
      </w:r>
      <w:r w:rsidRPr="0054737E">
        <w:rPr>
          <w:rFonts w:ascii="Arial Narrow" w:hAnsi="Arial Narrow" w:cs="Times New Roman"/>
          <w:sz w:val="22"/>
          <w:szCs w:val="22"/>
        </w:rPr>
        <w:t>končením vplyvu  niektorých jednorazových negatívnyc</w:t>
      </w:r>
      <w:r w:rsidRPr="0054737E">
        <w:rPr>
          <w:rFonts w:ascii="Arial Narrow" w:hAnsi="Arial Narrow" w:cs="Times New Roman"/>
          <w:sz w:val="22"/>
          <w:szCs w:val="22"/>
        </w:rPr>
        <w:t>h efektov (</w:t>
      </w:r>
      <w:r w:rsidR="00F54C07">
        <w:rPr>
          <w:rFonts w:ascii="Arial Narrow" w:hAnsi="Arial Narrow" w:cs="Times New Roman"/>
          <w:sz w:val="22"/>
          <w:szCs w:val="22"/>
        </w:rPr>
        <w:t>zvýšenie</w:t>
      </w:r>
      <w:r w:rsidRPr="0054737E">
        <w:rPr>
          <w:rFonts w:ascii="Arial Narrow" w:hAnsi="Arial Narrow" w:cs="Times New Roman"/>
          <w:sz w:val="22"/>
          <w:szCs w:val="22"/>
        </w:rPr>
        <w:t xml:space="preserve"> spotrebnej dane na cigarety</w:t>
      </w:r>
      <w:r w:rsidR="00F54C07">
        <w:rPr>
          <w:rFonts w:ascii="Arial Narrow" w:hAnsi="Arial Narrow" w:cs="Times New Roman"/>
          <w:sz w:val="22"/>
          <w:szCs w:val="22"/>
        </w:rPr>
        <w:t xml:space="preserve"> v rámci har</w:t>
      </w:r>
      <w:r w:rsidR="002829E9">
        <w:rPr>
          <w:rFonts w:ascii="Arial Narrow" w:hAnsi="Arial Narrow" w:cs="Times New Roman"/>
          <w:sz w:val="22"/>
          <w:szCs w:val="22"/>
        </w:rPr>
        <w:t>m</w:t>
      </w:r>
      <w:r w:rsidR="00F54C07">
        <w:rPr>
          <w:rFonts w:ascii="Arial Narrow" w:hAnsi="Arial Narrow" w:cs="Times New Roman"/>
          <w:sz w:val="22"/>
          <w:szCs w:val="22"/>
        </w:rPr>
        <w:t>o</w:t>
      </w:r>
      <w:r w:rsidR="002829E9">
        <w:rPr>
          <w:rFonts w:ascii="Arial Narrow" w:hAnsi="Arial Narrow" w:cs="Times New Roman"/>
          <w:sz w:val="22"/>
          <w:szCs w:val="22"/>
        </w:rPr>
        <w:t>n</w:t>
      </w:r>
      <w:r w:rsidR="00F54C07">
        <w:rPr>
          <w:rFonts w:ascii="Arial Narrow" w:hAnsi="Arial Narrow" w:cs="Times New Roman"/>
          <w:sz w:val="22"/>
          <w:szCs w:val="22"/>
        </w:rPr>
        <w:t>izácie s minimálnymi sadzbami v EÚ a</w:t>
      </w:r>
      <w:r w:rsidRPr="0054737E">
        <w:rPr>
          <w:rFonts w:ascii="Arial Narrow" w:hAnsi="Arial Narrow" w:cs="Times New Roman"/>
          <w:sz w:val="22"/>
          <w:szCs w:val="22"/>
        </w:rPr>
        <w:t xml:space="preserve"> zavedenie eura). Po roku 2010 </w:t>
      </w:r>
      <w:r w:rsidR="00F54C07">
        <w:rPr>
          <w:rFonts w:ascii="Arial Narrow" w:hAnsi="Arial Narrow" w:cs="Times New Roman"/>
          <w:sz w:val="22"/>
          <w:szCs w:val="22"/>
        </w:rPr>
        <w:t>sa očakáva</w:t>
      </w:r>
      <w:r w:rsidRPr="0054737E">
        <w:rPr>
          <w:rFonts w:ascii="Arial Narrow" w:hAnsi="Arial Narrow" w:cs="Times New Roman"/>
          <w:sz w:val="22"/>
          <w:szCs w:val="22"/>
        </w:rPr>
        <w:t xml:space="preserve"> zvýšenie inflácie z titulu rýchlejšej cenovej konvergencie Slovenska k cenovej úrovni EÚ pri absencii kurzového kaná</w:t>
      </w:r>
      <w:r w:rsidRPr="0054737E">
        <w:rPr>
          <w:rFonts w:ascii="Arial Narrow" w:hAnsi="Arial Narrow" w:cs="Times New Roman"/>
          <w:sz w:val="22"/>
          <w:szCs w:val="22"/>
        </w:rPr>
        <w:t>la.</w:t>
      </w:r>
      <w:r>
        <w:rPr>
          <w:rFonts w:ascii="Arial Narrow" w:hAnsi="Arial Narrow" w:cs="Times New Roman"/>
          <w:sz w:val="22"/>
          <w:szCs w:val="22"/>
        </w:rPr>
        <w:t xml:space="preserve"> </w:t>
      </w:r>
      <w:r w:rsidRPr="009C09FA">
        <w:rPr>
          <w:rFonts w:ascii="Arial Narrow" w:hAnsi="Arial Narrow" w:cs="Times New Roman"/>
          <w:sz w:val="22"/>
          <w:szCs w:val="22"/>
        </w:rPr>
        <w:t xml:space="preserve">Deficit bežného účtu, aj keď si zachováva doteraz očakávaný pozitívny trend, sa bude znižovať o čosi pomalšie. Odrážať bude silnejší rast spotreby </w:t>
      </w:r>
      <w:r w:rsidR="002829E9">
        <w:rPr>
          <w:rFonts w:ascii="Arial Narrow" w:hAnsi="Arial Narrow" w:cs="Times New Roman"/>
          <w:sz w:val="22"/>
          <w:szCs w:val="22"/>
        </w:rPr>
        <w:t>s</w:t>
      </w:r>
      <w:r w:rsidRPr="009C09FA">
        <w:rPr>
          <w:rFonts w:ascii="Arial Narrow" w:hAnsi="Arial Narrow" w:cs="Times New Roman"/>
          <w:sz w:val="22"/>
          <w:szCs w:val="22"/>
        </w:rPr>
        <w:t> mierne vyšš</w:t>
      </w:r>
      <w:r w:rsidR="0082164A">
        <w:rPr>
          <w:rFonts w:ascii="Arial Narrow" w:hAnsi="Arial Narrow" w:cs="Times New Roman"/>
          <w:sz w:val="22"/>
          <w:szCs w:val="22"/>
        </w:rPr>
        <w:t>ími</w:t>
      </w:r>
      <w:r w:rsidRPr="009C09FA">
        <w:rPr>
          <w:rFonts w:ascii="Arial Narrow" w:hAnsi="Arial Narrow" w:cs="Times New Roman"/>
          <w:sz w:val="22"/>
          <w:szCs w:val="22"/>
        </w:rPr>
        <w:t xml:space="preserve"> tlak</w:t>
      </w:r>
      <w:r w:rsidR="0082164A">
        <w:rPr>
          <w:rFonts w:ascii="Arial Narrow" w:hAnsi="Arial Narrow" w:cs="Times New Roman"/>
          <w:sz w:val="22"/>
          <w:szCs w:val="22"/>
        </w:rPr>
        <w:t>mi</w:t>
      </w:r>
      <w:r w:rsidRPr="009C09FA">
        <w:rPr>
          <w:rFonts w:ascii="Arial Narrow" w:hAnsi="Arial Narrow" w:cs="Times New Roman"/>
          <w:sz w:val="22"/>
          <w:szCs w:val="22"/>
        </w:rPr>
        <w:t xml:space="preserve"> na dovozy a tiež menej priaznivé vonkajšie podmienky pre export SR. </w:t>
      </w:r>
    </w:p>
    <w:p w:rsidR="000E060D" w:rsidRPr="009C09FA" w:rsidP="000E060D">
      <w:pPr>
        <w:ind w:firstLine="708"/>
        <w:jc w:val="both"/>
        <w:rPr>
          <w:rFonts w:ascii="Arial Narrow" w:hAnsi="Arial Narrow" w:cs="Times New Roman"/>
          <w:sz w:val="22"/>
          <w:szCs w:val="22"/>
        </w:rPr>
      </w:pPr>
    </w:p>
    <w:p w:rsidR="000E060D" w:rsidP="000E060D">
      <w:pPr>
        <w:ind w:firstLine="708"/>
        <w:jc w:val="both"/>
        <w:rPr>
          <w:rFonts w:ascii="Arial Narrow" w:hAnsi="Arial Narrow" w:cs="Times New Roman"/>
          <w:sz w:val="22"/>
          <w:szCs w:val="22"/>
        </w:rPr>
      </w:pPr>
      <w:r w:rsidRPr="009C09FA">
        <w:rPr>
          <w:rFonts w:ascii="Arial Narrow" w:hAnsi="Arial Narrow" w:cs="Times New Roman"/>
          <w:sz w:val="22"/>
          <w:szCs w:val="22"/>
        </w:rPr>
        <w:t>Aktualizova</w:t>
      </w:r>
      <w:r w:rsidRPr="009C09FA">
        <w:rPr>
          <w:rFonts w:ascii="Arial Narrow" w:hAnsi="Arial Narrow" w:cs="Times New Roman"/>
          <w:sz w:val="22"/>
          <w:szCs w:val="22"/>
        </w:rPr>
        <w:t>ná prognóza do ro</w:t>
      </w:r>
      <w:r>
        <w:rPr>
          <w:rFonts w:ascii="Arial Narrow" w:hAnsi="Arial Narrow" w:cs="Times New Roman"/>
          <w:sz w:val="22"/>
          <w:szCs w:val="22"/>
        </w:rPr>
        <w:t xml:space="preserve">ku 2011 vo väčšine ukazovateľov (výnimkou je hlavne miera inflácie) </w:t>
      </w:r>
      <w:r w:rsidRPr="002F48AA">
        <w:rPr>
          <w:rFonts w:ascii="Arial Narrow" w:hAnsi="Arial Narrow" w:cs="Times New Roman"/>
          <w:b/>
          <w:i/>
          <w:sz w:val="22"/>
          <w:szCs w:val="22"/>
        </w:rPr>
        <w:t>potvrdzuje základné trendy a charakter strednodobého vývoja</w:t>
      </w:r>
      <w:r w:rsidRPr="009C09FA">
        <w:rPr>
          <w:rFonts w:ascii="Arial Narrow" w:hAnsi="Arial Narrow" w:cs="Times New Roman"/>
          <w:sz w:val="22"/>
          <w:szCs w:val="22"/>
        </w:rPr>
        <w:t>, ktoré sa predpokladali pri tvorbe viacročného rozpočtu na roky 2008</w:t>
      </w:r>
      <w:r>
        <w:rPr>
          <w:rFonts w:ascii="Arial Narrow" w:hAnsi="Arial Narrow" w:cs="Times New Roman"/>
          <w:sz w:val="22"/>
          <w:szCs w:val="22"/>
        </w:rPr>
        <w:t xml:space="preserve"> až </w:t>
      </w:r>
      <w:r w:rsidRPr="009C09FA">
        <w:rPr>
          <w:rFonts w:ascii="Arial Narrow" w:hAnsi="Arial Narrow" w:cs="Times New Roman"/>
          <w:sz w:val="22"/>
          <w:szCs w:val="22"/>
        </w:rPr>
        <w:t>2010 a ktoré sa prezentovali aj pri aktualizácii konvergenčného programu SR do roku 2010 (november 2007), a to:</w:t>
      </w:r>
    </w:p>
    <w:p w:rsidR="000E060D" w:rsidRPr="00D97897" w:rsidP="000E060D">
      <w:pPr>
        <w:ind w:firstLine="708"/>
        <w:jc w:val="both"/>
        <w:rPr>
          <w:rFonts w:ascii="Arial Narrow" w:hAnsi="Arial Narrow" w:cs="Times New Roman"/>
          <w:sz w:val="22"/>
          <w:szCs w:val="22"/>
        </w:rPr>
      </w:pPr>
    </w:p>
    <w:p w:rsidR="000E060D" w:rsidRPr="009C09FA" w:rsidP="000E060D">
      <w:pPr>
        <w:numPr>
          <w:ilvl w:val="0"/>
          <w:numId w:val="2"/>
        </w:numPr>
        <w:tabs>
          <w:tab w:val="left" w:pos="284"/>
        </w:tabs>
        <w:autoSpaceDE/>
        <w:autoSpaceDN/>
        <w:jc w:val="both"/>
        <w:rPr>
          <w:rFonts w:ascii="Arial Narrow" w:hAnsi="Arial Narrow" w:cs="Times New Roman"/>
          <w:sz w:val="22"/>
          <w:szCs w:val="22"/>
        </w:rPr>
      </w:pPr>
      <w:r>
        <w:rPr>
          <w:rFonts w:ascii="Arial Narrow" w:hAnsi="Arial Narrow" w:cs="Times New Roman"/>
          <w:sz w:val="22"/>
          <w:szCs w:val="22"/>
        </w:rPr>
        <w:t xml:space="preserve">zmierňujúci sa, ale stále </w:t>
      </w:r>
      <w:r w:rsidRPr="00313FFD">
        <w:rPr>
          <w:rFonts w:ascii="Arial Narrow" w:hAnsi="Arial Narrow" w:cs="Times New Roman"/>
          <w:b/>
          <w:sz w:val="22"/>
          <w:szCs w:val="22"/>
        </w:rPr>
        <w:t>vysoký rast HDP</w:t>
      </w:r>
      <w:r w:rsidRPr="00CE0B1D">
        <w:rPr>
          <w:rFonts w:ascii="Arial Narrow" w:hAnsi="Arial Narrow" w:cs="Times New Roman"/>
          <w:sz w:val="22"/>
          <w:szCs w:val="22"/>
        </w:rPr>
        <w:t>, ktorý neohrozuje rovnovážny vývoj ekonomiky</w:t>
      </w:r>
      <w:r>
        <w:rPr>
          <w:rFonts w:ascii="Arial Narrow" w:hAnsi="Arial Narrow" w:cs="Times New Roman"/>
          <w:sz w:val="22"/>
          <w:szCs w:val="22"/>
        </w:rPr>
        <w:t xml:space="preserve">; </w:t>
      </w:r>
      <w:r w:rsidRPr="009C09FA">
        <w:rPr>
          <w:rFonts w:ascii="Arial Narrow" w:hAnsi="Arial Narrow" w:cs="Times New Roman"/>
          <w:sz w:val="22"/>
          <w:szCs w:val="22"/>
        </w:rPr>
        <w:t xml:space="preserve">v rokoch 2008 </w:t>
      </w:r>
      <w:r>
        <w:rPr>
          <w:rFonts w:ascii="Arial Narrow" w:hAnsi="Arial Narrow" w:cs="Times New Roman"/>
          <w:sz w:val="22"/>
          <w:szCs w:val="22"/>
        </w:rPr>
        <w:t xml:space="preserve">až 2010 </w:t>
      </w:r>
      <w:r w:rsidRPr="009C09FA">
        <w:rPr>
          <w:rFonts w:ascii="Arial Narrow" w:hAnsi="Arial Narrow" w:cs="Times New Roman"/>
          <w:sz w:val="22"/>
          <w:szCs w:val="22"/>
        </w:rPr>
        <w:t>možno očakávať výkon ekonomiky mierne nad úrovňou potenciálneho produktu</w:t>
      </w:r>
      <w:r w:rsidRPr="009C09FA">
        <w:rPr>
          <w:rFonts w:ascii="Arial Narrow" w:hAnsi="Arial Narrow" w:cs="Times New Roman"/>
          <w:sz w:val="22"/>
          <w:szCs w:val="22"/>
        </w:rPr>
        <w:t>, v strednodobom horizont</w:t>
      </w:r>
      <w:r>
        <w:rPr>
          <w:rFonts w:ascii="Arial Narrow" w:hAnsi="Arial Narrow" w:cs="Times New Roman"/>
          <w:sz w:val="22"/>
          <w:szCs w:val="22"/>
        </w:rPr>
        <w:t>e sa produkčná medzera uzatvorí</w:t>
      </w:r>
      <w:r w:rsidRPr="009C09FA">
        <w:rPr>
          <w:rFonts w:ascii="Arial Narrow" w:hAnsi="Arial Narrow" w:cs="Times New Roman"/>
          <w:sz w:val="22"/>
          <w:szCs w:val="22"/>
        </w:rPr>
        <w:t>;</w:t>
      </w:r>
    </w:p>
    <w:p w:rsidR="000E060D" w:rsidRPr="00C80E22" w:rsidP="000E060D">
      <w:pPr>
        <w:numPr>
          <w:ilvl w:val="0"/>
          <w:numId w:val="2"/>
        </w:numPr>
        <w:tabs>
          <w:tab w:val="left" w:pos="284"/>
        </w:tabs>
        <w:autoSpaceDE/>
        <w:autoSpaceDN/>
        <w:jc w:val="both"/>
        <w:rPr>
          <w:rFonts w:ascii="Arial Narrow" w:hAnsi="Arial Narrow" w:cs="Times New Roman"/>
          <w:sz w:val="22"/>
          <w:szCs w:val="22"/>
        </w:rPr>
      </w:pPr>
      <w:r w:rsidRPr="00C80E22">
        <w:rPr>
          <w:rFonts w:ascii="Arial Narrow" w:hAnsi="Arial Narrow" w:cs="Times New Roman"/>
          <w:sz w:val="22"/>
          <w:szCs w:val="22"/>
        </w:rPr>
        <w:t xml:space="preserve">rast založený na </w:t>
      </w:r>
      <w:r w:rsidRPr="00313FFD">
        <w:rPr>
          <w:rFonts w:ascii="Arial Narrow" w:hAnsi="Arial Narrow" w:cs="Times New Roman"/>
          <w:b/>
          <w:sz w:val="22"/>
          <w:szCs w:val="22"/>
        </w:rPr>
        <w:t>zmenách kvalitatívneho charakteru</w:t>
      </w:r>
      <w:r w:rsidRPr="00C80E22">
        <w:rPr>
          <w:rFonts w:ascii="Arial Narrow" w:hAnsi="Arial Narrow" w:cs="Times New Roman"/>
          <w:sz w:val="22"/>
          <w:szCs w:val="22"/>
        </w:rPr>
        <w:t xml:space="preserve"> – na zvyšovaní celkovej produktivity výrobných faktorov a  konkurencieschopnosti, najmä vplyvom pôsobenia </w:t>
      </w:r>
      <w:r>
        <w:rPr>
          <w:rFonts w:ascii="Arial Narrow" w:hAnsi="Arial Narrow" w:cs="Times New Roman"/>
          <w:sz w:val="22"/>
          <w:szCs w:val="22"/>
        </w:rPr>
        <w:t>doznievajúcich PZI, ako aj implementáciou štrukturálnych politík a akčných plánov v súlade s Národným programom reforiem a Modernizačným programom Slovensko 21;</w:t>
      </w:r>
    </w:p>
    <w:p w:rsidR="000E060D" w:rsidRPr="0054737E" w:rsidP="000E060D">
      <w:pPr>
        <w:numPr>
          <w:ilvl w:val="0"/>
          <w:numId w:val="2"/>
        </w:numPr>
        <w:tabs>
          <w:tab w:val="left" w:pos="284"/>
        </w:tabs>
        <w:autoSpaceDE/>
        <w:autoSpaceDN/>
        <w:jc w:val="both"/>
        <w:rPr>
          <w:rFonts w:ascii="Arial Narrow" w:hAnsi="Arial Narrow" w:cs="Times New Roman"/>
          <w:sz w:val="22"/>
          <w:szCs w:val="22"/>
        </w:rPr>
      </w:pPr>
      <w:r w:rsidRPr="00C80E22">
        <w:rPr>
          <w:rFonts w:ascii="Arial Narrow" w:hAnsi="Arial Narrow" w:cs="Times New Roman"/>
          <w:sz w:val="22"/>
          <w:szCs w:val="22"/>
        </w:rPr>
        <w:t xml:space="preserve">rast stimulovaný </w:t>
      </w:r>
      <w:r w:rsidRPr="00313FFD">
        <w:rPr>
          <w:rFonts w:ascii="Arial Narrow" w:hAnsi="Arial Narrow" w:cs="Times New Roman"/>
          <w:b/>
          <w:sz w:val="22"/>
          <w:szCs w:val="22"/>
        </w:rPr>
        <w:t>nielen domácim</w:t>
      </w:r>
      <w:r>
        <w:rPr>
          <w:rFonts w:ascii="Arial Narrow" w:hAnsi="Arial Narrow" w:cs="Times New Roman"/>
          <w:b/>
          <w:sz w:val="22"/>
          <w:szCs w:val="22"/>
        </w:rPr>
        <w:t xml:space="preserve"> dopytom</w:t>
      </w:r>
      <w:r w:rsidRPr="00C80E22">
        <w:rPr>
          <w:rFonts w:ascii="Arial Narrow" w:hAnsi="Arial Narrow" w:cs="Times New Roman"/>
          <w:sz w:val="22"/>
          <w:szCs w:val="22"/>
        </w:rPr>
        <w:t xml:space="preserve"> (spotrebou a investíciami) </w:t>
      </w:r>
      <w:r w:rsidRPr="00313FFD">
        <w:rPr>
          <w:rFonts w:ascii="Arial Narrow" w:hAnsi="Arial Narrow" w:cs="Times New Roman"/>
          <w:b/>
          <w:sz w:val="22"/>
          <w:szCs w:val="22"/>
        </w:rPr>
        <w:t>ale aj zahraničným</w:t>
      </w:r>
      <w:r w:rsidR="0082164A">
        <w:rPr>
          <w:rFonts w:ascii="Arial Narrow" w:hAnsi="Arial Narrow" w:cs="Times New Roman"/>
          <w:b/>
          <w:sz w:val="22"/>
          <w:szCs w:val="22"/>
        </w:rPr>
        <w:t xml:space="preserve"> dopytom</w:t>
      </w:r>
      <w:r w:rsidRPr="00C80E22">
        <w:rPr>
          <w:rFonts w:ascii="Arial Narrow" w:hAnsi="Arial Narrow" w:cs="Times New Roman"/>
          <w:sz w:val="22"/>
          <w:szCs w:val="22"/>
        </w:rPr>
        <w:t xml:space="preserve">, s kladným </w:t>
      </w:r>
      <w:r w:rsidRPr="0054737E">
        <w:rPr>
          <w:rFonts w:ascii="Arial Narrow" w:hAnsi="Arial Narrow" w:cs="Times New Roman"/>
          <w:sz w:val="22"/>
          <w:szCs w:val="22"/>
        </w:rPr>
        <w:t>reálnym príspevkom čistého zahraničného dopytu v celom prognózovanom období;</w:t>
      </w:r>
    </w:p>
    <w:p w:rsidR="000E060D" w:rsidRPr="0054737E" w:rsidP="000E060D">
      <w:pPr>
        <w:numPr>
          <w:ilvl w:val="0"/>
          <w:numId w:val="2"/>
        </w:numPr>
        <w:tabs>
          <w:tab w:val="left" w:pos="284"/>
        </w:tabs>
        <w:autoSpaceDE/>
        <w:autoSpaceDN/>
        <w:jc w:val="both"/>
        <w:rPr>
          <w:rFonts w:ascii="Arial Narrow" w:hAnsi="Arial Narrow" w:cs="Times New Roman"/>
          <w:sz w:val="22"/>
          <w:szCs w:val="22"/>
        </w:rPr>
      </w:pPr>
      <w:r w:rsidRPr="0054737E">
        <w:rPr>
          <w:rFonts w:ascii="Arial Narrow" w:hAnsi="Arial Narrow" w:cs="Times New Roman"/>
          <w:sz w:val="22"/>
          <w:szCs w:val="22"/>
        </w:rPr>
        <w:t xml:space="preserve">rast </w:t>
      </w:r>
      <w:r w:rsidRPr="0054737E">
        <w:rPr>
          <w:rFonts w:ascii="Arial Narrow" w:hAnsi="Arial Narrow" w:cs="Times New Roman"/>
          <w:b/>
          <w:bCs/>
          <w:sz w:val="22"/>
          <w:szCs w:val="22"/>
        </w:rPr>
        <w:t xml:space="preserve">priemernej </w:t>
      </w:r>
      <w:r w:rsidRPr="0082164A" w:rsidR="0082164A">
        <w:rPr>
          <w:rFonts w:ascii="Arial Narrow" w:hAnsi="Arial Narrow" w:cs="Times New Roman"/>
          <w:bCs/>
          <w:sz w:val="22"/>
          <w:szCs w:val="22"/>
        </w:rPr>
        <w:t>reálnej</w:t>
      </w:r>
      <w:r w:rsidR="0082164A">
        <w:rPr>
          <w:rFonts w:ascii="Arial Narrow" w:hAnsi="Arial Narrow" w:cs="Times New Roman"/>
          <w:b/>
          <w:bCs/>
          <w:sz w:val="22"/>
          <w:szCs w:val="22"/>
        </w:rPr>
        <w:t xml:space="preserve"> </w:t>
      </w:r>
      <w:r w:rsidRPr="0054737E">
        <w:rPr>
          <w:rFonts w:ascii="Arial Narrow" w:hAnsi="Arial Narrow" w:cs="Times New Roman"/>
          <w:b/>
          <w:bCs/>
          <w:sz w:val="22"/>
          <w:szCs w:val="22"/>
        </w:rPr>
        <w:t>mzdy</w:t>
      </w:r>
      <w:r w:rsidRPr="0054737E">
        <w:rPr>
          <w:rFonts w:ascii="Arial Narrow" w:hAnsi="Arial Narrow" w:cs="Times New Roman"/>
          <w:sz w:val="22"/>
          <w:szCs w:val="22"/>
        </w:rPr>
        <w:t xml:space="preserve"> </w:t>
      </w:r>
      <w:r>
        <w:rPr>
          <w:rFonts w:ascii="Arial Narrow" w:hAnsi="Arial Narrow" w:cs="Times New Roman"/>
          <w:sz w:val="22"/>
          <w:szCs w:val="22"/>
        </w:rPr>
        <w:t xml:space="preserve">približujúci sa k rastu </w:t>
      </w:r>
      <w:r w:rsidR="0082164A">
        <w:rPr>
          <w:rFonts w:ascii="Arial Narrow" w:hAnsi="Arial Narrow" w:cs="Times New Roman"/>
          <w:sz w:val="22"/>
          <w:szCs w:val="22"/>
        </w:rPr>
        <w:t xml:space="preserve">reálnej </w:t>
      </w:r>
      <w:r>
        <w:rPr>
          <w:rFonts w:ascii="Arial Narrow" w:hAnsi="Arial Narrow" w:cs="Times New Roman"/>
          <w:sz w:val="22"/>
          <w:szCs w:val="22"/>
        </w:rPr>
        <w:t xml:space="preserve">produktivity </w:t>
      </w:r>
      <w:r w:rsidR="0082164A">
        <w:rPr>
          <w:rFonts w:ascii="Arial Narrow" w:hAnsi="Arial Narrow" w:cs="Times New Roman"/>
          <w:sz w:val="22"/>
          <w:szCs w:val="22"/>
        </w:rPr>
        <w:t xml:space="preserve">práce, ktorej dosiahnutie predpokladáme v roku 2011 a s tým súvisiaci zvyšujúci sa </w:t>
      </w:r>
      <w:r>
        <w:rPr>
          <w:rFonts w:ascii="Arial Narrow" w:hAnsi="Arial Narrow" w:cs="Times New Roman"/>
          <w:sz w:val="22"/>
          <w:szCs w:val="22"/>
        </w:rPr>
        <w:t xml:space="preserve">rast životnej úrovne; </w:t>
      </w:r>
    </w:p>
    <w:p w:rsidR="000E060D" w:rsidRPr="00E337D2" w:rsidP="000E060D">
      <w:pPr>
        <w:numPr>
          <w:ilvl w:val="0"/>
          <w:numId w:val="2"/>
        </w:numPr>
        <w:tabs>
          <w:tab w:val="left" w:pos="284"/>
        </w:tabs>
        <w:jc w:val="both"/>
        <w:rPr>
          <w:rFonts w:ascii="Arial Narrow" w:hAnsi="Arial Narrow" w:cs="Times New Roman"/>
          <w:sz w:val="22"/>
          <w:szCs w:val="22"/>
        </w:rPr>
      </w:pPr>
      <w:r w:rsidRPr="009C5E47">
        <w:rPr>
          <w:rFonts w:ascii="Arial Narrow" w:hAnsi="Arial Narrow" w:cs="Times New Roman"/>
          <w:sz w:val="22"/>
          <w:szCs w:val="22"/>
        </w:rPr>
        <w:t xml:space="preserve">postupné zlepšovanie </w:t>
      </w:r>
      <w:r w:rsidRPr="00313FFD">
        <w:rPr>
          <w:rFonts w:ascii="Arial Narrow" w:hAnsi="Arial Narrow" w:cs="Times New Roman"/>
          <w:b/>
          <w:sz w:val="22"/>
          <w:szCs w:val="22"/>
        </w:rPr>
        <w:t>bilancie bežného účtu</w:t>
      </w:r>
      <w:r w:rsidRPr="009C5E47">
        <w:rPr>
          <w:rFonts w:ascii="Arial Narrow" w:hAnsi="Arial Narrow" w:cs="Times New Roman"/>
          <w:sz w:val="22"/>
          <w:szCs w:val="22"/>
        </w:rPr>
        <w:t xml:space="preserve"> v rokoch 200</w:t>
      </w:r>
      <w:r>
        <w:rPr>
          <w:rFonts w:ascii="Arial Narrow" w:hAnsi="Arial Narrow" w:cs="Times New Roman"/>
          <w:sz w:val="22"/>
          <w:szCs w:val="22"/>
        </w:rPr>
        <w:t xml:space="preserve">9 až </w:t>
      </w:r>
      <w:r w:rsidRPr="009C5E47">
        <w:rPr>
          <w:rFonts w:ascii="Arial Narrow" w:hAnsi="Arial Narrow" w:cs="Times New Roman"/>
          <w:sz w:val="22"/>
          <w:szCs w:val="22"/>
        </w:rPr>
        <w:t>201</w:t>
      </w:r>
      <w:r>
        <w:rPr>
          <w:rFonts w:ascii="Arial Narrow" w:hAnsi="Arial Narrow" w:cs="Times New Roman"/>
          <w:sz w:val="22"/>
          <w:szCs w:val="22"/>
        </w:rPr>
        <w:t>1</w:t>
      </w:r>
      <w:r w:rsidRPr="009C5E47">
        <w:rPr>
          <w:rFonts w:ascii="Arial Narrow" w:hAnsi="Arial Narrow" w:cs="Times New Roman"/>
          <w:sz w:val="22"/>
          <w:szCs w:val="22"/>
        </w:rPr>
        <w:t>,</w:t>
      </w:r>
      <w:r>
        <w:rPr>
          <w:rFonts w:ascii="Arial Narrow" w:hAnsi="Arial Narrow" w:cs="Times New Roman"/>
          <w:sz w:val="22"/>
          <w:szCs w:val="22"/>
        </w:rPr>
        <w:t xml:space="preserve"> </w:t>
      </w:r>
      <w:r w:rsidR="001D4FCF">
        <w:rPr>
          <w:rFonts w:ascii="Arial Narrow" w:hAnsi="Arial Narrow" w:cs="Times New Roman"/>
          <w:sz w:val="22"/>
          <w:szCs w:val="22"/>
        </w:rPr>
        <w:t>najmä</w:t>
      </w:r>
      <w:r>
        <w:rPr>
          <w:rFonts w:ascii="Arial Narrow" w:hAnsi="Arial Narrow" w:cs="Times New Roman"/>
          <w:sz w:val="22"/>
          <w:szCs w:val="22"/>
        </w:rPr>
        <w:t xml:space="preserve"> </w:t>
      </w:r>
      <w:r w:rsidR="001D4FCF">
        <w:rPr>
          <w:rFonts w:ascii="Arial Narrow" w:hAnsi="Arial Narrow" w:cs="Times New Roman"/>
          <w:sz w:val="22"/>
          <w:szCs w:val="22"/>
        </w:rPr>
        <w:t xml:space="preserve">vplyvom </w:t>
      </w:r>
      <w:r w:rsidRPr="00EA5BE1">
        <w:rPr>
          <w:rFonts w:ascii="Arial Narrow" w:hAnsi="Arial Narrow" w:cs="Times New Roman"/>
          <w:sz w:val="22"/>
          <w:szCs w:val="22"/>
        </w:rPr>
        <w:t>výrazné</w:t>
      </w:r>
      <w:r>
        <w:rPr>
          <w:rFonts w:ascii="Arial Narrow" w:hAnsi="Arial Narrow" w:cs="Times New Roman"/>
          <w:sz w:val="22"/>
          <w:szCs w:val="22"/>
        </w:rPr>
        <w:t>ho zlepšovania</w:t>
      </w:r>
      <w:r w:rsidRPr="009C5E47">
        <w:rPr>
          <w:rFonts w:ascii="Arial Narrow" w:hAnsi="Arial Narrow" w:cs="Times New Roman"/>
          <w:sz w:val="22"/>
          <w:szCs w:val="22"/>
        </w:rPr>
        <w:t xml:space="preserve"> v tovarovej bil</w:t>
      </w:r>
      <w:r>
        <w:rPr>
          <w:rFonts w:ascii="Arial Narrow" w:hAnsi="Arial Narrow" w:cs="Times New Roman"/>
          <w:sz w:val="22"/>
          <w:szCs w:val="22"/>
        </w:rPr>
        <w:t>ancii</w:t>
      </w:r>
      <w:r w:rsidRPr="00E337D2">
        <w:rPr>
          <w:rFonts w:ascii="Arial Narrow" w:hAnsi="Arial Narrow" w:cs="Times New Roman"/>
          <w:sz w:val="22"/>
          <w:szCs w:val="22"/>
        </w:rPr>
        <w:t>;</w:t>
      </w:r>
    </w:p>
    <w:p w:rsidR="001D4FCF" w:rsidP="000E060D">
      <w:pPr>
        <w:numPr>
          <w:ilvl w:val="0"/>
          <w:numId w:val="2"/>
        </w:numPr>
        <w:tabs>
          <w:tab w:val="left" w:pos="284"/>
        </w:tabs>
        <w:autoSpaceDE/>
        <w:autoSpaceDN/>
        <w:jc w:val="both"/>
        <w:rPr>
          <w:rFonts w:ascii="Arial Narrow" w:hAnsi="Arial Narrow" w:cs="Times New Roman"/>
          <w:sz w:val="22"/>
          <w:szCs w:val="22"/>
        </w:rPr>
      </w:pPr>
      <w:r w:rsidRPr="00313FFD" w:rsidR="000E060D">
        <w:rPr>
          <w:rFonts w:ascii="Arial Narrow" w:hAnsi="Arial Narrow" w:cs="Times New Roman"/>
          <w:sz w:val="22"/>
          <w:szCs w:val="22"/>
        </w:rPr>
        <w:t xml:space="preserve">rast </w:t>
      </w:r>
      <w:r w:rsidRPr="00313FFD" w:rsidR="000E060D">
        <w:rPr>
          <w:rFonts w:ascii="Arial Narrow" w:hAnsi="Arial Narrow" w:cs="Times New Roman"/>
          <w:b/>
          <w:bCs/>
          <w:sz w:val="22"/>
          <w:szCs w:val="22"/>
        </w:rPr>
        <w:t>štrukturálnej zamestnanosti</w:t>
      </w:r>
      <w:r w:rsidR="000E060D">
        <w:rPr>
          <w:rFonts w:ascii="Arial Narrow" w:hAnsi="Arial Narrow" w:cs="Times New Roman"/>
          <w:sz w:val="22"/>
          <w:szCs w:val="22"/>
        </w:rPr>
        <w:t xml:space="preserve"> korešpondujúci</w:t>
      </w:r>
      <w:r w:rsidRPr="00313FFD" w:rsidR="000E060D">
        <w:rPr>
          <w:rFonts w:ascii="Arial Narrow" w:hAnsi="Arial Narrow" w:cs="Times New Roman"/>
          <w:sz w:val="22"/>
          <w:szCs w:val="22"/>
        </w:rPr>
        <w:t xml:space="preserve"> s tvorbou nových pracovných príležitostí</w:t>
      </w:r>
      <w:r w:rsidR="000E060D">
        <w:rPr>
          <w:rFonts w:ascii="Arial Narrow" w:hAnsi="Arial Narrow" w:cs="Times New Roman"/>
          <w:sz w:val="22"/>
          <w:szCs w:val="22"/>
        </w:rPr>
        <w:t>,</w:t>
      </w:r>
      <w:r w:rsidRPr="00313FFD" w:rsidR="000E060D">
        <w:rPr>
          <w:rFonts w:ascii="Arial Narrow" w:hAnsi="Arial Narrow" w:cs="Times New Roman"/>
          <w:sz w:val="22"/>
          <w:szCs w:val="22"/>
        </w:rPr>
        <w:t xml:space="preserve"> súvisiacich so zakladaním a rozširovaním výrob (predpokladaný pozitívny </w:t>
      </w:r>
      <w:r w:rsidRPr="00313FFD" w:rsidR="000E060D">
        <w:rPr>
          <w:rFonts w:ascii="Arial Narrow" w:hAnsi="Arial Narrow" w:cs="Times New Roman"/>
          <w:sz w:val="22"/>
          <w:szCs w:val="22"/>
        </w:rPr>
        <w:t>vplyv PZI)</w:t>
      </w:r>
      <w:r>
        <w:rPr>
          <w:rFonts w:ascii="Arial Narrow" w:hAnsi="Arial Narrow" w:cs="Times New Roman"/>
          <w:sz w:val="22"/>
          <w:szCs w:val="22"/>
        </w:rPr>
        <w:t>;</w:t>
      </w:r>
      <w:r w:rsidRPr="00313FFD" w:rsidR="000E060D">
        <w:rPr>
          <w:rFonts w:ascii="Arial Narrow" w:hAnsi="Arial Narrow" w:cs="Times New Roman"/>
          <w:sz w:val="22"/>
          <w:szCs w:val="22"/>
        </w:rPr>
        <w:t xml:space="preserve"> </w:t>
      </w:r>
    </w:p>
    <w:p w:rsidR="000E060D" w:rsidRPr="00313FFD" w:rsidP="000E060D">
      <w:pPr>
        <w:numPr>
          <w:ilvl w:val="0"/>
          <w:numId w:val="2"/>
        </w:numPr>
        <w:tabs>
          <w:tab w:val="left" w:pos="284"/>
        </w:tabs>
        <w:autoSpaceDE/>
        <w:autoSpaceDN/>
        <w:jc w:val="both"/>
        <w:rPr>
          <w:rFonts w:ascii="Arial Narrow" w:hAnsi="Arial Narrow" w:cs="Times New Roman"/>
          <w:sz w:val="22"/>
          <w:szCs w:val="22"/>
        </w:rPr>
      </w:pPr>
      <w:r w:rsidRPr="00313FFD">
        <w:rPr>
          <w:rFonts w:ascii="Arial Narrow" w:hAnsi="Arial Narrow" w:cs="Times New Roman"/>
          <w:sz w:val="22"/>
          <w:szCs w:val="22"/>
        </w:rPr>
        <w:t>ďalšie postupné znižovanie</w:t>
      </w:r>
      <w:r w:rsidRPr="00313FFD">
        <w:rPr>
          <w:rFonts w:ascii="Arial Narrow" w:hAnsi="Arial Narrow" w:cs="Times New Roman"/>
          <w:b/>
          <w:bCs/>
          <w:sz w:val="22"/>
          <w:szCs w:val="22"/>
        </w:rPr>
        <w:t xml:space="preserve"> miery nezamestnanosti</w:t>
      </w:r>
      <w:r>
        <w:rPr>
          <w:rFonts w:ascii="Arial Narrow" w:hAnsi="Arial Narrow" w:cs="Times New Roman"/>
          <w:b/>
          <w:bCs/>
          <w:sz w:val="22"/>
          <w:szCs w:val="22"/>
        </w:rPr>
        <w:t xml:space="preserve"> </w:t>
      </w:r>
      <w:r>
        <w:rPr>
          <w:rFonts w:ascii="Arial Narrow" w:hAnsi="Arial Narrow" w:cs="Times New Roman"/>
          <w:sz w:val="22"/>
          <w:szCs w:val="22"/>
        </w:rPr>
        <w:t>odrážajúce</w:t>
      </w:r>
      <w:r w:rsidRPr="00313FFD">
        <w:rPr>
          <w:rFonts w:ascii="Arial Narrow" w:hAnsi="Arial Narrow" w:cs="Times New Roman"/>
          <w:sz w:val="22"/>
          <w:szCs w:val="22"/>
        </w:rPr>
        <w:t xml:space="preserve"> viacero faktorov, najmä vytváranie nových pracovných miest, ale aj vývoj ekonomicky aktívneho obyvateľstva – nástup silnejších populačných ročníkov na trh práce a súčasné zvyšovanie </w:t>
      </w:r>
      <w:r w:rsidR="001D4FCF">
        <w:rPr>
          <w:rFonts w:ascii="Arial Narrow" w:hAnsi="Arial Narrow" w:cs="Times New Roman"/>
          <w:sz w:val="22"/>
          <w:szCs w:val="22"/>
        </w:rPr>
        <w:t>e</w:t>
      </w:r>
      <w:r w:rsidR="001D4FCF">
        <w:rPr>
          <w:rFonts w:ascii="Arial Narrow" w:hAnsi="Arial Narrow" w:cs="Times New Roman"/>
          <w:sz w:val="22"/>
          <w:szCs w:val="22"/>
        </w:rPr>
        <w:t xml:space="preserve">fektívneho dôchodkového </w:t>
      </w:r>
      <w:r w:rsidRPr="00313FFD">
        <w:rPr>
          <w:rFonts w:ascii="Arial Narrow" w:hAnsi="Arial Narrow" w:cs="Times New Roman"/>
          <w:sz w:val="22"/>
          <w:szCs w:val="22"/>
        </w:rPr>
        <w:t xml:space="preserve">veku </w:t>
      </w:r>
      <w:r w:rsidR="001D4FCF">
        <w:rPr>
          <w:rFonts w:ascii="Arial Narrow" w:hAnsi="Arial Narrow" w:cs="Times New Roman"/>
          <w:sz w:val="22"/>
          <w:szCs w:val="22"/>
        </w:rPr>
        <w:t>žien</w:t>
      </w:r>
      <w:r w:rsidRPr="00313FFD">
        <w:rPr>
          <w:rFonts w:ascii="Arial Narrow" w:hAnsi="Arial Narrow" w:cs="Times New Roman"/>
          <w:sz w:val="22"/>
          <w:szCs w:val="22"/>
        </w:rPr>
        <w:t>;</w:t>
      </w:r>
    </w:p>
    <w:p w:rsidR="000E060D" w:rsidRPr="00313FFD" w:rsidP="000E060D">
      <w:pPr>
        <w:numPr>
          <w:ilvl w:val="0"/>
          <w:numId w:val="2"/>
        </w:numPr>
        <w:tabs>
          <w:tab w:val="left" w:pos="284"/>
        </w:tabs>
        <w:autoSpaceDE/>
        <w:autoSpaceDN/>
        <w:jc w:val="both"/>
        <w:rPr>
          <w:rFonts w:ascii="Arial Narrow" w:hAnsi="Arial Narrow" w:cs="Times New Roman"/>
          <w:sz w:val="22"/>
          <w:szCs w:val="22"/>
        </w:rPr>
      </w:pPr>
      <w:r w:rsidRPr="00313FFD">
        <w:rPr>
          <w:rFonts w:ascii="Arial Narrow" w:hAnsi="Arial Narrow" w:cs="Times New Roman"/>
          <w:b/>
          <w:bCs/>
          <w:sz w:val="22"/>
          <w:szCs w:val="22"/>
        </w:rPr>
        <w:t>prílev fondov EÚ</w:t>
      </w:r>
      <w:r>
        <w:rPr>
          <w:rFonts w:ascii="Arial Narrow" w:hAnsi="Arial Narrow" w:cs="Times New Roman"/>
          <w:b/>
          <w:bCs/>
          <w:sz w:val="22"/>
          <w:szCs w:val="22"/>
        </w:rPr>
        <w:t xml:space="preserve"> </w:t>
      </w:r>
      <w:r w:rsidRPr="00313FFD">
        <w:rPr>
          <w:rFonts w:ascii="Arial Narrow" w:hAnsi="Arial Narrow" w:cs="Times New Roman"/>
          <w:sz w:val="22"/>
          <w:szCs w:val="22"/>
        </w:rPr>
        <w:t xml:space="preserve"> podpor</w:t>
      </w:r>
      <w:r>
        <w:rPr>
          <w:rFonts w:ascii="Arial Narrow" w:hAnsi="Arial Narrow" w:cs="Times New Roman"/>
          <w:sz w:val="22"/>
          <w:szCs w:val="22"/>
        </w:rPr>
        <w:t>ujúci</w:t>
      </w:r>
      <w:r w:rsidRPr="00313FFD">
        <w:rPr>
          <w:rFonts w:ascii="Arial Narrow" w:hAnsi="Arial Narrow" w:cs="Times New Roman"/>
          <w:sz w:val="22"/>
          <w:szCs w:val="22"/>
        </w:rPr>
        <w:t xml:space="preserve"> investície a čiastočne aj súkromnú a vládnu spotrebu.</w:t>
      </w:r>
    </w:p>
    <w:p w:rsidR="000E060D" w:rsidP="000E060D">
      <w:pPr>
        <w:jc w:val="both"/>
        <w:rPr>
          <w:rFonts w:ascii="Arial Narrow" w:hAnsi="Arial Narrow" w:cs="Arial"/>
          <w:b/>
          <w:bCs/>
          <w:iCs/>
          <w:sz w:val="22"/>
          <w:szCs w:val="22"/>
        </w:rPr>
      </w:pPr>
    </w:p>
    <w:p w:rsidR="000E060D" w:rsidP="000E060D">
      <w:pPr>
        <w:ind w:firstLine="708"/>
        <w:jc w:val="both"/>
        <w:rPr>
          <w:rFonts w:ascii="Arial Narrow" w:hAnsi="Arial Narrow" w:cs="Times New Roman"/>
          <w:sz w:val="22"/>
          <w:szCs w:val="22"/>
        </w:rPr>
      </w:pPr>
      <w:r w:rsidRPr="0036002F">
        <w:rPr>
          <w:rFonts w:ascii="Arial Narrow" w:hAnsi="Arial Narrow" w:cs="Times New Roman"/>
          <w:sz w:val="22"/>
          <w:szCs w:val="22"/>
        </w:rPr>
        <w:t>Medzi</w:t>
      </w:r>
      <w:r>
        <w:rPr>
          <w:rFonts w:ascii="Arial Narrow" w:hAnsi="Arial Narrow" w:cs="Times New Roman"/>
          <w:b/>
          <w:sz w:val="22"/>
          <w:szCs w:val="22"/>
        </w:rPr>
        <w:t xml:space="preserve"> r</w:t>
      </w:r>
      <w:r w:rsidRPr="00F963D2">
        <w:rPr>
          <w:rFonts w:ascii="Arial Narrow" w:hAnsi="Arial Narrow" w:cs="Times New Roman"/>
          <w:b/>
          <w:sz w:val="22"/>
          <w:szCs w:val="22"/>
        </w:rPr>
        <w:t>iziká</w:t>
      </w:r>
      <w:r w:rsidRPr="009D7B9B">
        <w:rPr>
          <w:rFonts w:ascii="Arial Narrow" w:hAnsi="Arial Narrow" w:cs="Times New Roman"/>
          <w:sz w:val="22"/>
          <w:szCs w:val="22"/>
        </w:rPr>
        <w:t xml:space="preserve"> prognózy </w:t>
      </w:r>
      <w:r>
        <w:rPr>
          <w:rFonts w:ascii="Arial Narrow" w:hAnsi="Arial Narrow" w:cs="Times New Roman"/>
          <w:sz w:val="22"/>
          <w:szCs w:val="22"/>
        </w:rPr>
        <w:t>patrí najmä vplyv vonkajšieho</w:t>
      </w:r>
      <w:r w:rsidRPr="009F6A82">
        <w:rPr>
          <w:rFonts w:ascii="Arial Narrow" w:hAnsi="Arial Narrow" w:cs="Times New Roman"/>
          <w:sz w:val="22"/>
          <w:szCs w:val="22"/>
        </w:rPr>
        <w:t xml:space="preserve"> prostredia na ekonomiku SR</w:t>
      </w:r>
      <w:r>
        <w:rPr>
          <w:rFonts w:ascii="Arial Narrow" w:hAnsi="Arial Narrow" w:cs="Times New Roman"/>
          <w:sz w:val="22"/>
          <w:szCs w:val="22"/>
        </w:rPr>
        <w:t xml:space="preserve">. Ďalší rast </w:t>
      </w:r>
      <w:r w:rsidRPr="00D4482C">
        <w:rPr>
          <w:rFonts w:ascii="Arial Narrow" w:hAnsi="Arial Narrow" w:cs="Times New Roman"/>
          <w:sz w:val="22"/>
          <w:szCs w:val="22"/>
        </w:rPr>
        <w:t xml:space="preserve">svetových cien </w:t>
      </w:r>
      <w:r w:rsidRPr="00216851">
        <w:rPr>
          <w:rFonts w:ascii="Arial Narrow" w:hAnsi="Arial Narrow" w:cs="Times New Roman"/>
          <w:sz w:val="22"/>
          <w:szCs w:val="22"/>
        </w:rPr>
        <w:t>energetických surovín</w:t>
      </w:r>
      <w:r>
        <w:rPr>
          <w:rFonts w:ascii="Arial Narrow" w:hAnsi="Arial Narrow" w:cs="Times New Roman"/>
          <w:sz w:val="22"/>
          <w:szCs w:val="22"/>
        </w:rPr>
        <w:t xml:space="preserve"> a potrav</w:t>
      </w:r>
      <w:r>
        <w:rPr>
          <w:rFonts w:ascii="Arial Narrow" w:hAnsi="Arial Narrow" w:cs="Times New Roman"/>
          <w:sz w:val="22"/>
          <w:szCs w:val="22"/>
        </w:rPr>
        <w:t>ín by mal nevyhnutne negatívny vplyv na infláciu SR. Slabší ekonomický rast hlavných obchodných partnerov v</w:t>
      </w:r>
      <w:r w:rsidR="001D4FCF">
        <w:rPr>
          <w:rFonts w:ascii="Arial Narrow" w:hAnsi="Arial Narrow" w:cs="Times New Roman"/>
          <w:sz w:val="22"/>
          <w:szCs w:val="22"/>
        </w:rPr>
        <w:t>plyvom</w:t>
      </w:r>
      <w:r>
        <w:rPr>
          <w:rFonts w:ascii="Arial Narrow" w:hAnsi="Arial Narrow" w:cs="Times New Roman"/>
          <w:sz w:val="22"/>
          <w:szCs w:val="22"/>
        </w:rPr>
        <w:t xml:space="preserve"> stále neistých dôsledkov finančnej krízy na reálnu ekonomiku by sa </w:t>
      </w:r>
      <w:r w:rsidR="001D4FCF">
        <w:rPr>
          <w:rFonts w:ascii="Arial Narrow" w:hAnsi="Arial Narrow" w:cs="Times New Roman"/>
          <w:sz w:val="22"/>
          <w:szCs w:val="22"/>
        </w:rPr>
        <w:t>mohol</w:t>
      </w:r>
      <w:r>
        <w:rPr>
          <w:rFonts w:ascii="Arial Narrow" w:hAnsi="Arial Narrow" w:cs="Times New Roman"/>
          <w:sz w:val="22"/>
          <w:szCs w:val="22"/>
        </w:rPr>
        <w:t xml:space="preserve"> odrazi</w:t>
      </w:r>
      <w:r w:rsidR="001D4FCF">
        <w:rPr>
          <w:rFonts w:ascii="Arial Narrow" w:hAnsi="Arial Narrow" w:cs="Times New Roman"/>
          <w:sz w:val="22"/>
          <w:szCs w:val="22"/>
        </w:rPr>
        <w:t>ť</w:t>
      </w:r>
      <w:r>
        <w:rPr>
          <w:rFonts w:ascii="Arial Narrow" w:hAnsi="Arial Narrow" w:cs="Times New Roman"/>
          <w:sz w:val="22"/>
          <w:szCs w:val="22"/>
        </w:rPr>
        <w:t xml:space="preserve"> v nižšom raste exportu, ktorý je v súčasnosti hlavným faktoro</w:t>
      </w:r>
      <w:r>
        <w:rPr>
          <w:rFonts w:ascii="Arial Narrow" w:hAnsi="Arial Narrow" w:cs="Times New Roman"/>
          <w:sz w:val="22"/>
          <w:szCs w:val="22"/>
        </w:rPr>
        <w:t>m rastu ekonomiky SR.</w:t>
      </w:r>
    </w:p>
    <w:p w:rsidR="000E060D" w:rsidP="000E060D">
      <w:pPr>
        <w:ind w:firstLine="708"/>
        <w:jc w:val="both"/>
        <w:rPr>
          <w:rFonts w:ascii="Arial Narrow" w:hAnsi="Arial Narrow" w:cs="Times New Roman"/>
          <w:sz w:val="22"/>
          <w:szCs w:val="22"/>
        </w:rPr>
      </w:pPr>
    </w:p>
    <w:p w:rsidR="000E060D" w:rsidRPr="00EA5BE1" w:rsidP="000E060D">
      <w:pPr>
        <w:pStyle w:val="BodyTextIndent"/>
        <w:ind w:left="0" w:firstLine="708"/>
        <w:jc w:val="both"/>
        <w:rPr>
          <w:rFonts w:ascii="Arial Narrow" w:hAnsi="Arial Narrow" w:cs="Times New Roman"/>
          <w:bCs/>
          <w:sz w:val="22"/>
          <w:szCs w:val="22"/>
        </w:rPr>
      </w:pPr>
      <w:r w:rsidRPr="00010E39">
        <w:rPr>
          <w:rFonts w:ascii="Arial Narrow" w:hAnsi="Arial Narrow" w:cs="Times New Roman"/>
          <w:bCs/>
          <w:sz w:val="22"/>
          <w:szCs w:val="22"/>
        </w:rPr>
        <w:t>Očakávaný vývoj hlavných makroekonomických indikátorov je obsiahnutý v nasledujúcej tabuľke</w:t>
      </w:r>
      <w:r w:rsidRPr="00331DFF">
        <w:rPr>
          <w:rFonts w:ascii="Arial Narrow" w:hAnsi="Arial Narrow" w:cs="Times New Roman"/>
          <w:bCs/>
          <w:sz w:val="22"/>
          <w:szCs w:val="22"/>
        </w:rPr>
        <w:t>:</w:t>
      </w:r>
      <w:r w:rsidRPr="00010E39">
        <w:rPr>
          <w:rFonts w:ascii="Arial Narrow" w:hAnsi="Arial Narrow" w:cs="Times New Roman"/>
          <w:bCs/>
          <w:sz w:val="22"/>
          <w:szCs w:val="22"/>
        </w:rPr>
        <w:t xml:space="preserve"> </w:t>
      </w:r>
      <w:bookmarkStart w:id="17" w:name="_Toc97700656"/>
    </w:p>
    <w:tbl>
      <w:tblPr>
        <w:tblW w:w="9625" w:type="dxa"/>
        <w:tblInd w:w="55" w:type="dxa"/>
        <w:tblCellMar>
          <w:left w:w="70" w:type="dxa"/>
          <w:right w:w="70" w:type="dxa"/>
        </w:tblCellMar>
      </w:tblPr>
      <w:tblGrid>
        <w:gridCol w:w="408"/>
        <w:gridCol w:w="3545"/>
        <w:gridCol w:w="682"/>
        <w:gridCol w:w="1278"/>
        <w:gridCol w:w="1021"/>
        <w:gridCol w:w="987"/>
        <w:gridCol w:w="986"/>
        <w:gridCol w:w="719"/>
      </w:tblGrid>
      <w:tr>
        <w:tblPrEx>
          <w:tblW w:w="9625" w:type="dxa"/>
          <w:tblInd w:w="55" w:type="dxa"/>
          <w:tblCellMar>
            <w:left w:w="70" w:type="dxa"/>
            <w:right w:w="70" w:type="dxa"/>
          </w:tblCellMar>
        </w:tblPrEx>
        <w:trPr>
          <w:trHeight w:val="284"/>
        </w:trPr>
        <w:tc>
          <w:tcPr>
            <w:tcW w:w="6933" w:type="dxa"/>
            <w:gridSpan w:val="5"/>
            <w:tcBorders>
              <w:top w:val="nil"/>
              <w:left w:val="single" w:sz="8" w:space="0" w:color="auto"/>
              <w:bottom w:val="nil"/>
              <w:right w:val="nil"/>
              <w:tl2br w:val="nil"/>
              <w:tr2bl w:val="nil"/>
            </w:tcBorders>
            <w:shd w:val="clear" w:color="auto" w:fill="000000"/>
            <w:noWrap/>
            <w:textDirection w:val="lrTb"/>
            <w:vAlign w:val="bottom"/>
          </w:tcPr>
          <w:p w:rsidR="000E060D" w:rsidRPr="00EA5BE1" w:rsidP="000E060D">
            <w:pPr>
              <w:rPr>
                <w:rFonts w:ascii="Arial Narrow" w:hAnsi="Arial Narrow" w:cs="Arial"/>
                <w:b/>
                <w:bCs/>
                <w:color w:val="FFFFFF"/>
                <w:sz w:val="18"/>
                <w:szCs w:val="18"/>
                <w:lang w:eastAsia="sk-SK"/>
              </w:rPr>
            </w:pPr>
            <w:r w:rsidRPr="00AF12A3">
              <w:rPr>
                <w:rFonts w:ascii="Arial Narrow" w:hAnsi="Arial Narrow" w:cs="Arial"/>
                <w:b/>
                <w:bCs/>
                <w:color w:val="FFFFFF"/>
                <w:sz w:val="18"/>
                <w:szCs w:val="18"/>
                <w:lang w:eastAsia="sk-SK"/>
              </w:rPr>
              <w:t> </w:t>
            </w:r>
            <w:r w:rsidRPr="00EA5BE1">
              <w:rPr>
                <w:rFonts w:ascii="Arial Narrow" w:hAnsi="Arial Narrow" w:cs="Arial"/>
                <w:b/>
                <w:bCs/>
                <w:color w:val="FFFFFF"/>
                <w:sz w:val="18"/>
                <w:szCs w:val="18"/>
                <w:lang w:eastAsia="sk-SK"/>
              </w:rPr>
              <w:t>Prognóza vybraných indikátorov vývoja ekonomiky SR (</w:t>
            </w:r>
            <w:r w:rsidR="009B715B">
              <w:rPr>
                <w:rFonts w:ascii="Arial Narrow" w:hAnsi="Arial Narrow" w:cs="Arial"/>
                <w:b/>
                <w:bCs/>
                <w:color w:val="FFFFFF"/>
                <w:sz w:val="18"/>
                <w:szCs w:val="18"/>
                <w:lang w:eastAsia="sk-SK"/>
              </w:rPr>
              <w:t>september</w:t>
            </w:r>
            <w:r w:rsidRPr="00EA5BE1">
              <w:rPr>
                <w:rFonts w:ascii="Arial Narrow" w:hAnsi="Arial Narrow" w:cs="Arial"/>
                <w:b/>
                <w:bCs/>
                <w:color w:val="FFFFFF"/>
                <w:sz w:val="18"/>
                <w:szCs w:val="18"/>
                <w:lang w:eastAsia="sk-SK"/>
              </w:rPr>
              <w:t xml:space="preserve"> 2008)</w:t>
            </w:r>
          </w:p>
        </w:tc>
        <w:tc>
          <w:tcPr>
            <w:tcW w:w="987" w:type="dxa"/>
            <w:tcBorders>
              <w:top w:val="nil"/>
              <w:left w:val="nil"/>
              <w:bottom w:val="nil"/>
              <w:right w:val="nil"/>
              <w:tl2br w:val="nil"/>
              <w:tr2bl w:val="nil"/>
            </w:tcBorders>
            <w:shd w:val="clear" w:color="auto" w:fill="000000"/>
            <w:noWrap/>
            <w:textDirection w:val="lrTb"/>
            <w:vAlign w:val="bottom"/>
          </w:tcPr>
          <w:p w:rsidR="000E060D" w:rsidRPr="00EA5BE1" w:rsidP="000E060D">
            <w:pPr>
              <w:rPr>
                <w:rFonts w:ascii="Arial Narrow" w:hAnsi="Arial Narrow" w:cs="Arial"/>
                <w:b/>
                <w:bCs/>
                <w:color w:val="FFFFFF"/>
                <w:sz w:val="18"/>
                <w:szCs w:val="18"/>
                <w:lang w:eastAsia="sk-SK"/>
              </w:rPr>
            </w:pPr>
            <w:r w:rsidRPr="00EA5BE1">
              <w:rPr>
                <w:rFonts w:ascii="Arial Narrow" w:hAnsi="Arial Narrow" w:cs="Arial"/>
                <w:b/>
                <w:bCs/>
                <w:color w:val="FFFFFF"/>
                <w:sz w:val="18"/>
                <w:szCs w:val="18"/>
                <w:lang w:eastAsia="sk-SK"/>
              </w:rPr>
              <w:t> </w:t>
            </w:r>
          </w:p>
        </w:tc>
        <w:tc>
          <w:tcPr>
            <w:tcW w:w="986" w:type="dxa"/>
            <w:tcBorders>
              <w:top w:val="nil"/>
              <w:left w:val="nil"/>
              <w:bottom w:val="nil"/>
              <w:right w:val="nil"/>
              <w:tl2br w:val="nil"/>
              <w:tr2bl w:val="nil"/>
            </w:tcBorders>
            <w:shd w:val="clear" w:color="auto" w:fill="000000"/>
            <w:noWrap/>
            <w:textDirection w:val="lrTb"/>
            <w:vAlign w:val="bottom"/>
          </w:tcPr>
          <w:p w:rsidR="000E060D" w:rsidRPr="00EA5BE1" w:rsidP="000E060D">
            <w:pPr>
              <w:rPr>
                <w:rFonts w:ascii="Arial Narrow" w:hAnsi="Arial Narrow" w:cs="Arial"/>
                <w:b/>
                <w:bCs/>
                <w:color w:val="FFFFFF"/>
                <w:sz w:val="18"/>
                <w:szCs w:val="18"/>
                <w:lang w:eastAsia="sk-SK"/>
              </w:rPr>
            </w:pPr>
            <w:r w:rsidRPr="00EA5BE1">
              <w:rPr>
                <w:rFonts w:ascii="Arial Narrow" w:hAnsi="Arial Narrow" w:cs="Arial"/>
                <w:b/>
                <w:bCs/>
                <w:color w:val="FFFFFF"/>
                <w:sz w:val="18"/>
                <w:szCs w:val="18"/>
                <w:lang w:eastAsia="sk-SK"/>
              </w:rPr>
              <w:t> </w:t>
            </w:r>
          </w:p>
        </w:tc>
        <w:tc>
          <w:tcPr>
            <w:tcW w:w="719" w:type="dxa"/>
            <w:tcBorders>
              <w:top w:val="nil"/>
              <w:left w:val="nil"/>
              <w:bottom w:val="nil"/>
              <w:right w:val="nil"/>
              <w:tl2br w:val="nil"/>
              <w:tr2bl w:val="nil"/>
            </w:tcBorders>
            <w:shd w:val="clear" w:color="auto" w:fill="000000"/>
            <w:noWrap/>
            <w:textDirection w:val="lrTb"/>
            <w:vAlign w:val="bottom"/>
          </w:tcPr>
          <w:p w:rsidR="000E060D" w:rsidRPr="00EA5BE1" w:rsidP="000E060D">
            <w:pPr>
              <w:rPr>
                <w:rFonts w:ascii="Arial Narrow" w:hAnsi="Arial Narrow" w:cs="Arial"/>
                <w:b/>
                <w:bCs/>
                <w:color w:val="FFFFFF"/>
                <w:sz w:val="18"/>
                <w:szCs w:val="18"/>
                <w:lang w:eastAsia="sk-SK"/>
              </w:rPr>
            </w:pPr>
            <w:r w:rsidRPr="00EA5BE1">
              <w:rPr>
                <w:rFonts w:ascii="Arial Narrow" w:hAnsi="Arial Narrow" w:cs="Arial"/>
                <w:b/>
                <w:bCs/>
                <w:color w:val="FFFFFF"/>
                <w:sz w:val="18"/>
                <w:szCs w:val="18"/>
                <w:lang w:eastAsia="sk-SK"/>
              </w:rPr>
              <w:t> </w:t>
            </w:r>
          </w:p>
        </w:tc>
      </w:tr>
      <w:tr>
        <w:tblPrEx>
          <w:tblW w:w="9625" w:type="dxa"/>
          <w:tblInd w:w="55" w:type="dxa"/>
          <w:tblCellMar>
            <w:left w:w="70" w:type="dxa"/>
            <w:right w:w="70" w:type="dxa"/>
          </w:tblCellMar>
        </w:tblPrEx>
        <w:trPr>
          <w:trHeight w:val="284"/>
        </w:trPr>
        <w:tc>
          <w:tcPr>
            <w:tcW w:w="0" w:type="auto"/>
            <w:vMerge w:val="restart"/>
            <w:tcBorders>
              <w:top w:val="single" w:sz="8" w:space="0" w:color="auto"/>
              <w:left w:val="single" w:sz="8" w:space="0" w:color="C0C0C0"/>
              <w:bottom w:val="single" w:sz="8" w:space="0" w:color="000000"/>
              <w:right w:val="single" w:sz="8" w:space="0" w:color="C0C0C0"/>
              <w:tl2br w:val="nil"/>
              <w:tr2bl w:val="nil"/>
            </w:tcBorders>
            <w:shd w:val="clear" w:color="auto" w:fill="C0C0C0"/>
            <w:noWrap/>
            <w:textDirection w:val="lrTb"/>
            <w:vAlign w:val="bottom"/>
          </w:tcPr>
          <w:p w:rsidR="000E060D" w:rsidRPr="00EA5BE1" w:rsidP="000E060D">
            <w:pPr>
              <w:rPr>
                <w:rFonts w:ascii="Arial Narrow" w:hAnsi="Arial Narrow" w:cs="Arial"/>
                <w:b/>
                <w:bCs/>
                <w:sz w:val="18"/>
                <w:szCs w:val="18"/>
                <w:lang w:eastAsia="sk-SK"/>
              </w:rPr>
            </w:pPr>
            <w:r w:rsidRPr="00EA5BE1">
              <w:rPr>
                <w:rFonts w:ascii="Arial Narrow" w:hAnsi="Arial Narrow" w:cs="Arial"/>
                <w:b/>
                <w:bCs/>
                <w:sz w:val="18"/>
                <w:szCs w:val="18"/>
                <w:lang w:eastAsia="sk-SK"/>
              </w:rPr>
              <w:t>P.č.</w:t>
            </w:r>
          </w:p>
        </w:tc>
        <w:tc>
          <w:tcPr>
            <w:tcW w:w="0" w:type="auto"/>
            <w:vMerge w:val="restart"/>
            <w:tcBorders>
              <w:top w:val="single" w:sz="8" w:space="0" w:color="auto"/>
              <w:left w:val="single" w:sz="8" w:space="0" w:color="C0C0C0"/>
              <w:bottom w:val="single" w:sz="8" w:space="0" w:color="000000"/>
              <w:right w:val="single" w:sz="8" w:space="0" w:color="C0C0C0"/>
              <w:tl2br w:val="nil"/>
              <w:tr2bl w:val="nil"/>
            </w:tcBorders>
            <w:shd w:val="clear" w:color="auto" w:fill="C0C0C0"/>
            <w:noWrap/>
            <w:textDirection w:val="lrTb"/>
            <w:vAlign w:val="bottom"/>
          </w:tcPr>
          <w:p w:rsidR="000E060D" w:rsidRPr="00EA5BE1" w:rsidP="000E060D">
            <w:pPr>
              <w:rPr>
                <w:rFonts w:ascii="Arial Narrow" w:hAnsi="Arial Narrow" w:cs="Arial"/>
                <w:b/>
                <w:bCs/>
                <w:sz w:val="18"/>
                <w:szCs w:val="18"/>
                <w:lang w:eastAsia="sk-SK"/>
              </w:rPr>
            </w:pPr>
            <w:r w:rsidRPr="00EA5BE1">
              <w:rPr>
                <w:rFonts w:ascii="Arial Narrow" w:hAnsi="Arial Narrow" w:cs="Arial"/>
                <w:b/>
                <w:bCs/>
                <w:sz w:val="18"/>
                <w:szCs w:val="18"/>
                <w:lang w:eastAsia="sk-SK"/>
              </w:rPr>
              <w:t>Ukazovateľ</w:t>
            </w:r>
          </w:p>
        </w:tc>
        <w:tc>
          <w:tcPr>
            <w:tcW w:w="0" w:type="auto"/>
            <w:tcBorders>
              <w:top w:val="nil"/>
              <w:left w:val="nil"/>
              <w:bottom w:val="single" w:sz="8" w:space="0" w:color="C0C0C0"/>
              <w:right w:val="single" w:sz="8" w:space="0" w:color="C0C0C0"/>
              <w:tl2br w:val="nil"/>
              <w:tr2bl w:val="nil"/>
            </w:tcBorders>
            <w:shd w:val="clear" w:color="auto" w:fill="C0C0C0"/>
            <w:noWrap/>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 </w:t>
            </w:r>
          </w:p>
        </w:tc>
        <w:tc>
          <w:tcPr>
            <w:tcW w:w="1263" w:type="dxa"/>
            <w:tcBorders>
              <w:top w:val="nil"/>
              <w:left w:val="nil"/>
              <w:bottom w:val="single" w:sz="8" w:space="0" w:color="C0C0C0"/>
              <w:right w:val="single" w:sz="8" w:space="0" w:color="C0C0C0"/>
              <w:tl2br w:val="nil"/>
              <w:tr2bl w:val="nil"/>
            </w:tcBorders>
            <w:shd w:val="clear" w:color="auto" w:fill="C0C0C0"/>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Skutočnosť</w:t>
            </w:r>
          </w:p>
        </w:tc>
        <w:tc>
          <w:tcPr>
            <w:tcW w:w="3701" w:type="dxa"/>
            <w:gridSpan w:val="4"/>
            <w:tcBorders>
              <w:top w:val="nil"/>
              <w:left w:val="nil"/>
              <w:bottom w:val="nil"/>
              <w:right w:val="nil"/>
              <w:tl2br w:val="nil"/>
              <w:tr2bl w:val="nil"/>
            </w:tcBorders>
            <w:shd w:val="clear" w:color="auto" w:fill="C0C0C0"/>
            <w:textDirection w:val="lrTb"/>
            <w:vAlign w:val="bottom"/>
          </w:tcPr>
          <w:p w:rsidR="000E060D" w:rsidRPr="00EA5BE1" w:rsidP="000E060D">
            <w:pPr>
              <w:rPr>
                <w:rFonts w:ascii="Arial Narrow" w:hAnsi="Arial Narrow" w:cs="Arial"/>
                <w:b/>
                <w:bCs/>
                <w:sz w:val="18"/>
                <w:szCs w:val="18"/>
                <w:lang w:eastAsia="sk-SK"/>
              </w:rPr>
            </w:pPr>
            <w:r w:rsidRPr="00EA5BE1">
              <w:rPr>
                <w:rFonts w:ascii="Arial Narrow" w:hAnsi="Arial Narrow" w:cs="Arial"/>
                <w:b/>
                <w:bCs/>
                <w:sz w:val="18"/>
                <w:szCs w:val="18"/>
                <w:lang w:eastAsia="sk-SK"/>
              </w:rPr>
              <w:t>Prognóza</w:t>
            </w:r>
          </w:p>
        </w:tc>
      </w:tr>
      <w:tr>
        <w:tblPrEx>
          <w:tblW w:w="9625" w:type="dxa"/>
          <w:tblInd w:w="55" w:type="dxa"/>
          <w:tblCellMar>
            <w:left w:w="70" w:type="dxa"/>
            <w:right w:w="70" w:type="dxa"/>
          </w:tblCellMar>
        </w:tblPrEx>
        <w:trPr>
          <w:trHeight w:val="284"/>
        </w:trPr>
        <w:tc>
          <w:tcPr>
            <w:tcW w:w="0" w:type="auto"/>
            <w:vMerge/>
            <w:tcBorders>
              <w:top w:val="single" w:sz="8" w:space="0" w:color="auto"/>
              <w:left w:val="single" w:sz="8" w:space="0" w:color="C0C0C0"/>
              <w:bottom w:val="single" w:sz="8" w:space="0" w:color="000000"/>
              <w:right w:val="single" w:sz="8" w:space="0" w:color="C0C0C0"/>
              <w:tl2br w:val="nil"/>
              <w:tr2bl w:val="nil"/>
            </w:tcBorders>
            <w:textDirection w:val="lrTb"/>
            <w:vAlign w:val="center"/>
          </w:tcPr>
          <w:p w:rsidR="000E060D" w:rsidRPr="00EA5BE1" w:rsidP="000E060D">
            <w:pPr>
              <w:rPr>
                <w:rFonts w:ascii="Arial Narrow" w:hAnsi="Arial Narrow" w:cs="Arial"/>
                <w:b/>
                <w:bCs/>
                <w:sz w:val="18"/>
                <w:szCs w:val="18"/>
                <w:lang w:eastAsia="sk-SK"/>
              </w:rPr>
            </w:pPr>
          </w:p>
        </w:tc>
        <w:tc>
          <w:tcPr>
            <w:tcW w:w="0" w:type="auto"/>
            <w:vMerge/>
            <w:tcBorders>
              <w:top w:val="single" w:sz="8" w:space="0" w:color="auto"/>
              <w:left w:val="single" w:sz="8" w:space="0" w:color="C0C0C0"/>
              <w:bottom w:val="single" w:sz="8" w:space="0" w:color="000000"/>
              <w:right w:val="single" w:sz="8" w:space="0" w:color="C0C0C0"/>
              <w:tl2br w:val="nil"/>
              <w:tr2bl w:val="nil"/>
            </w:tcBorders>
            <w:textDirection w:val="lrTb"/>
            <w:vAlign w:val="center"/>
          </w:tcPr>
          <w:p w:rsidR="000E060D" w:rsidRPr="00EA5BE1" w:rsidP="000E060D">
            <w:pPr>
              <w:rPr>
                <w:rFonts w:ascii="Arial Narrow" w:hAnsi="Arial Narrow" w:cs="Arial"/>
                <w:b/>
                <w:bCs/>
                <w:sz w:val="18"/>
                <w:szCs w:val="18"/>
                <w:lang w:eastAsia="sk-SK"/>
              </w:rPr>
            </w:pPr>
          </w:p>
        </w:tc>
        <w:tc>
          <w:tcPr>
            <w:tcW w:w="0" w:type="auto"/>
            <w:tcBorders>
              <w:top w:val="nil"/>
              <w:left w:val="nil"/>
              <w:bottom w:val="single" w:sz="8" w:space="0" w:color="auto"/>
              <w:right w:val="single" w:sz="8" w:space="0" w:color="C0C0C0"/>
              <w:tl2br w:val="nil"/>
              <w:tr2bl w:val="nil"/>
            </w:tcBorders>
            <w:shd w:val="clear" w:color="auto" w:fill="C0C0C0"/>
            <w:noWrap/>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m.j.</w:t>
            </w:r>
          </w:p>
        </w:tc>
        <w:tc>
          <w:tcPr>
            <w:tcW w:w="1263" w:type="dxa"/>
            <w:tcBorders>
              <w:top w:val="nil"/>
              <w:left w:val="nil"/>
              <w:bottom w:val="single" w:sz="8" w:space="0" w:color="auto"/>
              <w:right w:val="single" w:sz="8" w:space="0" w:color="C0C0C0"/>
              <w:tl2br w:val="nil"/>
              <w:tr2bl w:val="nil"/>
            </w:tcBorders>
            <w:shd w:val="clear" w:color="auto" w:fill="C0C0C0"/>
            <w:noWrap/>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2007</w:t>
            </w:r>
          </w:p>
        </w:tc>
        <w:tc>
          <w:tcPr>
            <w:tcW w:w="1009" w:type="dxa"/>
            <w:tcBorders>
              <w:top w:val="nil"/>
              <w:left w:val="nil"/>
              <w:bottom w:val="single" w:sz="8" w:space="0" w:color="auto"/>
              <w:right w:val="single" w:sz="8" w:space="0" w:color="C0C0C0"/>
              <w:tl2br w:val="nil"/>
              <w:tr2bl w:val="nil"/>
            </w:tcBorders>
            <w:shd w:val="clear" w:color="auto" w:fill="C0C0C0"/>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2008</w:t>
            </w:r>
          </w:p>
        </w:tc>
        <w:tc>
          <w:tcPr>
            <w:tcW w:w="987" w:type="dxa"/>
            <w:tcBorders>
              <w:top w:val="nil"/>
              <w:left w:val="nil"/>
              <w:bottom w:val="single" w:sz="8" w:space="0" w:color="auto"/>
              <w:right w:val="single" w:sz="8" w:space="0" w:color="C0C0C0"/>
              <w:tl2br w:val="nil"/>
              <w:tr2bl w:val="nil"/>
            </w:tcBorders>
            <w:shd w:val="clear" w:color="auto" w:fill="C0C0C0"/>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2009</w:t>
            </w:r>
          </w:p>
        </w:tc>
        <w:tc>
          <w:tcPr>
            <w:tcW w:w="986" w:type="dxa"/>
            <w:tcBorders>
              <w:top w:val="nil"/>
              <w:left w:val="nil"/>
              <w:bottom w:val="single" w:sz="8" w:space="0" w:color="auto"/>
              <w:right w:val="single" w:sz="8" w:space="0" w:color="C0C0C0"/>
              <w:tl2br w:val="nil"/>
              <w:tr2bl w:val="nil"/>
            </w:tcBorders>
            <w:shd w:val="clear" w:color="auto" w:fill="C0C0C0"/>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20</w:t>
            </w:r>
            <w:r w:rsidRPr="00EA5BE1">
              <w:rPr>
                <w:rFonts w:ascii="Arial Narrow" w:hAnsi="Arial Narrow" w:cs="Arial"/>
                <w:b/>
                <w:bCs/>
                <w:sz w:val="18"/>
                <w:szCs w:val="18"/>
                <w:lang w:eastAsia="sk-SK"/>
              </w:rPr>
              <w:t>10</w:t>
            </w:r>
          </w:p>
        </w:tc>
        <w:tc>
          <w:tcPr>
            <w:tcW w:w="719" w:type="dxa"/>
            <w:tcBorders>
              <w:top w:val="nil"/>
              <w:left w:val="nil"/>
              <w:bottom w:val="single" w:sz="8" w:space="0" w:color="auto"/>
              <w:right w:val="single" w:sz="8" w:space="0" w:color="C0C0C0"/>
              <w:tl2br w:val="nil"/>
              <w:tr2bl w:val="nil"/>
            </w:tcBorders>
            <w:shd w:val="clear" w:color="auto" w:fill="C0C0C0"/>
            <w:textDirection w:val="lrTb"/>
            <w:vAlign w:val="bottom"/>
          </w:tcPr>
          <w:p w:rsidR="000E060D" w:rsidRPr="00EA5BE1" w:rsidP="000E060D">
            <w:pPr>
              <w:jc w:val="center"/>
              <w:rPr>
                <w:rFonts w:ascii="Arial Narrow" w:hAnsi="Arial Narrow" w:cs="Arial"/>
                <w:b/>
                <w:bCs/>
                <w:sz w:val="18"/>
                <w:szCs w:val="18"/>
                <w:lang w:eastAsia="sk-SK"/>
              </w:rPr>
            </w:pPr>
            <w:r w:rsidRPr="00EA5BE1">
              <w:rPr>
                <w:rFonts w:ascii="Arial Narrow" w:hAnsi="Arial Narrow" w:cs="Arial"/>
                <w:b/>
                <w:bCs/>
                <w:sz w:val="18"/>
                <w:szCs w:val="18"/>
                <w:lang w:eastAsia="sk-SK"/>
              </w:rPr>
              <w:t>2011</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009B715B">
              <w:rPr>
                <w:rFonts w:ascii="Arial Narrow" w:hAnsi="Arial Narrow" w:cs="Arial"/>
                <w:sz w:val="18"/>
                <w:szCs w:val="18"/>
                <w:lang w:eastAsia="sk-SK"/>
              </w:rPr>
              <w:t>1</w:t>
            </w:r>
          </w:p>
        </w:tc>
        <w:tc>
          <w:tcPr>
            <w:tcW w:w="0" w:type="auto"/>
            <w:tcBorders>
              <w:top w:val="nil"/>
              <w:left w:val="nil"/>
              <w:bottom w:val="nil"/>
              <w:right w:val="nil"/>
              <w:tl2br w:val="nil"/>
              <w:tr2bl w:val="nil"/>
            </w:tcBorders>
            <w:noWrap/>
            <w:textDirection w:val="lrTb"/>
            <w:vAlign w:val="bottom"/>
          </w:tcPr>
          <w:p w:rsidR="000E060D" w:rsidRPr="006029FC" w:rsidP="000E060D">
            <w:pPr>
              <w:rPr>
                <w:rFonts w:ascii="Arial Narrow" w:hAnsi="Arial Narrow" w:cs="Arial"/>
                <w:sz w:val="18"/>
                <w:szCs w:val="18"/>
                <w:lang w:eastAsia="sk-SK"/>
              </w:rPr>
            </w:pPr>
            <w:r w:rsidRPr="006029FC">
              <w:rPr>
                <w:rFonts w:ascii="Arial Narrow" w:hAnsi="Arial Narrow" w:cs="Arial"/>
                <w:sz w:val="18"/>
                <w:szCs w:val="18"/>
                <w:lang w:eastAsia="sk-SK"/>
              </w:rPr>
              <w:t>HDP; v bežných cenách</w:t>
            </w:r>
          </w:p>
        </w:tc>
        <w:tc>
          <w:tcPr>
            <w:tcW w:w="0" w:type="auto"/>
            <w:tcBorders>
              <w:top w:val="nil"/>
              <w:left w:val="nil"/>
              <w:bottom w:val="nil"/>
              <w:right w:val="nil"/>
              <w:tl2br w:val="nil"/>
              <w:tr2bl w:val="nil"/>
            </w:tcBorders>
            <w:noWrap/>
            <w:textDirection w:val="lrTb"/>
            <w:vAlign w:val="bottom"/>
          </w:tcPr>
          <w:p w:rsidR="000E060D" w:rsidRPr="006029FC" w:rsidP="000E060D">
            <w:pPr>
              <w:jc w:val="center"/>
              <w:rPr>
                <w:rFonts w:ascii="Arial Narrow" w:hAnsi="Arial Narrow" w:cs="Arial"/>
                <w:sz w:val="18"/>
                <w:szCs w:val="18"/>
                <w:lang w:eastAsia="sk-SK"/>
              </w:rPr>
            </w:pPr>
            <w:r w:rsidRPr="006029FC">
              <w:rPr>
                <w:rFonts w:ascii="Arial Narrow" w:hAnsi="Arial Narrow" w:cs="Arial"/>
                <w:sz w:val="18"/>
                <w:szCs w:val="18"/>
                <w:lang w:eastAsia="sk-SK"/>
              </w:rPr>
              <w:t>mld. eur</w:t>
            </w:r>
          </w:p>
        </w:tc>
        <w:tc>
          <w:tcPr>
            <w:tcW w:w="1263" w:type="dxa"/>
            <w:tcBorders>
              <w:top w:val="nil"/>
              <w:left w:val="nil"/>
              <w:bottom w:val="nil"/>
              <w:right w:val="nil"/>
              <w:tl2br w:val="nil"/>
              <w:tr2bl w:val="nil"/>
            </w:tcBorders>
            <w:noWrap/>
            <w:textDirection w:val="lrTb"/>
            <w:vAlign w:val="bottom"/>
          </w:tcPr>
          <w:p w:rsidR="000E060D" w:rsidRPr="006029FC" w:rsidP="00694E16">
            <w:pPr>
              <w:jc w:val="right"/>
              <w:rPr>
                <w:rFonts w:ascii="Arial Narrow" w:hAnsi="Arial Narrow" w:cs="Arial"/>
                <w:sz w:val="18"/>
                <w:szCs w:val="18"/>
                <w:lang w:eastAsia="sk-SK"/>
              </w:rPr>
            </w:pPr>
            <w:r w:rsidRPr="006029FC">
              <w:rPr>
                <w:rFonts w:ascii="Arial Narrow" w:hAnsi="Arial Narrow" w:cs="Arial"/>
                <w:sz w:val="18"/>
                <w:szCs w:val="18"/>
                <w:lang w:eastAsia="sk-SK"/>
              </w:rPr>
              <w:t>61,468</w:t>
            </w:r>
            <w:r w:rsidR="00CD1E4B">
              <w:rPr>
                <w:rFonts w:ascii="Arial Narrow" w:hAnsi="Arial Narrow" w:cs="Arial"/>
                <w:sz w:val="18"/>
                <w:szCs w:val="18"/>
                <w:lang w:eastAsia="sk-SK"/>
              </w:rPr>
              <w:t>5</w:t>
            </w:r>
          </w:p>
        </w:tc>
        <w:tc>
          <w:tcPr>
            <w:tcW w:w="1009" w:type="dxa"/>
            <w:tcBorders>
              <w:top w:val="nil"/>
              <w:left w:val="nil"/>
              <w:bottom w:val="nil"/>
              <w:right w:val="nil"/>
              <w:tl2br w:val="nil"/>
              <w:tr2bl w:val="nil"/>
            </w:tcBorders>
            <w:noWrap/>
            <w:textDirection w:val="lrTb"/>
            <w:vAlign w:val="bottom"/>
          </w:tcPr>
          <w:p w:rsidR="000E060D" w:rsidRPr="006029FC" w:rsidP="00694E16">
            <w:pPr>
              <w:jc w:val="right"/>
              <w:rPr>
                <w:rFonts w:ascii="Arial Narrow" w:hAnsi="Arial Narrow" w:cs="Arial"/>
                <w:sz w:val="18"/>
                <w:szCs w:val="18"/>
                <w:lang w:eastAsia="sk-SK"/>
              </w:rPr>
            </w:pPr>
            <w:r w:rsidRPr="006029FC">
              <w:rPr>
                <w:rFonts w:ascii="Arial Narrow" w:hAnsi="Arial Narrow" w:cs="Arial"/>
                <w:sz w:val="18"/>
                <w:szCs w:val="18"/>
                <w:lang w:eastAsia="sk-SK"/>
              </w:rPr>
              <w:t>68,</w:t>
            </w:r>
            <w:r w:rsidR="00CD1E4B">
              <w:rPr>
                <w:rFonts w:ascii="Arial Narrow" w:hAnsi="Arial Narrow" w:cs="Arial"/>
                <w:sz w:val="18"/>
                <w:szCs w:val="18"/>
                <w:lang w:eastAsia="sk-SK"/>
              </w:rPr>
              <w:t>4625</w:t>
            </w:r>
          </w:p>
        </w:tc>
        <w:tc>
          <w:tcPr>
            <w:tcW w:w="987" w:type="dxa"/>
            <w:tcBorders>
              <w:top w:val="nil"/>
              <w:left w:val="nil"/>
              <w:bottom w:val="nil"/>
              <w:right w:val="nil"/>
              <w:tl2br w:val="nil"/>
              <w:tr2bl w:val="nil"/>
            </w:tcBorders>
            <w:noWrap/>
            <w:textDirection w:val="lrTb"/>
            <w:vAlign w:val="bottom"/>
          </w:tcPr>
          <w:p w:rsidR="000E060D" w:rsidRPr="006029FC" w:rsidP="00694E16">
            <w:pPr>
              <w:jc w:val="right"/>
              <w:rPr>
                <w:rFonts w:ascii="Arial Narrow" w:hAnsi="Arial Narrow" w:cs="Arial"/>
                <w:sz w:val="18"/>
                <w:szCs w:val="18"/>
                <w:lang w:eastAsia="sk-SK"/>
              </w:rPr>
            </w:pPr>
            <w:r w:rsidRPr="006029FC">
              <w:rPr>
                <w:rFonts w:ascii="Arial Narrow" w:hAnsi="Arial Narrow" w:cs="Arial"/>
                <w:sz w:val="18"/>
                <w:szCs w:val="18"/>
                <w:lang w:eastAsia="sk-SK"/>
              </w:rPr>
              <w:t>74,</w:t>
            </w:r>
            <w:r w:rsidR="00CD1E4B">
              <w:rPr>
                <w:rFonts w:ascii="Arial Narrow" w:hAnsi="Arial Narrow" w:cs="Arial"/>
                <w:sz w:val="18"/>
                <w:szCs w:val="18"/>
                <w:lang w:eastAsia="sk-SK"/>
              </w:rPr>
              <w:t>8390</w:t>
            </w:r>
          </w:p>
        </w:tc>
        <w:tc>
          <w:tcPr>
            <w:tcW w:w="986" w:type="dxa"/>
            <w:tcBorders>
              <w:top w:val="nil"/>
              <w:left w:val="nil"/>
              <w:bottom w:val="nil"/>
              <w:right w:val="nil"/>
              <w:tl2br w:val="nil"/>
              <w:tr2bl w:val="nil"/>
            </w:tcBorders>
            <w:noWrap/>
            <w:textDirection w:val="lrTb"/>
            <w:vAlign w:val="bottom"/>
          </w:tcPr>
          <w:p w:rsidR="000E060D" w:rsidRPr="006029FC" w:rsidP="00694E16">
            <w:pPr>
              <w:jc w:val="right"/>
              <w:rPr>
                <w:rFonts w:ascii="Arial Narrow" w:hAnsi="Arial Narrow" w:cs="Arial"/>
                <w:sz w:val="18"/>
                <w:szCs w:val="18"/>
                <w:lang w:eastAsia="sk-SK"/>
              </w:rPr>
            </w:pPr>
            <w:r w:rsidRPr="006029FC">
              <w:rPr>
                <w:rFonts w:ascii="Arial Narrow" w:hAnsi="Arial Narrow" w:cs="Arial"/>
                <w:sz w:val="18"/>
                <w:szCs w:val="18"/>
                <w:lang w:eastAsia="sk-SK"/>
              </w:rPr>
              <w:t>81,</w:t>
            </w:r>
            <w:r w:rsidR="00CD1E4B">
              <w:rPr>
                <w:rFonts w:ascii="Arial Narrow" w:hAnsi="Arial Narrow" w:cs="Arial"/>
                <w:sz w:val="18"/>
                <w:szCs w:val="18"/>
                <w:lang w:eastAsia="sk-SK"/>
              </w:rPr>
              <w:t>4579</w:t>
            </w:r>
          </w:p>
        </w:tc>
        <w:tc>
          <w:tcPr>
            <w:tcW w:w="719" w:type="dxa"/>
            <w:tcBorders>
              <w:top w:val="nil"/>
              <w:left w:val="nil"/>
              <w:bottom w:val="nil"/>
              <w:right w:val="nil"/>
              <w:tl2br w:val="nil"/>
              <w:tr2bl w:val="nil"/>
            </w:tcBorders>
            <w:noWrap/>
            <w:textDirection w:val="lrTb"/>
            <w:vAlign w:val="bottom"/>
          </w:tcPr>
          <w:p w:rsidR="000E060D" w:rsidRPr="006029FC" w:rsidP="00694E16">
            <w:pPr>
              <w:jc w:val="right"/>
              <w:rPr>
                <w:rFonts w:ascii="Arial Narrow" w:hAnsi="Arial Narrow" w:cs="Arial"/>
                <w:sz w:val="18"/>
                <w:szCs w:val="18"/>
                <w:lang w:eastAsia="sk-SK"/>
              </w:rPr>
            </w:pPr>
            <w:r w:rsidRPr="006029FC">
              <w:rPr>
                <w:rFonts w:ascii="Arial Narrow" w:hAnsi="Arial Narrow" w:cs="Arial"/>
                <w:sz w:val="18"/>
                <w:szCs w:val="18"/>
                <w:lang w:eastAsia="sk-SK"/>
              </w:rPr>
              <w:t>88,</w:t>
            </w:r>
            <w:r w:rsidR="00CD1E4B">
              <w:rPr>
                <w:rFonts w:ascii="Arial Narrow" w:hAnsi="Arial Narrow" w:cs="Arial"/>
                <w:sz w:val="18"/>
                <w:szCs w:val="18"/>
                <w:lang w:eastAsia="sk-SK"/>
              </w:rPr>
              <w:t>5315</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2</w:t>
            </w:r>
          </w:p>
        </w:tc>
        <w:tc>
          <w:tcPr>
            <w:tcW w:w="0" w:type="auto"/>
            <w:tcBorders>
              <w:top w:val="nil"/>
              <w:left w:val="nil"/>
              <w:bottom w:val="nil"/>
              <w:right w:val="nil"/>
              <w:tl2br w:val="nil"/>
              <w:tr2bl w:val="nil"/>
            </w:tcBorders>
            <w:noWrap/>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HDP;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10,4</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7,7</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6,5</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6,1</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5,8</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3</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Konečná spotreba domácností;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7,1</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7,0</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w:t>
            </w:r>
            <w:r w:rsidR="00245191">
              <w:rPr>
                <w:rFonts w:ascii="Arial Narrow" w:hAnsi="Arial Narrow" w:cs="Arial"/>
                <w:sz w:val="18"/>
                <w:szCs w:val="18"/>
                <w:lang w:eastAsia="sk-SK"/>
              </w:rPr>
              <w:t>1</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5,</w:t>
            </w:r>
            <w:r w:rsidR="00245191">
              <w:rPr>
                <w:rFonts w:ascii="Arial Narrow" w:hAnsi="Arial Narrow" w:cs="Arial"/>
                <w:sz w:val="18"/>
                <w:szCs w:val="18"/>
                <w:lang w:eastAsia="sk-SK"/>
              </w:rPr>
              <w:t>8</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5,</w:t>
            </w:r>
            <w:r w:rsidR="00245191">
              <w:rPr>
                <w:rFonts w:ascii="Arial Narrow" w:hAnsi="Arial Narrow" w:cs="Arial"/>
                <w:sz w:val="18"/>
                <w:szCs w:val="18"/>
                <w:lang w:eastAsia="sk-SK"/>
              </w:rPr>
              <w:t>5</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4</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Konečná spotreba domácností; nominálny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9,9</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11,</w:t>
            </w:r>
            <w:r w:rsidR="001D4FCF">
              <w:rPr>
                <w:rFonts w:ascii="Arial Narrow" w:hAnsi="Arial Narrow" w:cs="Arial"/>
                <w:sz w:val="18"/>
                <w:szCs w:val="18"/>
                <w:lang w:eastAsia="sk-SK"/>
              </w:rPr>
              <w:t>7</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10</w:t>
            </w:r>
            <w:r w:rsidRPr="00EA5BE1">
              <w:rPr>
                <w:rFonts w:ascii="Arial Narrow" w:hAnsi="Arial Narrow" w:cs="Arial"/>
                <w:sz w:val="18"/>
                <w:szCs w:val="18"/>
                <w:lang w:eastAsia="sk-SK"/>
              </w:rPr>
              <w:t>,</w:t>
            </w:r>
            <w:r w:rsidR="00245191">
              <w:rPr>
                <w:rFonts w:ascii="Arial Narrow" w:hAnsi="Arial Narrow" w:cs="Arial"/>
                <w:sz w:val="18"/>
                <w:szCs w:val="18"/>
                <w:lang w:eastAsia="sk-SK"/>
              </w:rPr>
              <w:t>0</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w:t>
            </w:r>
            <w:r w:rsidR="00245191">
              <w:rPr>
                <w:rFonts w:ascii="Arial Narrow" w:hAnsi="Arial Narrow" w:cs="Arial"/>
                <w:sz w:val="18"/>
                <w:szCs w:val="18"/>
                <w:lang w:eastAsia="sk-SK"/>
              </w:rPr>
              <w:t>3</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w:t>
            </w:r>
            <w:r w:rsidR="00245191">
              <w:rPr>
                <w:rFonts w:ascii="Arial Narrow" w:hAnsi="Arial Narrow" w:cs="Arial"/>
                <w:sz w:val="18"/>
                <w:szCs w:val="18"/>
                <w:lang w:eastAsia="sk-SK"/>
              </w:rPr>
              <w:t>3</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5</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Konečná spotreba verejnej správy</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0,7</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1D4FCF">
              <w:rPr>
                <w:rFonts w:ascii="Arial Narrow" w:hAnsi="Arial Narrow" w:cs="Arial"/>
                <w:sz w:val="18"/>
                <w:szCs w:val="18"/>
                <w:lang w:eastAsia="sk-SK"/>
              </w:rPr>
              <w:t>4</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245191">
              <w:rPr>
                <w:rFonts w:ascii="Arial Narrow" w:hAnsi="Arial Narrow" w:cs="Arial"/>
                <w:sz w:val="18"/>
                <w:szCs w:val="18"/>
                <w:lang w:eastAsia="sk-SK"/>
              </w:rPr>
              <w:t>1</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00245191">
              <w:rPr>
                <w:rFonts w:ascii="Arial Narrow" w:hAnsi="Arial Narrow" w:cs="Arial"/>
                <w:sz w:val="18"/>
                <w:szCs w:val="18"/>
                <w:lang w:eastAsia="sk-SK"/>
              </w:rPr>
              <w:t>4</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00245191">
              <w:rPr>
                <w:rFonts w:ascii="Arial Narrow" w:hAnsi="Arial Narrow" w:cs="Arial"/>
                <w:sz w:val="18"/>
                <w:szCs w:val="18"/>
                <w:lang w:eastAsia="sk-SK"/>
              </w:rPr>
              <w:t>3</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6</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Tvorba hrubého fixného kapitálu</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7,9</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1D4FCF">
              <w:rPr>
                <w:rFonts w:ascii="Arial Narrow" w:hAnsi="Arial Narrow" w:cs="Arial"/>
                <w:sz w:val="18"/>
                <w:szCs w:val="18"/>
                <w:lang w:eastAsia="sk-SK"/>
              </w:rPr>
              <w:t>7</w:t>
            </w:r>
            <w:r w:rsidRPr="00EA5BE1">
              <w:rPr>
                <w:rFonts w:ascii="Arial Narrow" w:hAnsi="Arial Narrow" w:cs="Arial"/>
                <w:sz w:val="18"/>
                <w:szCs w:val="18"/>
                <w:lang w:eastAsia="sk-SK"/>
              </w:rPr>
              <w:t>,</w:t>
            </w:r>
            <w:r w:rsidR="001D4FCF">
              <w:rPr>
                <w:rFonts w:ascii="Arial Narrow" w:hAnsi="Arial Narrow" w:cs="Arial"/>
                <w:sz w:val="18"/>
                <w:szCs w:val="18"/>
                <w:lang w:eastAsia="sk-SK"/>
              </w:rPr>
              <w:t>1</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6,6</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6,2</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6,0</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7</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Export tovarov a</w:t>
            </w:r>
            <w:r w:rsidR="004B5D4E">
              <w:rPr>
                <w:rFonts w:ascii="Arial Narrow" w:hAnsi="Arial Narrow" w:cs="Arial"/>
                <w:sz w:val="18"/>
                <w:szCs w:val="18"/>
                <w:lang w:eastAsia="sk-SK"/>
              </w:rPr>
              <w:t> </w:t>
            </w:r>
            <w:r w:rsidRPr="00EA5BE1">
              <w:rPr>
                <w:rFonts w:ascii="Arial Narrow" w:hAnsi="Arial Narrow" w:cs="Arial"/>
                <w:sz w:val="18"/>
                <w:szCs w:val="18"/>
                <w:lang w:eastAsia="sk-SK"/>
              </w:rPr>
              <w:t>služieb</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16,0</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001D4FCF">
              <w:rPr>
                <w:rFonts w:ascii="Arial Narrow" w:hAnsi="Arial Narrow" w:cs="Arial"/>
                <w:sz w:val="18"/>
                <w:szCs w:val="18"/>
                <w:lang w:eastAsia="sk-SK"/>
              </w:rPr>
              <w:t>0</w:t>
            </w:r>
            <w:r w:rsidRPr="00EA5BE1">
              <w:rPr>
                <w:rFonts w:ascii="Arial Narrow" w:hAnsi="Arial Narrow" w:cs="Arial"/>
                <w:sz w:val="18"/>
                <w:szCs w:val="18"/>
                <w:lang w:eastAsia="sk-SK"/>
              </w:rPr>
              <w:t>,9</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8,</w:t>
            </w:r>
            <w:r w:rsidR="00245191">
              <w:rPr>
                <w:rFonts w:ascii="Arial Narrow" w:hAnsi="Arial Narrow" w:cs="Arial"/>
                <w:sz w:val="18"/>
                <w:szCs w:val="18"/>
                <w:lang w:eastAsia="sk-SK"/>
              </w:rPr>
              <w:t>5</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w:t>
            </w:r>
            <w:r w:rsidR="00245191">
              <w:rPr>
                <w:rFonts w:ascii="Arial Narrow" w:hAnsi="Arial Narrow" w:cs="Arial"/>
                <w:sz w:val="18"/>
                <w:szCs w:val="18"/>
                <w:lang w:eastAsia="sk-SK"/>
              </w:rPr>
              <w:t>8</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7,1</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8</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Import tovarov a</w:t>
            </w:r>
            <w:r w:rsidR="004B5D4E">
              <w:rPr>
                <w:rFonts w:ascii="Arial Narrow" w:hAnsi="Arial Narrow" w:cs="Arial"/>
                <w:sz w:val="18"/>
                <w:szCs w:val="18"/>
                <w:lang w:eastAsia="sk-SK"/>
              </w:rPr>
              <w:t> </w:t>
            </w:r>
            <w:r w:rsidRPr="00EA5BE1">
              <w:rPr>
                <w:rFonts w:ascii="Arial Narrow" w:hAnsi="Arial Narrow" w:cs="Arial"/>
                <w:sz w:val="18"/>
                <w:szCs w:val="18"/>
                <w:lang w:eastAsia="sk-SK"/>
              </w:rPr>
              <w:t>služieb</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Pr="00EA5BE1">
              <w:rPr>
                <w:rFonts w:ascii="Arial Narrow" w:hAnsi="Arial Narrow" w:cs="Arial"/>
                <w:sz w:val="18"/>
                <w:szCs w:val="18"/>
                <w:lang w:eastAsia="sk-SK"/>
              </w:rPr>
              <w:t>0,4</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001D4FCF">
              <w:rPr>
                <w:rFonts w:ascii="Arial Narrow" w:hAnsi="Arial Narrow" w:cs="Arial"/>
                <w:sz w:val="18"/>
                <w:szCs w:val="18"/>
                <w:lang w:eastAsia="sk-SK"/>
              </w:rPr>
              <w:t>0</w:t>
            </w:r>
            <w:r w:rsidRPr="00EA5BE1">
              <w:rPr>
                <w:rFonts w:ascii="Arial Narrow" w:hAnsi="Arial Narrow" w:cs="Arial"/>
                <w:sz w:val="18"/>
                <w:szCs w:val="18"/>
                <w:lang w:eastAsia="sk-SK"/>
              </w:rPr>
              <w:t>,</w:t>
            </w:r>
            <w:r w:rsidR="001D4FCF">
              <w:rPr>
                <w:rFonts w:ascii="Arial Narrow" w:hAnsi="Arial Narrow" w:cs="Arial"/>
                <w:sz w:val="18"/>
                <w:szCs w:val="18"/>
                <w:lang w:eastAsia="sk-SK"/>
              </w:rPr>
              <w:t>2</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7</w:t>
            </w:r>
            <w:r w:rsidRPr="00EA5BE1">
              <w:rPr>
                <w:rFonts w:ascii="Arial Narrow" w:hAnsi="Arial Narrow" w:cs="Arial"/>
                <w:sz w:val="18"/>
                <w:szCs w:val="18"/>
                <w:lang w:eastAsia="sk-SK"/>
              </w:rPr>
              <w:t>,</w:t>
            </w:r>
            <w:r w:rsidR="00245191">
              <w:rPr>
                <w:rFonts w:ascii="Arial Narrow" w:hAnsi="Arial Narrow" w:cs="Arial"/>
                <w:sz w:val="18"/>
                <w:szCs w:val="18"/>
                <w:lang w:eastAsia="sk-SK"/>
              </w:rPr>
              <w:t>9</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6</w:t>
            </w:r>
            <w:r w:rsidRPr="00EA5BE1">
              <w:rPr>
                <w:rFonts w:ascii="Arial Narrow" w:hAnsi="Arial Narrow" w:cs="Arial"/>
                <w:sz w:val="18"/>
                <w:szCs w:val="18"/>
                <w:lang w:eastAsia="sk-SK"/>
              </w:rPr>
              <w:t>,</w:t>
            </w:r>
            <w:r w:rsidR="00245191">
              <w:rPr>
                <w:rFonts w:ascii="Arial Narrow" w:hAnsi="Arial Narrow" w:cs="Arial"/>
                <w:sz w:val="18"/>
                <w:szCs w:val="18"/>
                <w:lang w:eastAsia="sk-SK"/>
              </w:rPr>
              <w:t>7</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6</w:t>
            </w:r>
            <w:r w:rsidRPr="00EA5BE1">
              <w:rPr>
                <w:rFonts w:ascii="Arial Narrow" w:hAnsi="Arial Narrow" w:cs="Arial"/>
                <w:sz w:val="18"/>
                <w:szCs w:val="18"/>
                <w:lang w:eastAsia="sk-SK"/>
              </w:rPr>
              <w:t>,3</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9</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w:t>
            </w:r>
            <w:r>
              <w:rPr>
                <w:rFonts w:ascii="Arial Narrow" w:hAnsi="Arial Narrow" w:cs="Arial"/>
                <w:sz w:val="18"/>
                <w:szCs w:val="18"/>
                <w:lang w:eastAsia="sk-SK"/>
              </w:rPr>
              <w:t>.</w:t>
            </w:r>
            <w:r w:rsidRPr="00EA5BE1">
              <w:rPr>
                <w:rFonts w:ascii="Arial Narrow" w:hAnsi="Arial Narrow" w:cs="Arial"/>
                <w:sz w:val="18"/>
                <w:szCs w:val="18"/>
                <w:lang w:eastAsia="sk-SK"/>
              </w:rPr>
              <w:t xml:space="preserve"> mesačná mzda za hospodárstvo</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nom</w:t>
            </w:r>
            <w:r>
              <w:rPr>
                <w:rFonts w:ascii="Arial Narrow" w:hAnsi="Arial Narrow" w:cs="Arial"/>
                <w:sz w:val="18"/>
                <w:szCs w:val="18"/>
                <w:lang w:eastAsia="sk-SK"/>
              </w:rPr>
              <w:t>.</w:t>
            </w:r>
            <w:r w:rsidRPr="00EA5BE1">
              <w:rPr>
                <w:rFonts w:ascii="Arial Narrow" w:hAnsi="Arial Narrow" w:cs="Arial"/>
                <w:sz w:val="18"/>
                <w:szCs w:val="18"/>
                <w:lang w:eastAsia="sk-SK"/>
              </w:rPr>
              <w:t xml:space="preserve">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7,2</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w:t>
            </w:r>
            <w:r w:rsidR="001D4FCF">
              <w:rPr>
                <w:rFonts w:ascii="Arial Narrow" w:hAnsi="Arial Narrow" w:cs="Arial"/>
                <w:sz w:val="18"/>
                <w:szCs w:val="18"/>
                <w:lang w:eastAsia="sk-SK"/>
              </w:rPr>
              <w:t>3</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8,</w:t>
            </w:r>
            <w:r w:rsidR="00245191">
              <w:rPr>
                <w:rFonts w:ascii="Arial Narrow" w:hAnsi="Arial Narrow" w:cs="Arial"/>
                <w:sz w:val="18"/>
                <w:szCs w:val="18"/>
                <w:lang w:eastAsia="sk-SK"/>
              </w:rPr>
              <w:t>8</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8,</w:t>
            </w:r>
            <w:r w:rsidR="00245191">
              <w:rPr>
                <w:rFonts w:ascii="Arial Narrow" w:hAnsi="Arial Narrow" w:cs="Arial"/>
                <w:sz w:val="18"/>
                <w:szCs w:val="18"/>
                <w:lang w:eastAsia="sk-SK"/>
              </w:rPr>
              <w:t>6</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8,</w:t>
            </w:r>
            <w:r w:rsidR="00245191">
              <w:rPr>
                <w:rFonts w:ascii="Arial Narrow" w:hAnsi="Arial Narrow" w:cs="Arial"/>
                <w:sz w:val="18"/>
                <w:szCs w:val="18"/>
                <w:lang w:eastAsia="sk-SK"/>
              </w:rPr>
              <w:t>7</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10</w:t>
            </w:r>
          </w:p>
        </w:tc>
        <w:tc>
          <w:tcPr>
            <w:tcW w:w="0" w:type="auto"/>
            <w:tcBorders>
              <w:top w:val="nil"/>
              <w:left w:val="nil"/>
              <w:bottom w:val="nil"/>
              <w:right w:val="nil"/>
              <w:tl2br w:val="nil"/>
              <w:tr2bl w:val="nil"/>
            </w:tcBorders>
            <w:noWrap/>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w:t>
            </w:r>
            <w:r>
              <w:rPr>
                <w:rFonts w:ascii="Arial Narrow" w:hAnsi="Arial Narrow" w:cs="Arial"/>
                <w:sz w:val="18"/>
                <w:szCs w:val="18"/>
                <w:lang w:eastAsia="sk-SK"/>
              </w:rPr>
              <w:t>.</w:t>
            </w:r>
            <w:r w:rsidRPr="00EA5BE1">
              <w:rPr>
                <w:rFonts w:ascii="Arial Narrow" w:hAnsi="Arial Narrow" w:cs="Arial"/>
                <w:sz w:val="18"/>
                <w:szCs w:val="18"/>
                <w:lang w:eastAsia="sk-SK"/>
              </w:rPr>
              <w:t xml:space="preserve"> mesačná mzda za hospodárstvo</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reálny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4,3</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4,7</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w:t>
            </w:r>
            <w:r w:rsidR="00245191">
              <w:rPr>
                <w:rFonts w:ascii="Arial Narrow" w:hAnsi="Arial Narrow" w:cs="Arial"/>
                <w:sz w:val="18"/>
                <w:szCs w:val="18"/>
                <w:lang w:eastAsia="sk-SK"/>
              </w:rPr>
              <w:t>6</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w:t>
            </w:r>
            <w:r w:rsidR="00245191">
              <w:rPr>
                <w:rFonts w:ascii="Arial Narrow" w:hAnsi="Arial Narrow" w:cs="Arial"/>
                <w:sz w:val="18"/>
                <w:szCs w:val="18"/>
                <w:lang w:eastAsia="sk-SK"/>
              </w:rPr>
              <w:t>9</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w:t>
            </w:r>
            <w:r w:rsidR="00245191">
              <w:rPr>
                <w:rFonts w:ascii="Arial Narrow" w:hAnsi="Arial Narrow" w:cs="Arial"/>
                <w:sz w:val="18"/>
                <w:szCs w:val="18"/>
                <w:lang w:eastAsia="sk-SK"/>
              </w:rPr>
              <w:t>9</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11</w:t>
            </w:r>
          </w:p>
        </w:tc>
        <w:tc>
          <w:tcPr>
            <w:tcW w:w="0" w:type="auto"/>
            <w:tcBorders>
              <w:top w:val="nil"/>
              <w:left w:val="nil"/>
              <w:bottom w:val="nil"/>
              <w:right w:val="nil"/>
              <w:tl2br w:val="nil"/>
              <w:tr2bl w:val="nil"/>
            </w:tcBorders>
            <w:noWrap/>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Priemerný rast zamestnanosti, podľa VZPS</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2,4</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1D4FCF">
              <w:rPr>
                <w:rFonts w:ascii="Arial Narrow" w:hAnsi="Arial Narrow" w:cs="Arial"/>
                <w:sz w:val="18"/>
                <w:szCs w:val="18"/>
                <w:lang w:eastAsia="sk-SK"/>
              </w:rPr>
              <w:t>4</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1,3</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1,0</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0,8</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12</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Priemerný rast zamestnanosti, podľa evid</w:t>
            </w:r>
            <w:r>
              <w:rPr>
                <w:rFonts w:ascii="Arial Narrow" w:hAnsi="Arial Narrow" w:cs="Arial"/>
                <w:sz w:val="18"/>
                <w:szCs w:val="18"/>
                <w:lang w:eastAsia="sk-SK"/>
              </w:rPr>
              <w:t>.</w:t>
            </w:r>
            <w:r w:rsidRPr="00EA5BE1">
              <w:rPr>
                <w:rFonts w:ascii="Arial Narrow" w:hAnsi="Arial Narrow" w:cs="Arial"/>
                <w:sz w:val="18"/>
                <w:szCs w:val="18"/>
                <w:lang w:eastAsia="sk-SK"/>
              </w:rPr>
              <w:t xml:space="preserve"> počtu</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2,5</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1D4FCF">
              <w:rPr>
                <w:rFonts w:ascii="Arial Narrow" w:hAnsi="Arial Narrow" w:cs="Arial"/>
                <w:sz w:val="18"/>
                <w:szCs w:val="18"/>
                <w:lang w:eastAsia="sk-SK"/>
              </w:rPr>
              <w:t>5</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1,3</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1,0</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0,8</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13</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Priemerný rast zamestnanosti, podľa ESA</w:t>
            </w:r>
            <w:r>
              <w:rPr>
                <w:rFonts w:ascii="Arial Narrow" w:hAnsi="Arial Narrow" w:cs="Arial"/>
                <w:sz w:val="18"/>
                <w:szCs w:val="18"/>
                <w:lang w:eastAsia="sk-SK"/>
              </w:rPr>
              <w:t xml:space="preserve"> </w:t>
            </w:r>
            <w:r w:rsidRPr="00EA5BE1">
              <w:rPr>
                <w:rFonts w:ascii="Arial Narrow" w:hAnsi="Arial Narrow" w:cs="Arial"/>
                <w:sz w:val="18"/>
                <w:szCs w:val="18"/>
                <w:lang w:eastAsia="sk-SK"/>
              </w:rPr>
              <w:t>95</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2,1</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1D4FCF">
              <w:rPr>
                <w:rFonts w:ascii="Arial Narrow" w:hAnsi="Arial Narrow" w:cs="Arial"/>
                <w:sz w:val="18"/>
                <w:szCs w:val="18"/>
                <w:lang w:eastAsia="sk-SK"/>
              </w:rPr>
              <w:t>4</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1,3</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1,0</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0,8</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14</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Priemerná miera nezamestnanosti, podľa VZPS</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11,0</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9,9</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9,4</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9,1</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8,7</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15</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Index spotrebiteľských cien</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priemerný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2,8</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4,</w:t>
            </w:r>
            <w:r w:rsidR="001D4FCF">
              <w:rPr>
                <w:rFonts w:ascii="Arial Narrow" w:hAnsi="Arial Narrow" w:cs="Arial"/>
                <w:sz w:val="18"/>
                <w:szCs w:val="18"/>
                <w:lang w:eastAsia="sk-SK"/>
              </w:rPr>
              <w:t>4</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4</w:t>
            </w:r>
            <w:r w:rsidRPr="00EA5BE1">
              <w:rPr>
                <w:rFonts w:ascii="Arial Narrow" w:hAnsi="Arial Narrow" w:cs="Arial"/>
                <w:sz w:val="18"/>
                <w:szCs w:val="18"/>
                <w:lang w:eastAsia="sk-SK"/>
              </w:rPr>
              <w:t>,</w:t>
            </w:r>
            <w:r w:rsidR="00245191">
              <w:rPr>
                <w:rFonts w:ascii="Arial Narrow" w:hAnsi="Arial Narrow" w:cs="Arial"/>
                <w:sz w:val="18"/>
                <w:szCs w:val="18"/>
                <w:lang w:eastAsia="sk-SK"/>
              </w:rPr>
              <w:t>0</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3</w:t>
            </w:r>
            <w:r w:rsidRPr="00EA5BE1">
              <w:rPr>
                <w:rFonts w:ascii="Arial Narrow" w:hAnsi="Arial Narrow" w:cs="Arial"/>
                <w:sz w:val="18"/>
                <w:szCs w:val="18"/>
                <w:lang w:eastAsia="sk-SK"/>
              </w:rPr>
              <w:t>,</w:t>
            </w:r>
            <w:r w:rsidR="00245191">
              <w:rPr>
                <w:rFonts w:ascii="Arial Narrow" w:hAnsi="Arial Narrow" w:cs="Arial"/>
                <w:sz w:val="18"/>
                <w:szCs w:val="18"/>
                <w:lang w:eastAsia="sk-SK"/>
              </w:rPr>
              <w:t>5</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3,</w:t>
            </w:r>
            <w:r w:rsidR="00245191">
              <w:rPr>
                <w:rFonts w:ascii="Arial Narrow" w:hAnsi="Arial Narrow" w:cs="Arial"/>
                <w:sz w:val="18"/>
                <w:szCs w:val="18"/>
                <w:lang w:eastAsia="sk-SK"/>
              </w:rPr>
              <w:t>6</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16</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Harmonizovaný index spotrebiteľských cien</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w:t>
            </w:r>
            <w:r w:rsidR="004B5D4E">
              <w:rPr>
                <w:rFonts w:ascii="Arial Narrow" w:hAnsi="Arial Narrow" w:cs="Arial"/>
                <w:sz w:val="18"/>
                <w:szCs w:val="18"/>
                <w:lang w:eastAsia="sk-SK"/>
              </w:rPr>
              <w:t>H</w:t>
            </w:r>
            <w:r w:rsidRPr="00EA5BE1">
              <w:rPr>
                <w:rFonts w:ascii="Arial Narrow" w:hAnsi="Arial Narrow" w:cs="Arial"/>
                <w:sz w:val="18"/>
                <w:szCs w:val="18"/>
                <w:lang w:eastAsia="sk-SK"/>
              </w:rPr>
              <w:t>ICP</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1,9</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1D4FCF">
              <w:rPr>
                <w:rFonts w:ascii="Arial Narrow" w:hAnsi="Arial Narrow" w:cs="Arial"/>
                <w:sz w:val="18"/>
                <w:szCs w:val="18"/>
                <w:lang w:eastAsia="sk-SK"/>
              </w:rPr>
              <w:t>4</w:t>
            </w:r>
            <w:r w:rsidRPr="00EA5BE1">
              <w:rPr>
                <w:rFonts w:ascii="Arial Narrow" w:hAnsi="Arial Narrow" w:cs="Arial"/>
                <w:sz w:val="18"/>
                <w:szCs w:val="18"/>
                <w:lang w:eastAsia="sk-SK"/>
              </w:rPr>
              <w:t>,</w:t>
            </w:r>
            <w:r w:rsidR="001D4FCF">
              <w:rPr>
                <w:rFonts w:ascii="Arial Narrow" w:hAnsi="Arial Narrow" w:cs="Arial"/>
                <w:sz w:val="18"/>
                <w:szCs w:val="18"/>
                <w:lang w:eastAsia="sk-SK"/>
              </w:rPr>
              <w:t>0</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3,</w:t>
            </w:r>
            <w:r w:rsidR="00245191">
              <w:rPr>
                <w:rFonts w:ascii="Arial Narrow" w:hAnsi="Arial Narrow" w:cs="Arial"/>
                <w:sz w:val="18"/>
                <w:szCs w:val="18"/>
                <w:lang w:eastAsia="sk-SK"/>
              </w:rPr>
              <w:t>9</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3,</w:t>
            </w:r>
            <w:r w:rsidR="00245191">
              <w:rPr>
                <w:rFonts w:ascii="Arial Narrow" w:hAnsi="Arial Narrow" w:cs="Arial"/>
                <w:sz w:val="18"/>
                <w:szCs w:val="18"/>
                <w:lang w:eastAsia="sk-SK"/>
              </w:rPr>
              <w:t>3</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3,5</w:t>
            </w:r>
          </w:p>
        </w:tc>
      </w:tr>
      <w:tr>
        <w:tblPrEx>
          <w:tblW w:w="9625" w:type="dxa"/>
          <w:tblInd w:w="55" w:type="dxa"/>
          <w:tblCellMar>
            <w:left w:w="70" w:type="dxa"/>
            <w:right w:w="70" w:type="dxa"/>
          </w:tblCellMar>
        </w:tblPrEx>
        <w:trPr>
          <w:trHeight w:val="284"/>
        </w:trPr>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17</w:t>
            </w:r>
          </w:p>
        </w:tc>
        <w:tc>
          <w:tcPr>
            <w:tcW w:w="0" w:type="auto"/>
            <w:tcBorders>
              <w:top w:val="nil"/>
              <w:left w:val="nil"/>
              <w:bottom w:val="nil"/>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Index výrobných cien</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priemerný rast</w:t>
            </w:r>
          </w:p>
        </w:tc>
        <w:tc>
          <w:tcPr>
            <w:tcW w:w="0" w:type="auto"/>
            <w:tcBorders>
              <w:top w:val="nil"/>
              <w:left w:val="nil"/>
              <w:bottom w:val="nil"/>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2,3</w:t>
            </w:r>
          </w:p>
        </w:tc>
        <w:tc>
          <w:tcPr>
            <w:tcW w:w="100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5,7</w:t>
            </w:r>
          </w:p>
        </w:tc>
        <w:tc>
          <w:tcPr>
            <w:tcW w:w="987"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00245191">
              <w:rPr>
                <w:rFonts w:ascii="Arial Narrow" w:hAnsi="Arial Narrow" w:cs="Arial"/>
                <w:sz w:val="18"/>
                <w:szCs w:val="18"/>
                <w:lang w:eastAsia="sk-SK"/>
              </w:rPr>
              <w:t>3</w:t>
            </w:r>
            <w:r w:rsidRPr="00EA5BE1">
              <w:rPr>
                <w:rFonts w:ascii="Arial Narrow" w:hAnsi="Arial Narrow" w:cs="Arial"/>
                <w:sz w:val="18"/>
                <w:szCs w:val="18"/>
                <w:lang w:eastAsia="sk-SK"/>
              </w:rPr>
              <w:t>,</w:t>
            </w:r>
            <w:r w:rsidR="00245191">
              <w:rPr>
                <w:rFonts w:ascii="Arial Narrow" w:hAnsi="Arial Narrow" w:cs="Arial"/>
                <w:sz w:val="18"/>
                <w:szCs w:val="18"/>
                <w:lang w:eastAsia="sk-SK"/>
              </w:rPr>
              <w:t>8</w:t>
            </w:r>
          </w:p>
        </w:tc>
        <w:tc>
          <w:tcPr>
            <w:tcW w:w="986"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245191">
              <w:rPr>
                <w:rFonts w:ascii="Arial Narrow" w:hAnsi="Arial Narrow" w:cs="Arial"/>
                <w:sz w:val="18"/>
                <w:szCs w:val="18"/>
                <w:lang w:eastAsia="sk-SK"/>
              </w:rPr>
              <w:t>5</w:t>
            </w:r>
          </w:p>
        </w:tc>
        <w:tc>
          <w:tcPr>
            <w:tcW w:w="719" w:type="dxa"/>
            <w:tcBorders>
              <w:top w:val="nil"/>
              <w:left w:val="nil"/>
              <w:bottom w:val="nil"/>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245191">
              <w:rPr>
                <w:rFonts w:ascii="Arial Narrow" w:hAnsi="Arial Narrow" w:cs="Arial"/>
                <w:sz w:val="18"/>
                <w:szCs w:val="18"/>
                <w:lang w:eastAsia="sk-SK"/>
              </w:rPr>
              <w:t>2</w:t>
            </w:r>
          </w:p>
        </w:tc>
      </w:tr>
      <w:tr>
        <w:tblPrEx>
          <w:tblW w:w="9625" w:type="dxa"/>
          <w:tblInd w:w="55" w:type="dxa"/>
          <w:tblCellMar>
            <w:left w:w="70" w:type="dxa"/>
            <w:right w:w="70" w:type="dxa"/>
          </w:tblCellMar>
        </w:tblPrEx>
        <w:trPr>
          <w:trHeight w:val="284"/>
        </w:trPr>
        <w:tc>
          <w:tcPr>
            <w:tcW w:w="0" w:type="auto"/>
            <w:tcBorders>
              <w:top w:val="nil"/>
              <w:left w:val="nil"/>
              <w:bottom w:val="single" w:sz="6" w:space="0" w:color="auto"/>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18</w:t>
            </w:r>
          </w:p>
        </w:tc>
        <w:tc>
          <w:tcPr>
            <w:tcW w:w="0" w:type="auto"/>
            <w:tcBorders>
              <w:top w:val="nil"/>
              <w:left w:val="nil"/>
              <w:bottom w:val="single" w:sz="6" w:space="0" w:color="auto"/>
              <w:right w:val="nil"/>
              <w:tl2br w:val="nil"/>
              <w:tr2bl w:val="nil"/>
            </w:tcBorders>
            <w:textDirection w:val="lrTb"/>
            <w:vAlign w:val="bottom"/>
          </w:tcPr>
          <w:p w:rsidR="000E060D" w:rsidRPr="00EA5BE1" w:rsidP="000E060D">
            <w:pPr>
              <w:rPr>
                <w:rFonts w:ascii="Arial Narrow" w:hAnsi="Arial Narrow" w:cs="Arial"/>
                <w:sz w:val="18"/>
                <w:szCs w:val="18"/>
                <w:lang w:eastAsia="sk-SK"/>
              </w:rPr>
            </w:pPr>
            <w:r w:rsidRPr="00EA5BE1">
              <w:rPr>
                <w:rFonts w:ascii="Arial Narrow" w:hAnsi="Arial Narrow" w:cs="Arial"/>
                <w:sz w:val="18"/>
                <w:szCs w:val="18"/>
                <w:lang w:eastAsia="sk-SK"/>
              </w:rPr>
              <w:t>Bilancia bežného účtu</w:t>
            </w:r>
            <w:r w:rsidR="004B5D4E">
              <w:rPr>
                <w:rFonts w:ascii="Arial Narrow" w:hAnsi="Arial Narrow" w:cs="Arial"/>
                <w:sz w:val="18"/>
                <w:szCs w:val="18"/>
                <w:lang w:eastAsia="sk-SK"/>
              </w:rPr>
              <w:t>;</w:t>
            </w:r>
            <w:r w:rsidRPr="00EA5BE1">
              <w:rPr>
                <w:rFonts w:ascii="Arial Narrow" w:hAnsi="Arial Narrow" w:cs="Arial"/>
                <w:sz w:val="18"/>
                <w:szCs w:val="18"/>
                <w:lang w:eastAsia="sk-SK"/>
              </w:rPr>
              <w:t xml:space="preserve"> podiel na HDP</w:t>
            </w:r>
          </w:p>
        </w:tc>
        <w:tc>
          <w:tcPr>
            <w:tcW w:w="0" w:type="auto"/>
            <w:tcBorders>
              <w:top w:val="nil"/>
              <w:left w:val="nil"/>
              <w:bottom w:val="single" w:sz="6" w:space="0" w:color="auto"/>
              <w:right w:val="nil"/>
              <w:tl2br w:val="nil"/>
              <w:tr2bl w:val="nil"/>
            </w:tcBorders>
            <w:noWrap/>
            <w:textDirection w:val="lrTb"/>
            <w:vAlign w:val="bottom"/>
          </w:tcPr>
          <w:p w:rsidR="000E060D" w:rsidRPr="00EA5BE1" w:rsidP="000E060D">
            <w:pPr>
              <w:jc w:val="center"/>
              <w:rPr>
                <w:rFonts w:ascii="Arial Narrow" w:hAnsi="Arial Narrow" w:cs="Arial"/>
                <w:sz w:val="18"/>
                <w:szCs w:val="18"/>
                <w:lang w:eastAsia="sk-SK"/>
              </w:rPr>
            </w:pPr>
            <w:r w:rsidRPr="00EA5BE1">
              <w:rPr>
                <w:rFonts w:ascii="Arial Narrow" w:hAnsi="Arial Narrow" w:cs="Arial"/>
                <w:sz w:val="18"/>
                <w:szCs w:val="18"/>
                <w:lang w:eastAsia="sk-SK"/>
              </w:rPr>
              <w:t>%</w:t>
            </w:r>
          </w:p>
        </w:tc>
        <w:tc>
          <w:tcPr>
            <w:tcW w:w="1263" w:type="dxa"/>
            <w:tcBorders>
              <w:top w:val="nil"/>
              <w:left w:val="nil"/>
              <w:bottom w:val="single" w:sz="6" w:space="0" w:color="auto"/>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-5,3</w:t>
            </w:r>
          </w:p>
        </w:tc>
        <w:tc>
          <w:tcPr>
            <w:tcW w:w="1009" w:type="dxa"/>
            <w:tcBorders>
              <w:top w:val="nil"/>
              <w:left w:val="nil"/>
              <w:bottom w:val="single" w:sz="6" w:space="0" w:color="auto"/>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w:t>
            </w:r>
            <w:r w:rsidR="00245191">
              <w:rPr>
                <w:rFonts w:ascii="Arial Narrow" w:hAnsi="Arial Narrow" w:cs="Arial"/>
                <w:sz w:val="18"/>
                <w:szCs w:val="18"/>
                <w:lang w:eastAsia="sk-SK"/>
              </w:rPr>
              <w:t>5</w:t>
            </w:r>
            <w:r w:rsidRPr="00EA5BE1">
              <w:rPr>
                <w:rFonts w:ascii="Arial Narrow" w:hAnsi="Arial Narrow" w:cs="Arial"/>
                <w:sz w:val="18"/>
                <w:szCs w:val="18"/>
                <w:lang w:eastAsia="sk-SK"/>
              </w:rPr>
              <w:t>,</w:t>
            </w:r>
            <w:r w:rsidR="00245191">
              <w:rPr>
                <w:rFonts w:ascii="Arial Narrow" w:hAnsi="Arial Narrow" w:cs="Arial"/>
                <w:sz w:val="18"/>
                <w:szCs w:val="18"/>
                <w:lang w:eastAsia="sk-SK"/>
              </w:rPr>
              <w:t>0</w:t>
            </w:r>
          </w:p>
        </w:tc>
        <w:tc>
          <w:tcPr>
            <w:tcW w:w="987" w:type="dxa"/>
            <w:tcBorders>
              <w:top w:val="nil"/>
              <w:left w:val="nil"/>
              <w:bottom w:val="single" w:sz="6" w:space="0" w:color="auto"/>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-2,</w:t>
            </w:r>
            <w:r w:rsidR="00245191">
              <w:rPr>
                <w:rFonts w:ascii="Arial Narrow" w:hAnsi="Arial Narrow" w:cs="Arial"/>
                <w:sz w:val="18"/>
                <w:szCs w:val="18"/>
                <w:lang w:eastAsia="sk-SK"/>
              </w:rPr>
              <w:t>9</w:t>
            </w:r>
          </w:p>
        </w:tc>
        <w:tc>
          <w:tcPr>
            <w:tcW w:w="986" w:type="dxa"/>
            <w:tcBorders>
              <w:top w:val="nil"/>
              <w:left w:val="nil"/>
              <w:bottom w:val="single" w:sz="6" w:space="0" w:color="auto"/>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-1,</w:t>
            </w:r>
            <w:r w:rsidR="00245191">
              <w:rPr>
                <w:rFonts w:ascii="Arial Narrow" w:hAnsi="Arial Narrow" w:cs="Arial"/>
                <w:sz w:val="18"/>
                <w:szCs w:val="18"/>
                <w:lang w:eastAsia="sk-SK"/>
              </w:rPr>
              <w:t>7</w:t>
            </w:r>
          </w:p>
        </w:tc>
        <w:tc>
          <w:tcPr>
            <w:tcW w:w="719" w:type="dxa"/>
            <w:tcBorders>
              <w:top w:val="nil"/>
              <w:left w:val="nil"/>
              <w:bottom w:val="single" w:sz="6" w:space="0" w:color="auto"/>
              <w:right w:val="nil"/>
              <w:tl2br w:val="nil"/>
              <w:tr2bl w:val="nil"/>
            </w:tcBorders>
            <w:noWrap/>
            <w:textDirection w:val="lrTb"/>
            <w:vAlign w:val="bottom"/>
          </w:tcPr>
          <w:p w:rsidR="000E060D" w:rsidRPr="00EA5BE1" w:rsidP="00694E16">
            <w:pPr>
              <w:jc w:val="right"/>
              <w:rPr>
                <w:rFonts w:ascii="Arial Narrow" w:hAnsi="Arial Narrow" w:cs="Arial"/>
                <w:sz w:val="18"/>
                <w:szCs w:val="18"/>
                <w:lang w:eastAsia="sk-SK"/>
              </w:rPr>
            </w:pPr>
            <w:r w:rsidRPr="00EA5BE1">
              <w:rPr>
                <w:rFonts w:ascii="Arial Narrow" w:hAnsi="Arial Narrow" w:cs="Arial"/>
                <w:sz w:val="18"/>
                <w:szCs w:val="18"/>
                <w:lang w:eastAsia="sk-SK"/>
              </w:rPr>
              <w:t>-0,</w:t>
            </w:r>
            <w:r w:rsidR="00245191">
              <w:rPr>
                <w:rFonts w:ascii="Arial Narrow" w:hAnsi="Arial Narrow" w:cs="Arial"/>
                <w:sz w:val="18"/>
                <w:szCs w:val="18"/>
                <w:lang w:eastAsia="sk-SK"/>
              </w:rPr>
              <w:t>8</w:t>
            </w:r>
          </w:p>
        </w:tc>
      </w:tr>
      <w:tr>
        <w:tblPrEx>
          <w:tblW w:w="9625" w:type="dxa"/>
          <w:tblInd w:w="55" w:type="dxa"/>
          <w:tblCellMar>
            <w:left w:w="70" w:type="dxa"/>
            <w:right w:w="70" w:type="dxa"/>
          </w:tblCellMar>
        </w:tblPrEx>
        <w:trPr>
          <w:trHeight w:val="284"/>
        </w:trPr>
        <w:tc>
          <w:tcPr>
            <w:tcW w:w="9625" w:type="dxa"/>
            <w:gridSpan w:val="8"/>
            <w:tcBorders>
              <w:top w:val="single" w:sz="6" w:space="0" w:color="auto"/>
              <w:left w:val="nil"/>
              <w:bottom w:val="nil"/>
              <w:right w:val="nil"/>
              <w:tl2br w:val="nil"/>
              <w:tr2bl w:val="nil"/>
            </w:tcBorders>
            <w:noWrap/>
            <w:textDirection w:val="lrTb"/>
            <w:vAlign w:val="bottom"/>
          </w:tcPr>
          <w:p w:rsidR="000E060D" w:rsidRPr="00AF12A3" w:rsidP="000E060D">
            <w:pPr>
              <w:jc w:val="right"/>
              <w:rPr>
                <w:rFonts w:ascii="Arial Narrow" w:hAnsi="Arial Narrow" w:cs="Arial"/>
                <w:i/>
                <w:iCs/>
                <w:sz w:val="18"/>
                <w:szCs w:val="18"/>
                <w:lang w:eastAsia="sk-SK"/>
              </w:rPr>
            </w:pPr>
            <w:r w:rsidRPr="00EA5BE1">
              <w:rPr>
                <w:rFonts w:ascii="Arial Narrow" w:hAnsi="Arial Narrow" w:cs="Arial"/>
                <w:i/>
                <w:iCs/>
                <w:sz w:val="18"/>
                <w:szCs w:val="18"/>
                <w:lang w:eastAsia="sk-SK"/>
              </w:rPr>
              <w:t xml:space="preserve"> Zdroj: MF SR</w:t>
            </w:r>
          </w:p>
        </w:tc>
      </w:tr>
    </w:tbl>
    <w:p w:rsidR="000E060D" w:rsidRPr="007440DD" w:rsidP="000E060D">
      <w:pPr>
        <w:spacing w:before="120"/>
        <w:rPr>
          <w:rFonts w:ascii="Arial Narrow" w:hAnsi="Arial Narrow" w:cs="Times New Roman"/>
          <w:b/>
          <w:sz w:val="22"/>
          <w:szCs w:val="22"/>
        </w:rPr>
      </w:pPr>
      <w:r w:rsidRPr="007440DD">
        <w:rPr>
          <w:rFonts w:ascii="Arial Narrow" w:hAnsi="Arial Narrow" w:cs="Times New Roman"/>
          <w:b/>
          <w:sz w:val="22"/>
          <w:szCs w:val="22"/>
        </w:rPr>
        <w:t>Vyjadrenia členov Výboru pre</w:t>
      </w:r>
      <w:r w:rsidRPr="007440DD">
        <w:rPr>
          <w:rFonts w:ascii="Arial Narrow" w:hAnsi="Arial Narrow" w:cs="Times New Roman"/>
          <w:b/>
          <w:sz w:val="22"/>
          <w:szCs w:val="22"/>
        </w:rPr>
        <w:t xml:space="preserve"> makroekonomické prognózovanie k prognózam MF SR</w:t>
      </w:r>
    </w:p>
    <w:p w:rsidR="000E060D" w:rsidP="000E060D">
      <w:pPr>
        <w:ind w:firstLine="708"/>
        <w:jc w:val="both"/>
        <w:rPr>
          <w:rFonts w:ascii="Arial Narrow" w:hAnsi="Arial Narrow" w:cs="Times New Roman"/>
          <w:sz w:val="22"/>
          <w:szCs w:val="22"/>
        </w:rPr>
      </w:pPr>
    </w:p>
    <w:p w:rsidR="000E060D" w:rsidP="000E060D">
      <w:pPr>
        <w:ind w:firstLine="708"/>
        <w:jc w:val="both"/>
        <w:rPr>
          <w:rFonts w:ascii="Arial Narrow" w:hAnsi="Arial Narrow" w:cs="Times New Roman"/>
          <w:sz w:val="22"/>
          <w:szCs w:val="22"/>
        </w:rPr>
      </w:pPr>
      <w:r w:rsidRPr="006E5AEF">
        <w:rPr>
          <w:rFonts w:ascii="Arial Narrow" w:hAnsi="Arial Narrow" w:cs="Times New Roman"/>
          <w:sz w:val="22"/>
          <w:szCs w:val="22"/>
        </w:rPr>
        <w:t xml:space="preserve">Prognóza makroekonomického vývoja vypracovaná MF SR bola podrobená hodnoteniu v rámci Výboru pre makroekonomické prognózovanie, ktorého </w:t>
      </w:r>
      <w:r w:rsidR="007A3F07">
        <w:rPr>
          <w:rFonts w:ascii="Arial Narrow" w:hAnsi="Arial Narrow" w:cs="Times New Roman"/>
          <w:sz w:val="22"/>
          <w:szCs w:val="22"/>
        </w:rPr>
        <w:t>pätnáste</w:t>
      </w:r>
      <w:r w:rsidRPr="006E5AEF">
        <w:rPr>
          <w:rFonts w:ascii="Arial Narrow" w:hAnsi="Arial Narrow" w:cs="Times New Roman"/>
          <w:sz w:val="22"/>
          <w:szCs w:val="22"/>
        </w:rPr>
        <w:t xml:space="preserve"> zasadnutie sa konalo </w:t>
      </w:r>
      <w:r w:rsidR="007A3F07">
        <w:rPr>
          <w:rFonts w:ascii="Arial Narrow" w:hAnsi="Arial Narrow" w:cs="Times New Roman"/>
          <w:sz w:val="22"/>
          <w:szCs w:val="22"/>
        </w:rPr>
        <w:t>12</w:t>
      </w:r>
      <w:r w:rsidRPr="006E5AEF">
        <w:rPr>
          <w:rFonts w:ascii="Arial Narrow" w:hAnsi="Arial Narrow" w:cs="Times New Roman"/>
          <w:sz w:val="22"/>
          <w:szCs w:val="22"/>
        </w:rPr>
        <w:t xml:space="preserve">. </w:t>
      </w:r>
      <w:r w:rsidR="007A3F07">
        <w:rPr>
          <w:rFonts w:ascii="Arial Narrow" w:hAnsi="Arial Narrow" w:cs="Times New Roman"/>
          <w:sz w:val="22"/>
          <w:szCs w:val="22"/>
        </w:rPr>
        <w:t xml:space="preserve">septembra </w:t>
      </w:r>
      <w:r w:rsidRPr="006E5AEF">
        <w:rPr>
          <w:rFonts w:ascii="Arial Narrow" w:hAnsi="Arial Narrow" w:cs="Times New Roman"/>
          <w:sz w:val="22"/>
          <w:szCs w:val="22"/>
        </w:rPr>
        <w:t>200</w:t>
      </w:r>
      <w:r>
        <w:rPr>
          <w:rFonts w:ascii="Arial Narrow" w:hAnsi="Arial Narrow" w:cs="Times New Roman"/>
          <w:sz w:val="22"/>
          <w:szCs w:val="22"/>
        </w:rPr>
        <w:t>8</w:t>
      </w:r>
      <w:r w:rsidRPr="006E5AEF">
        <w:rPr>
          <w:rFonts w:ascii="Arial Narrow" w:hAnsi="Arial Narrow" w:cs="Times New Roman"/>
          <w:sz w:val="22"/>
          <w:szCs w:val="22"/>
        </w:rPr>
        <w:t xml:space="preserve">. Výsledkom je celkové hodnotenie charakteru definitívnej prognózy MF SR. Strednodobá prognóza makroekonomického vývoja vypracovaná MF SR </w:t>
      </w:r>
      <w:r>
        <w:rPr>
          <w:rFonts w:ascii="Arial Narrow" w:hAnsi="Arial Narrow" w:cs="Times New Roman"/>
          <w:sz w:val="22"/>
          <w:szCs w:val="22"/>
        </w:rPr>
        <w:t>je väčšinou členov Výboru charakterizovaná</w:t>
      </w:r>
      <w:r w:rsidRPr="006E5AEF">
        <w:rPr>
          <w:rFonts w:ascii="Arial Narrow" w:hAnsi="Arial Narrow" w:cs="Times New Roman"/>
          <w:sz w:val="22"/>
          <w:szCs w:val="22"/>
        </w:rPr>
        <w:t xml:space="preserve"> ako </w:t>
      </w:r>
      <w:r w:rsidRPr="00407A67">
        <w:rPr>
          <w:rFonts w:ascii="Arial Narrow" w:hAnsi="Arial Narrow" w:cs="Times New Roman"/>
          <w:sz w:val="22"/>
          <w:szCs w:val="22"/>
        </w:rPr>
        <w:t>realistická</w:t>
      </w:r>
      <w:r>
        <w:rPr>
          <w:rFonts w:ascii="Arial Narrow" w:hAnsi="Arial Narrow" w:cs="Times New Roman"/>
          <w:sz w:val="22"/>
          <w:szCs w:val="22"/>
        </w:rPr>
        <w:t>.</w:t>
      </w:r>
      <w:r w:rsidRPr="006E5AEF">
        <w:rPr>
          <w:rFonts w:ascii="Arial Narrow" w:hAnsi="Arial Narrow" w:cs="Times New Roman"/>
          <w:sz w:val="22"/>
          <w:szCs w:val="22"/>
        </w:rPr>
        <w:t xml:space="preserve"> SAV označila prognózu z</w:t>
      </w:r>
      <w:r>
        <w:rPr>
          <w:rFonts w:ascii="Arial Narrow" w:hAnsi="Arial Narrow" w:cs="Times New Roman"/>
          <w:sz w:val="22"/>
          <w:szCs w:val="22"/>
        </w:rPr>
        <w:t>o</w:t>
      </w:r>
      <w:r w:rsidRPr="006E5AEF">
        <w:rPr>
          <w:rFonts w:ascii="Arial Narrow" w:hAnsi="Arial Narrow" w:cs="Times New Roman"/>
          <w:sz w:val="22"/>
          <w:szCs w:val="22"/>
        </w:rPr>
        <w:t xml:space="preserve"> </w:t>
      </w:r>
      <w:r>
        <w:rPr>
          <w:rFonts w:ascii="Arial Narrow" w:hAnsi="Arial Narrow" w:cs="Times New Roman"/>
          <w:sz w:val="22"/>
          <w:szCs w:val="22"/>
        </w:rPr>
        <w:t xml:space="preserve">      6</w:t>
      </w:r>
      <w:r w:rsidR="007A3F07">
        <w:rPr>
          <w:rFonts w:ascii="Arial Narrow" w:hAnsi="Arial Narrow" w:cs="Times New Roman"/>
          <w:sz w:val="22"/>
          <w:szCs w:val="22"/>
        </w:rPr>
        <w:t>7</w:t>
      </w:r>
      <w:r>
        <w:rPr>
          <w:rFonts w:ascii="Arial Narrow" w:hAnsi="Arial Narrow" w:cs="Times New Roman"/>
          <w:sz w:val="22"/>
          <w:szCs w:val="22"/>
        </w:rPr>
        <w:t xml:space="preserve"> </w:t>
      </w:r>
      <w:r w:rsidRPr="006E5AEF">
        <w:rPr>
          <w:rFonts w:ascii="Arial Narrow" w:hAnsi="Arial Narrow" w:cs="Times New Roman"/>
          <w:sz w:val="22"/>
          <w:szCs w:val="22"/>
        </w:rPr>
        <w:t xml:space="preserve">% ako </w:t>
      </w:r>
      <w:r w:rsidRPr="007A3F07">
        <w:rPr>
          <w:rFonts w:ascii="Arial Narrow" w:hAnsi="Arial Narrow" w:cs="Times New Roman"/>
          <w:sz w:val="22"/>
          <w:szCs w:val="22"/>
        </w:rPr>
        <w:t>realistickú</w:t>
      </w:r>
      <w:r w:rsidRPr="006E5AEF">
        <w:rPr>
          <w:rFonts w:ascii="Arial Narrow" w:hAnsi="Arial Narrow" w:cs="Times New Roman"/>
          <w:sz w:val="22"/>
          <w:szCs w:val="22"/>
        </w:rPr>
        <w:t>, 1</w:t>
      </w:r>
      <w:r w:rsidR="007A3F07">
        <w:rPr>
          <w:rFonts w:ascii="Arial Narrow" w:hAnsi="Arial Narrow" w:cs="Times New Roman"/>
          <w:sz w:val="22"/>
          <w:szCs w:val="22"/>
        </w:rPr>
        <w:t>9</w:t>
      </w:r>
      <w:r>
        <w:rPr>
          <w:rFonts w:ascii="Arial Narrow" w:hAnsi="Arial Narrow" w:cs="Times New Roman"/>
          <w:sz w:val="22"/>
          <w:szCs w:val="22"/>
        </w:rPr>
        <w:t xml:space="preserve"> </w:t>
      </w:r>
      <w:r w:rsidRPr="006E5AEF">
        <w:rPr>
          <w:rFonts w:ascii="Arial Narrow" w:hAnsi="Arial Narrow" w:cs="Times New Roman"/>
          <w:sz w:val="22"/>
          <w:szCs w:val="22"/>
        </w:rPr>
        <w:t xml:space="preserve">% </w:t>
      </w:r>
      <w:r w:rsidRPr="007A3F07">
        <w:rPr>
          <w:rFonts w:ascii="Arial Narrow" w:hAnsi="Arial Narrow" w:cs="Times New Roman"/>
          <w:sz w:val="22"/>
          <w:szCs w:val="22"/>
        </w:rPr>
        <w:t>optimistickú</w:t>
      </w:r>
      <w:r w:rsidRPr="006E5AEF">
        <w:rPr>
          <w:rFonts w:ascii="Arial Narrow" w:hAnsi="Arial Narrow" w:cs="Times New Roman"/>
          <w:sz w:val="22"/>
          <w:szCs w:val="22"/>
        </w:rPr>
        <w:t xml:space="preserve"> </w:t>
      </w:r>
      <w:r>
        <w:rPr>
          <w:rFonts w:ascii="Arial Narrow" w:hAnsi="Arial Narrow" w:cs="Times New Roman"/>
          <w:sz w:val="22"/>
          <w:szCs w:val="22"/>
        </w:rPr>
        <w:t>a 1</w:t>
      </w:r>
      <w:r w:rsidR="007A3F07">
        <w:rPr>
          <w:rFonts w:ascii="Arial Narrow" w:hAnsi="Arial Narrow" w:cs="Times New Roman"/>
          <w:sz w:val="22"/>
          <w:szCs w:val="22"/>
        </w:rPr>
        <w:t>4</w:t>
      </w:r>
      <w:r>
        <w:rPr>
          <w:rFonts w:ascii="Arial Narrow" w:hAnsi="Arial Narrow" w:cs="Times New Roman"/>
          <w:sz w:val="22"/>
          <w:szCs w:val="22"/>
        </w:rPr>
        <w:t xml:space="preserve"> </w:t>
      </w:r>
      <w:r w:rsidRPr="006E5AEF">
        <w:rPr>
          <w:rFonts w:ascii="Arial Narrow" w:hAnsi="Arial Narrow" w:cs="Times New Roman"/>
          <w:sz w:val="22"/>
          <w:szCs w:val="22"/>
        </w:rPr>
        <w:t xml:space="preserve">% </w:t>
      </w:r>
      <w:r w:rsidRPr="007A3F07">
        <w:rPr>
          <w:rFonts w:ascii="Arial Narrow" w:hAnsi="Arial Narrow" w:cs="Times New Roman"/>
          <w:sz w:val="22"/>
          <w:szCs w:val="22"/>
        </w:rPr>
        <w:t>konzervatívnu</w:t>
      </w:r>
      <w:r w:rsidRPr="007A3F07" w:rsidR="007A3F07">
        <w:rPr>
          <w:rFonts w:ascii="Arial Narrow" w:hAnsi="Arial Narrow" w:cs="Times New Roman"/>
          <w:sz w:val="22"/>
          <w:szCs w:val="22"/>
        </w:rPr>
        <w:t>.</w:t>
      </w:r>
      <w:r>
        <w:rPr>
          <w:rFonts w:ascii="Arial Narrow" w:hAnsi="Arial Narrow" w:cs="Times New Roman"/>
          <w:b/>
          <w:sz w:val="22"/>
          <w:szCs w:val="22"/>
        </w:rPr>
        <w:t xml:space="preserve"> </w:t>
      </w:r>
      <w:r>
        <w:rPr>
          <w:rFonts w:ascii="Arial Narrow" w:hAnsi="Arial Narrow" w:cs="Times New Roman"/>
          <w:sz w:val="22"/>
          <w:szCs w:val="22"/>
        </w:rPr>
        <w:t xml:space="preserve">ČSOB označila prognózu ako </w:t>
      </w:r>
      <w:r w:rsidRPr="007A3F07">
        <w:rPr>
          <w:rFonts w:ascii="Arial Narrow" w:hAnsi="Arial Narrow" w:cs="Times New Roman"/>
          <w:sz w:val="22"/>
          <w:szCs w:val="22"/>
        </w:rPr>
        <w:t>realistickú až mierne optimistickú</w:t>
      </w:r>
      <w:r w:rsidR="007A3F07">
        <w:rPr>
          <w:rFonts w:ascii="Arial Narrow" w:hAnsi="Arial Narrow" w:cs="Times New Roman"/>
          <w:sz w:val="22"/>
          <w:szCs w:val="22"/>
        </w:rPr>
        <w:t>.</w:t>
      </w:r>
    </w:p>
    <w:p w:rsidR="00985CEC" w:rsidRPr="006E5AEF" w:rsidP="000E060D">
      <w:pPr>
        <w:ind w:firstLine="708"/>
        <w:jc w:val="both"/>
        <w:rPr>
          <w:rFonts w:ascii="Arial Narrow" w:hAnsi="Arial Narrow" w:cs="Times New Roman"/>
          <w:sz w:val="22"/>
          <w:szCs w:val="22"/>
        </w:rPr>
      </w:pPr>
    </w:p>
    <w:p w:rsidR="000E060D" w:rsidRPr="006E5AEF" w:rsidP="000E060D">
      <w:pPr>
        <w:pStyle w:val="FootnoteText"/>
        <w:spacing w:before="120"/>
        <w:jc w:val="both"/>
        <w:rPr>
          <w:rFonts w:ascii="Arial Narrow" w:hAnsi="Arial Narrow" w:cs="Times New Roman"/>
          <w:bCs/>
          <w:i/>
          <w:sz w:val="22"/>
          <w:szCs w:val="22"/>
          <w:u w:val="single"/>
        </w:rPr>
      </w:pPr>
      <w:r w:rsidRPr="006E5AEF">
        <w:rPr>
          <w:rFonts w:ascii="Arial Narrow" w:hAnsi="Arial Narrow" w:cs="Times New Roman"/>
          <w:bCs/>
          <w:sz w:val="22"/>
          <w:szCs w:val="22"/>
          <w:u w:val="single"/>
        </w:rPr>
        <w:t>NBS</w:t>
      </w:r>
    </w:p>
    <w:p w:rsidR="00267BAD" w:rsidP="000E060D">
      <w:pPr>
        <w:keepNext/>
        <w:keepLines/>
        <w:tabs>
          <w:tab w:val="left" w:pos="0"/>
        </w:tabs>
        <w:spacing w:before="48" w:after="48"/>
        <w:jc w:val="both"/>
        <w:rPr>
          <w:rFonts w:ascii="Arial Narrow" w:hAnsi="Arial Narrow" w:cs="Times New Roman"/>
          <w:sz w:val="22"/>
          <w:szCs w:val="22"/>
        </w:rPr>
      </w:pPr>
      <w:r w:rsidRPr="00407A67" w:rsidR="000E060D">
        <w:rPr>
          <w:rFonts w:ascii="Arial Narrow" w:hAnsi="Arial Narrow" w:cs="Times New Roman"/>
          <w:sz w:val="22"/>
          <w:szCs w:val="22"/>
        </w:rPr>
        <w:t>Hodnotenie aktuálnej prognózy MF SR</w:t>
      </w:r>
      <w:r w:rsidRPr="00407A67" w:rsidR="000E060D">
        <w:rPr>
          <w:rFonts w:ascii="Arial Narrow" w:hAnsi="Arial Narrow" w:cs="Times New Roman"/>
          <w:sz w:val="22"/>
          <w:szCs w:val="22"/>
        </w:rPr>
        <w:t xml:space="preserve"> vychádza z jej porovnania s poslednou prognózou NBS (strednodobá predikcia P</w:t>
      </w:r>
      <w:r>
        <w:rPr>
          <w:rFonts w:ascii="Arial Narrow" w:hAnsi="Arial Narrow" w:cs="Times New Roman"/>
          <w:sz w:val="22"/>
          <w:szCs w:val="22"/>
        </w:rPr>
        <w:t>3</w:t>
      </w:r>
      <w:r w:rsidRPr="00407A67" w:rsidR="000E060D">
        <w:rPr>
          <w:rFonts w:ascii="Arial Narrow" w:hAnsi="Arial Narrow" w:cs="Times New Roman"/>
          <w:sz w:val="22"/>
          <w:szCs w:val="22"/>
        </w:rPr>
        <w:t xml:space="preserve">Q-2008) a taktiež zohľadňuje aktuálny makroekonomický vývoj. Obe inštitúcie predpokladajú </w:t>
      </w:r>
      <w:r>
        <w:rPr>
          <w:rFonts w:ascii="Arial Narrow" w:hAnsi="Arial Narrow" w:cs="Times New Roman"/>
          <w:sz w:val="22"/>
          <w:szCs w:val="22"/>
        </w:rPr>
        <w:t xml:space="preserve">postupné </w:t>
      </w:r>
      <w:r w:rsidRPr="00407A67" w:rsidR="000E060D">
        <w:rPr>
          <w:rFonts w:ascii="Arial Narrow" w:hAnsi="Arial Narrow" w:cs="Times New Roman"/>
          <w:sz w:val="22"/>
          <w:szCs w:val="22"/>
        </w:rPr>
        <w:t>spoma</w:t>
      </w:r>
      <w:r>
        <w:rPr>
          <w:rFonts w:ascii="Arial Narrow" w:hAnsi="Arial Narrow" w:cs="Times New Roman"/>
          <w:sz w:val="22"/>
          <w:szCs w:val="22"/>
        </w:rPr>
        <w:t>ľovanie</w:t>
      </w:r>
      <w:r w:rsidRPr="00407A67" w:rsidR="000E060D">
        <w:rPr>
          <w:rFonts w:ascii="Arial Narrow" w:hAnsi="Arial Narrow" w:cs="Times New Roman"/>
          <w:sz w:val="22"/>
          <w:szCs w:val="22"/>
        </w:rPr>
        <w:t xml:space="preserve"> ekonomického rastu </w:t>
      </w:r>
      <w:r>
        <w:rPr>
          <w:rFonts w:ascii="Arial Narrow" w:hAnsi="Arial Narrow" w:cs="Times New Roman"/>
          <w:sz w:val="22"/>
          <w:szCs w:val="22"/>
        </w:rPr>
        <w:t xml:space="preserve">v celom strednodobom horizonte. </w:t>
      </w:r>
      <w:r w:rsidRPr="00407A67" w:rsidR="000E060D">
        <w:rPr>
          <w:rFonts w:ascii="Arial Narrow" w:hAnsi="Arial Narrow" w:cs="Times New Roman"/>
          <w:sz w:val="22"/>
          <w:szCs w:val="22"/>
        </w:rPr>
        <w:t>Rovnako porovnateľný je aj vývoj spotrebiteľských cien v oboch prognózach. Z hľadiska trhu práce predpokladá prognóza MF SR ako aj prognóza NBS medziročné zlepšovanie jeho vývoja</w:t>
      </w:r>
      <w:r w:rsidR="000E060D">
        <w:rPr>
          <w:rFonts w:ascii="Arial Narrow" w:hAnsi="Arial Narrow" w:cs="Times New Roman"/>
          <w:sz w:val="22"/>
          <w:szCs w:val="22"/>
        </w:rPr>
        <w:t>,</w:t>
      </w:r>
      <w:r w:rsidRPr="00407A67" w:rsidR="000E060D">
        <w:rPr>
          <w:rFonts w:ascii="Arial Narrow" w:hAnsi="Arial Narrow" w:cs="Times New Roman"/>
          <w:sz w:val="22"/>
          <w:szCs w:val="22"/>
        </w:rPr>
        <w:t xml:space="preserve"> t.</w:t>
      </w:r>
      <w:r>
        <w:rPr>
          <w:rFonts w:ascii="Arial Narrow" w:hAnsi="Arial Narrow" w:cs="Times New Roman"/>
          <w:sz w:val="22"/>
          <w:szCs w:val="22"/>
        </w:rPr>
        <w:t xml:space="preserve"> </w:t>
      </w:r>
      <w:r w:rsidRPr="00407A67" w:rsidR="000E060D">
        <w:rPr>
          <w:rFonts w:ascii="Arial Narrow" w:hAnsi="Arial Narrow" w:cs="Times New Roman"/>
          <w:sz w:val="22"/>
          <w:szCs w:val="22"/>
        </w:rPr>
        <w:t>j. pokles nezamestnanosti a rast zamestnanosti.</w:t>
      </w:r>
    </w:p>
    <w:p w:rsidR="00267BAD" w:rsidRPr="006E5AEF" w:rsidP="00267BAD">
      <w:pPr>
        <w:pStyle w:val="FootnoteText"/>
        <w:spacing w:before="240"/>
        <w:jc w:val="both"/>
        <w:rPr>
          <w:rFonts w:ascii="Arial Narrow" w:hAnsi="Arial Narrow" w:cs="Times New Roman"/>
          <w:bCs/>
          <w:sz w:val="22"/>
          <w:szCs w:val="22"/>
        </w:rPr>
      </w:pPr>
      <w:r w:rsidRPr="006E5AEF">
        <w:rPr>
          <w:rFonts w:ascii="Arial Narrow" w:hAnsi="Arial Narrow" w:cs="Times New Roman"/>
          <w:bCs/>
          <w:sz w:val="22"/>
          <w:szCs w:val="22"/>
          <w:u w:val="single"/>
        </w:rPr>
        <w:t>INFOSTAT</w:t>
      </w:r>
      <w:r w:rsidRPr="006E5AEF">
        <w:rPr>
          <w:rFonts w:ascii="Arial Narrow" w:hAnsi="Arial Narrow" w:cs="Times New Roman"/>
          <w:bCs/>
          <w:sz w:val="22"/>
          <w:szCs w:val="22"/>
        </w:rPr>
        <w:t xml:space="preserve"> </w:t>
      </w:r>
    </w:p>
    <w:p w:rsidR="00267BAD" w:rsidRPr="00C35EFE" w:rsidP="00267BAD">
      <w:pPr>
        <w:jc w:val="both"/>
        <w:rPr>
          <w:rFonts w:ascii="Arial Narrow" w:hAnsi="Arial Narrow" w:cs="Arial"/>
          <w:sz w:val="22"/>
          <w:szCs w:val="22"/>
        </w:rPr>
      </w:pPr>
      <w:r>
        <w:rPr>
          <w:rFonts w:ascii="Arial Narrow" w:hAnsi="Arial Narrow" w:cs="Arial"/>
          <w:sz w:val="22"/>
          <w:szCs w:val="22"/>
        </w:rPr>
        <w:t xml:space="preserve">S realizovanými korekciami, ktoré boli dôsledkom diskusie na makrovýbore, sa stotožňujú. </w:t>
      </w:r>
      <w:r w:rsidRPr="00C35EFE">
        <w:rPr>
          <w:rFonts w:ascii="Arial Narrow" w:hAnsi="Arial Narrow" w:cs="Arial"/>
          <w:sz w:val="22"/>
          <w:szCs w:val="22"/>
        </w:rPr>
        <w:t>I</w:t>
      </w:r>
      <w:r w:rsidR="00411FD2">
        <w:rPr>
          <w:rFonts w:ascii="Arial Narrow" w:hAnsi="Arial Narrow" w:cs="Arial"/>
          <w:sz w:val="22"/>
          <w:szCs w:val="22"/>
        </w:rPr>
        <w:t xml:space="preserve">NFOSTAT preto hodnotí </w:t>
      </w:r>
      <w:r w:rsidRPr="00C35EFE">
        <w:rPr>
          <w:rFonts w:ascii="Arial Narrow" w:hAnsi="Arial Narrow" w:cs="Arial"/>
          <w:sz w:val="22"/>
          <w:szCs w:val="22"/>
        </w:rPr>
        <w:t xml:space="preserve">finálnu verziu </w:t>
      </w:r>
      <w:r w:rsidR="00411FD2">
        <w:rPr>
          <w:rFonts w:ascii="Arial Narrow" w:hAnsi="Arial Narrow" w:cs="Arial"/>
          <w:sz w:val="22"/>
          <w:szCs w:val="22"/>
        </w:rPr>
        <w:t xml:space="preserve">septembrovej </w:t>
      </w:r>
      <w:r w:rsidRPr="00C35EFE">
        <w:rPr>
          <w:rFonts w:ascii="Arial Narrow" w:hAnsi="Arial Narrow" w:cs="Arial"/>
          <w:sz w:val="22"/>
          <w:szCs w:val="22"/>
        </w:rPr>
        <w:t xml:space="preserve">prognózy </w:t>
      </w:r>
      <w:r w:rsidR="00440D60">
        <w:rPr>
          <w:rFonts w:ascii="Arial Narrow" w:hAnsi="Arial Narrow" w:cs="Arial"/>
          <w:sz w:val="22"/>
          <w:szCs w:val="22"/>
        </w:rPr>
        <w:t>MF SR</w:t>
      </w:r>
      <w:r w:rsidRPr="00C35EFE">
        <w:rPr>
          <w:rFonts w:ascii="Arial Narrow" w:hAnsi="Arial Narrow" w:cs="Arial"/>
          <w:sz w:val="22"/>
          <w:szCs w:val="22"/>
        </w:rPr>
        <w:t xml:space="preserve"> </w:t>
      </w:r>
      <w:r w:rsidR="00411FD2">
        <w:rPr>
          <w:rFonts w:ascii="Arial Narrow" w:hAnsi="Arial Narrow" w:cs="Arial"/>
          <w:sz w:val="22"/>
          <w:szCs w:val="22"/>
        </w:rPr>
        <w:t>ako realistickú a vnútorne konzistentnú, s dodatkom, že odhad rastu konečnej spotreby verejnej správy považujú – vzhľadom na jej vý</w:t>
      </w:r>
      <w:r w:rsidR="00411FD2">
        <w:rPr>
          <w:rFonts w:ascii="Arial Narrow" w:hAnsi="Arial Narrow" w:cs="Arial"/>
          <w:sz w:val="22"/>
          <w:szCs w:val="22"/>
        </w:rPr>
        <w:t xml:space="preserve">voj v 1. polroku 2008 – za konzervatívny. </w:t>
      </w:r>
    </w:p>
    <w:p w:rsidR="00267BAD" w:rsidRPr="00407A67" w:rsidP="000E060D">
      <w:pPr>
        <w:keepNext/>
        <w:keepLines/>
        <w:tabs>
          <w:tab w:val="left" w:pos="0"/>
        </w:tabs>
        <w:spacing w:before="48" w:after="48"/>
        <w:jc w:val="both"/>
        <w:rPr>
          <w:rFonts w:ascii="Arial Narrow" w:hAnsi="Arial Narrow" w:cs="Times New Roman"/>
          <w:bCs/>
          <w:sz w:val="22"/>
          <w:szCs w:val="22"/>
        </w:rPr>
      </w:pPr>
    </w:p>
    <w:p w:rsidR="000E060D" w:rsidRPr="006E5AEF" w:rsidP="000E060D">
      <w:pPr>
        <w:pStyle w:val="FootnoteText"/>
        <w:spacing w:before="120"/>
        <w:jc w:val="both"/>
        <w:rPr>
          <w:rFonts w:ascii="Arial Narrow" w:hAnsi="Arial Narrow" w:cs="Times New Roman"/>
          <w:b/>
          <w:bCs/>
          <w:sz w:val="22"/>
          <w:szCs w:val="22"/>
        </w:rPr>
      </w:pPr>
      <w:r w:rsidRPr="006E5AEF">
        <w:rPr>
          <w:rFonts w:ascii="Arial Narrow" w:hAnsi="Arial Narrow" w:cs="Times New Roman"/>
          <w:bCs/>
          <w:sz w:val="22"/>
          <w:szCs w:val="22"/>
          <w:u w:val="single"/>
        </w:rPr>
        <w:t>ČSOB</w:t>
      </w:r>
    </w:p>
    <w:p w:rsidR="000E060D" w:rsidP="002D7105">
      <w:pPr>
        <w:pStyle w:val="FootnoteText"/>
        <w:jc w:val="both"/>
        <w:rPr>
          <w:rFonts w:ascii="Arial Narrow" w:hAnsi="Arial Narrow" w:cs="Times New Roman"/>
          <w:bCs/>
          <w:sz w:val="22"/>
          <w:szCs w:val="22"/>
        </w:rPr>
      </w:pPr>
      <w:r w:rsidR="00411FD2">
        <w:rPr>
          <w:rFonts w:ascii="Arial Narrow" w:hAnsi="Arial Narrow" w:cs="Times New Roman"/>
          <w:bCs/>
          <w:sz w:val="22"/>
          <w:szCs w:val="22"/>
        </w:rPr>
        <w:t xml:space="preserve">Prognózu </w:t>
      </w:r>
      <w:r w:rsidR="00440D60">
        <w:rPr>
          <w:rFonts w:ascii="Arial Narrow" w:hAnsi="Arial Narrow" w:cs="Times New Roman"/>
          <w:bCs/>
          <w:sz w:val="22"/>
          <w:szCs w:val="22"/>
        </w:rPr>
        <w:t>MF SR</w:t>
      </w:r>
      <w:r w:rsidR="00411FD2">
        <w:rPr>
          <w:rFonts w:ascii="Arial Narrow" w:hAnsi="Arial Narrow" w:cs="Times New Roman"/>
          <w:bCs/>
          <w:sz w:val="22"/>
          <w:szCs w:val="22"/>
        </w:rPr>
        <w:t xml:space="preserve"> považujú za: „mierne optimistickú“ vzhľadom na to, že predikcia reálneho rastu HDP je mierne nad ich odhadom. Tento rozdiel však nie je markantný. Na druhej strane vnímajú riziká a pozorne sledujú náznaky slabšieho externého dopytu. Napriek tomu, že aktuálne prognózy nemenili, postupne vzniká riziko ich postupného posunu smerom dole v budúcnosti. </w:t>
      </w:r>
    </w:p>
    <w:p w:rsidR="00327341" w:rsidP="000E060D">
      <w:pPr>
        <w:pStyle w:val="FootnoteText"/>
        <w:spacing w:before="120"/>
        <w:jc w:val="both"/>
        <w:rPr>
          <w:rFonts w:ascii="Arial Narrow" w:hAnsi="Arial Narrow" w:cs="Times New Roman"/>
          <w:bCs/>
          <w:sz w:val="22"/>
          <w:szCs w:val="22"/>
        </w:rPr>
      </w:pPr>
    </w:p>
    <w:p w:rsidR="00327341" w:rsidRPr="006E5AEF" w:rsidP="00985CEC">
      <w:pPr>
        <w:pStyle w:val="FootnoteText"/>
        <w:spacing w:before="240"/>
        <w:jc w:val="both"/>
        <w:rPr>
          <w:rFonts w:ascii="Arial Narrow" w:hAnsi="Arial Narrow" w:cs="Times New Roman"/>
          <w:bCs/>
          <w:sz w:val="22"/>
          <w:szCs w:val="22"/>
          <w:u w:val="single"/>
        </w:rPr>
      </w:pPr>
      <w:r w:rsidRPr="006E5AEF">
        <w:rPr>
          <w:rFonts w:ascii="Arial Narrow" w:hAnsi="Arial Narrow" w:cs="Times New Roman"/>
          <w:bCs/>
          <w:sz w:val="22"/>
          <w:szCs w:val="22"/>
          <w:u w:val="single"/>
        </w:rPr>
        <w:t>ING Bank</w:t>
      </w:r>
    </w:p>
    <w:p w:rsidR="00327341" w:rsidP="002D7105">
      <w:pPr>
        <w:pStyle w:val="FootnoteText"/>
        <w:jc w:val="both"/>
        <w:rPr>
          <w:rFonts w:ascii="Arial Narrow" w:hAnsi="Arial Narrow" w:cs="Times New Roman"/>
          <w:bCs/>
          <w:sz w:val="22"/>
          <w:szCs w:val="22"/>
        </w:rPr>
      </w:pPr>
      <w:r>
        <w:rPr>
          <w:rFonts w:ascii="Arial Narrow" w:hAnsi="Arial Narrow" w:cs="Times New Roman"/>
          <w:bCs/>
          <w:sz w:val="22"/>
          <w:szCs w:val="22"/>
        </w:rPr>
        <w:t xml:space="preserve">Hodnotí prognózu MF SR ako realistickú. </w:t>
      </w:r>
    </w:p>
    <w:p w:rsidR="00985CEC" w:rsidRPr="006E5AEF" w:rsidP="000E060D">
      <w:pPr>
        <w:pStyle w:val="FootnoteText"/>
        <w:spacing w:before="240"/>
        <w:jc w:val="both"/>
        <w:rPr>
          <w:rFonts w:ascii="Arial Narrow" w:hAnsi="Arial Narrow" w:cs="Times New Roman"/>
          <w:b/>
          <w:bCs/>
          <w:sz w:val="22"/>
          <w:szCs w:val="22"/>
        </w:rPr>
      </w:pPr>
      <w:r w:rsidRPr="006E5AEF" w:rsidR="000E060D">
        <w:rPr>
          <w:rFonts w:ascii="Arial Narrow" w:hAnsi="Arial Narrow" w:cs="Times New Roman"/>
          <w:bCs/>
          <w:sz w:val="22"/>
          <w:szCs w:val="22"/>
          <w:u w:val="single"/>
        </w:rPr>
        <w:t>SLSP</w:t>
      </w:r>
      <w:r w:rsidRPr="006E5AEF" w:rsidR="000E060D">
        <w:rPr>
          <w:rFonts w:ascii="Arial Narrow" w:hAnsi="Arial Narrow" w:cs="Times New Roman"/>
          <w:b/>
          <w:bCs/>
          <w:sz w:val="22"/>
          <w:szCs w:val="22"/>
        </w:rPr>
        <w:t xml:space="preserve"> </w:t>
      </w:r>
    </w:p>
    <w:p w:rsidR="000E060D" w:rsidRPr="00C35EFE" w:rsidP="002D7105">
      <w:pPr>
        <w:autoSpaceDE/>
        <w:autoSpaceDN/>
        <w:spacing w:line="240" w:lineRule="atLeast"/>
        <w:jc w:val="both"/>
        <w:rPr>
          <w:rFonts w:ascii="Arial Narrow" w:hAnsi="Arial Narrow" w:cs="Times New Roman"/>
          <w:bCs/>
          <w:sz w:val="22"/>
          <w:szCs w:val="22"/>
        </w:rPr>
      </w:pPr>
      <w:r w:rsidR="00327341">
        <w:rPr>
          <w:rFonts w:ascii="Arial Narrow" w:hAnsi="Arial Narrow" w:cs="Tms Rmn"/>
          <w:color w:val="000000"/>
          <w:sz w:val="22"/>
          <w:szCs w:val="22"/>
        </w:rPr>
        <w:t>Prognózu MF SR hodnotí ako realistickú. V</w:t>
      </w:r>
      <w:r w:rsidRPr="00C35EFE">
        <w:rPr>
          <w:rFonts w:ascii="Arial Narrow" w:hAnsi="Arial Narrow" w:cs="Tms Rmn"/>
          <w:color w:val="000000"/>
          <w:sz w:val="22"/>
          <w:szCs w:val="22"/>
        </w:rPr>
        <w:t xml:space="preserve"> nasledujúcich troch rokoch </w:t>
      </w:r>
      <w:r w:rsidR="00327341">
        <w:rPr>
          <w:rFonts w:ascii="Arial Narrow" w:hAnsi="Arial Narrow" w:cs="Tms Rmn"/>
          <w:color w:val="000000"/>
          <w:sz w:val="22"/>
          <w:szCs w:val="22"/>
        </w:rPr>
        <w:t>(2009 až 2011) očakávajú priemerný rast ekonomiky na úrovni 6,0 %, čo je takmer rovnaký odhad, s akým počíta MF SR. Na budúci rok odhadujú rast na úrovni 6 %, pričom odhad sprevádza viacero neistôt – prijatie eura</w:t>
      </w:r>
      <w:r w:rsidR="002D7105">
        <w:rPr>
          <w:rFonts w:ascii="Arial Narrow" w:hAnsi="Arial Narrow" w:cs="Tms Rmn"/>
          <w:color w:val="000000"/>
          <w:sz w:val="22"/>
          <w:szCs w:val="22"/>
        </w:rPr>
        <w:t>,</w:t>
      </w:r>
      <w:r w:rsidR="00327341">
        <w:rPr>
          <w:rFonts w:ascii="Arial Narrow" w:hAnsi="Arial Narrow" w:cs="Tms Rmn"/>
          <w:color w:val="000000"/>
          <w:sz w:val="22"/>
          <w:szCs w:val="22"/>
        </w:rPr>
        <w:t xml:space="preserve"> či spustenie projektov PPP predstavuje pre ich odhad pozitívne riziko, výraznejšie spomalenie eurozóny a nepriame dopady finančnej krízy </w:t>
      </w:r>
      <w:r w:rsidR="008559A7">
        <w:rPr>
          <w:rFonts w:ascii="Arial Narrow" w:hAnsi="Arial Narrow" w:cs="Tms Rmn"/>
          <w:color w:val="000000"/>
          <w:sz w:val="22"/>
          <w:szCs w:val="22"/>
        </w:rPr>
        <w:t xml:space="preserve">naopak predstavujú riziká smerom nadol. Naďalej predpokladajú pozitívny vývoj na trhu práce – rast zamestnanosti a reálnych miezd, ktoré prispejú k rastu spotreby domácností. V ich odhadoch zvýšili odhad inflácie, pričom najvýraznejšou neznámou ostáva rast regulovaných cien energií pre domácnosti, od ktorých sa odvíja aj prognózovanie nominálnych veličín. </w:t>
      </w:r>
    </w:p>
    <w:p w:rsidR="000E060D" w:rsidRPr="006E5AEF" w:rsidP="000E060D">
      <w:pPr>
        <w:pStyle w:val="FootnoteText"/>
        <w:spacing w:before="240"/>
        <w:jc w:val="both"/>
        <w:rPr>
          <w:rFonts w:ascii="Arial Narrow" w:hAnsi="Arial Narrow" w:cs="Times New Roman"/>
          <w:bCs/>
          <w:sz w:val="22"/>
          <w:szCs w:val="22"/>
        </w:rPr>
      </w:pPr>
      <w:r w:rsidRPr="006E5AEF">
        <w:rPr>
          <w:rFonts w:ascii="Arial Narrow" w:hAnsi="Arial Narrow" w:cs="Times New Roman"/>
          <w:bCs/>
          <w:sz w:val="22"/>
          <w:szCs w:val="22"/>
          <w:u w:val="single"/>
        </w:rPr>
        <w:t>TATRA BANKA</w:t>
      </w:r>
      <w:r w:rsidRPr="006E5AEF">
        <w:rPr>
          <w:rFonts w:ascii="Arial Narrow" w:hAnsi="Arial Narrow" w:cs="Times New Roman"/>
          <w:bCs/>
          <w:sz w:val="22"/>
          <w:szCs w:val="22"/>
        </w:rPr>
        <w:t xml:space="preserve"> </w:t>
      </w:r>
    </w:p>
    <w:p w:rsidR="000E060D" w:rsidP="000E060D">
      <w:pPr>
        <w:autoSpaceDE/>
        <w:autoSpaceDN/>
        <w:spacing w:line="240" w:lineRule="atLeast"/>
        <w:jc w:val="both"/>
        <w:rPr>
          <w:rFonts w:ascii="Arial Narrow" w:hAnsi="Arial Narrow" w:cs="Courier"/>
          <w:color w:val="000000"/>
          <w:sz w:val="22"/>
          <w:szCs w:val="22"/>
        </w:rPr>
      </w:pPr>
      <w:r w:rsidRPr="00C35EFE">
        <w:rPr>
          <w:rFonts w:ascii="Arial Narrow" w:hAnsi="Arial Narrow" w:cs="Courier"/>
          <w:color w:val="000000"/>
          <w:sz w:val="22"/>
          <w:szCs w:val="22"/>
        </w:rPr>
        <w:t xml:space="preserve">Prognózu MF SR považuje za </w:t>
      </w:r>
      <w:r w:rsidR="008559A7">
        <w:rPr>
          <w:rFonts w:ascii="Arial Narrow" w:hAnsi="Arial Narrow" w:cs="Courier"/>
          <w:color w:val="000000"/>
          <w:sz w:val="22"/>
          <w:szCs w:val="22"/>
        </w:rPr>
        <w:t>realistickú. V r</w:t>
      </w:r>
      <w:r w:rsidRPr="00C35EFE">
        <w:rPr>
          <w:rFonts w:ascii="Arial Narrow" w:hAnsi="Arial Narrow" w:cs="Courier"/>
          <w:color w:val="000000"/>
          <w:sz w:val="22"/>
          <w:szCs w:val="22"/>
        </w:rPr>
        <w:t>ok</w:t>
      </w:r>
      <w:r w:rsidR="008559A7">
        <w:rPr>
          <w:rFonts w:ascii="Arial Narrow" w:hAnsi="Arial Narrow" w:cs="Courier"/>
          <w:color w:val="000000"/>
          <w:sz w:val="22"/>
          <w:szCs w:val="22"/>
        </w:rPr>
        <w:t>u</w:t>
      </w:r>
      <w:r w:rsidRPr="00C35EFE">
        <w:rPr>
          <w:rFonts w:ascii="Arial Narrow" w:hAnsi="Arial Narrow" w:cs="Courier"/>
          <w:color w:val="000000"/>
          <w:sz w:val="22"/>
          <w:szCs w:val="22"/>
        </w:rPr>
        <w:t xml:space="preserve"> 2008</w:t>
      </w:r>
      <w:r>
        <w:rPr>
          <w:rFonts w:ascii="Arial Narrow" w:hAnsi="Arial Narrow" w:cs="Courier"/>
          <w:color w:val="000000"/>
          <w:sz w:val="22"/>
          <w:szCs w:val="22"/>
        </w:rPr>
        <w:t xml:space="preserve"> </w:t>
      </w:r>
      <w:r w:rsidR="008559A7">
        <w:rPr>
          <w:rFonts w:ascii="Arial Narrow" w:hAnsi="Arial Narrow" w:cs="Courier"/>
          <w:color w:val="000000"/>
          <w:sz w:val="22"/>
          <w:szCs w:val="22"/>
        </w:rPr>
        <w:t xml:space="preserve">predpokladá mierne pomalší rast spotreby domácnosti a vyšší rast spotreby vlády. Infláciu v roku 2009 očakáva na nižšej úrovni ako MF SR v dôsledku pôsobenia bázického efektu cien potravín a ropy. Naopak v rokoch 2010 až 2011 vidí riziko vyššej inflácie ako prognózuje MF SR. Počas celého prognózovaného horizontu očakáva vyšší príspevok čistého exportu na rast HDP prostredníctvom zlepšovania výmenných relácií. </w:t>
      </w:r>
    </w:p>
    <w:p w:rsidR="00327341" w:rsidP="000E060D">
      <w:pPr>
        <w:autoSpaceDE/>
        <w:autoSpaceDN/>
        <w:spacing w:line="240" w:lineRule="atLeast"/>
        <w:jc w:val="both"/>
        <w:rPr>
          <w:rFonts w:ascii="Arial Narrow" w:hAnsi="Arial Narrow" w:cs="Courier"/>
          <w:color w:val="000000"/>
          <w:sz w:val="22"/>
          <w:szCs w:val="22"/>
        </w:rPr>
      </w:pPr>
    </w:p>
    <w:p w:rsidR="00327341" w:rsidRPr="005B5B9F" w:rsidP="00327341">
      <w:pPr>
        <w:pStyle w:val="FootnoteText"/>
        <w:spacing w:before="120"/>
        <w:jc w:val="both"/>
        <w:rPr>
          <w:rFonts w:ascii="Arial Narrow" w:hAnsi="Arial Narrow" w:cs="Times New Roman"/>
          <w:bCs/>
          <w:sz w:val="22"/>
          <w:szCs w:val="22"/>
        </w:rPr>
      </w:pPr>
      <w:r w:rsidRPr="005B5B9F">
        <w:rPr>
          <w:rFonts w:ascii="Arial Narrow" w:hAnsi="Arial Narrow" w:cs="Times New Roman"/>
          <w:bCs/>
          <w:sz w:val="22"/>
          <w:szCs w:val="22"/>
          <w:u w:val="single"/>
        </w:rPr>
        <w:t>VÚB</w:t>
      </w:r>
      <w:r w:rsidRPr="005B5B9F">
        <w:rPr>
          <w:rFonts w:ascii="Arial Narrow" w:hAnsi="Arial Narrow" w:cs="Times New Roman"/>
          <w:bCs/>
          <w:sz w:val="22"/>
          <w:szCs w:val="22"/>
        </w:rPr>
        <w:t xml:space="preserve"> </w:t>
      </w:r>
    </w:p>
    <w:p w:rsidR="00327341" w:rsidP="00233D90">
      <w:pPr>
        <w:jc w:val="both"/>
        <w:rPr>
          <w:rFonts w:ascii="Arial Narrow" w:hAnsi="Arial Narrow" w:cs="Arial"/>
          <w:noProof/>
          <w:sz w:val="22"/>
          <w:szCs w:val="22"/>
        </w:rPr>
      </w:pPr>
      <w:r w:rsidRPr="005B5B9F">
        <w:rPr>
          <w:rFonts w:ascii="Arial Narrow" w:hAnsi="Arial Narrow" w:cs="Arial"/>
          <w:noProof/>
          <w:sz w:val="22"/>
          <w:szCs w:val="22"/>
        </w:rPr>
        <w:t>V porovnaní s predpoveďami VÚB banky vyznieva prognóza M</w:t>
      </w:r>
      <w:r w:rsidRPr="005B5B9F">
        <w:rPr>
          <w:rFonts w:ascii="Arial Narrow" w:hAnsi="Arial Narrow" w:cs="Arial"/>
          <w:noProof/>
          <w:sz w:val="22"/>
          <w:szCs w:val="22"/>
        </w:rPr>
        <w:t>F</w:t>
      </w:r>
      <w:r>
        <w:rPr>
          <w:rFonts w:ascii="Arial Narrow" w:hAnsi="Arial Narrow" w:cs="Arial"/>
          <w:noProof/>
          <w:sz w:val="22"/>
          <w:szCs w:val="22"/>
        </w:rPr>
        <w:t xml:space="preserve"> </w:t>
      </w:r>
      <w:r w:rsidRPr="005B5B9F">
        <w:rPr>
          <w:rFonts w:ascii="Arial Narrow" w:hAnsi="Arial Narrow" w:cs="Arial"/>
          <w:noProof/>
          <w:sz w:val="22"/>
          <w:szCs w:val="22"/>
        </w:rPr>
        <w:t>SR na roky 200</w:t>
      </w:r>
      <w:r w:rsidR="00233D90">
        <w:rPr>
          <w:rFonts w:ascii="Arial Narrow" w:hAnsi="Arial Narrow" w:cs="Arial"/>
          <w:noProof/>
          <w:sz w:val="22"/>
          <w:szCs w:val="22"/>
        </w:rPr>
        <w:t>9</w:t>
      </w:r>
      <w:r>
        <w:rPr>
          <w:rFonts w:ascii="Arial Narrow" w:hAnsi="Arial Narrow" w:cs="Arial"/>
          <w:noProof/>
          <w:sz w:val="22"/>
          <w:szCs w:val="22"/>
        </w:rPr>
        <w:t xml:space="preserve"> až 20</w:t>
      </w:r>
      <w:r w:rsidRPr="005B5B9F">
        <w:rPr>
          <w:rFonts w:ascii="Arial Narrow" w:hAnsi="Arial Narrow" w:cs="Arial"/>
          <w:noProof/>
          <w:sz w:val="22"/>
          <w:szCs w:val="22"/>
        </w:rPr>
        <w:t xml:space="preserve">11 realisticky. Odhady vývoja jednotlivých makroekonomických indikátorov sú </w:t>
      </w:r>
      <w:r w:rsidR="00233D90">
        <w:rPr>
          <w:rFonts w:ascii="Arial Narrow" w:hAnsi="Arial Narrow" w:cs="Arial"/>
          <w:noProof/>
          <w:sz w:val="22"/>
          <w:szCs w:val="22"/>
        </w:rPr>
        <w:t xml:space="preserve">takmer </w:t>
      </w:r>
      <w:r w:rsidRPr="005B5B9F">
        <w:rPr>
          <w:rFonts w:ascii="Arial Narrow" w:hAnsi="Arial Narrow" w:cs="Arial"/>
          <w:noProof/>
          <w:sz w:val="22"/>
          <w:szCs w:val="22"/>
        </w:rPr>
        <w:t>vyrovnané</w:t>
      </w:r>
      <w:r w:rsidR="00233D90">
        <w:rPr>
          <w:rFonts w:ascii="Arial Narrow" w:hAnsi="Arial Narrow" w:cs="Arial"/>
          <w:noProof/>
          <w:sz w:val="22"/>
          <w:szCs w:val="22"/>
        </w:rPr>
        <w:t xml:space="preserve"> s ich odhadmi. Faktom ale je, že pretrvávajúca neistota na svetových akciových trhoch a prehĺbenie globálnej úverovej krízy zrejme povedie k ďalšiemu spomaleniu rastu svetovej ekonomiky. Tým dodatočne vzrástli riziká aj pre rast slovenského hospodárstva. </w:t>
      </w:r>
    </w:p>
    <w:p w:rsidR="00233D90" w:rsidRPr="00C35EFE" w:rsidP="00233D90">
      <w:pPr>
        <w:jc w:val="both"/>
        <w:rPr>
          <w:rFonts w:ascii="Arial Narrow" w:hAnsi="Arial Narrow" w:cs="Courier"/>
          <w:color w:val="000000"/>
          <w:sz w:val="22"/>
          <w:szCs w:val="22"/>
        </w:rPr>
      </w:pPr>
    </w:p>
    <w:tbl>
      <w:tblPr>
        <w:tblW w:w="10265" w:type="dxa"/>
        <w:jc w:val="center"/>
        <w:tblInd w:w="55" w:type="dxa"/>
        <w:tblCellMar>
          <w:left w:w="70" w:type="dxa"/>
          <w:right w:w="70" w:type="dxa"/>
        </w:tblCellMar>
      </w:tblPr>
      <w:tblGrid>
        <w:gridCol w:w="3443"/>
        <w:gridCol w:w="674"/>
        <w:gridCol w:w="863"/>
        <w:gridCol w:w="674"/>
        <w:gridCol w:w="863"/>
        <w:gridCol w:w="674"/>
        <w:gridCol w:w="863"/>
        <w:gridCol w:w="674"/>
        <w:gridCol w:w="863"/>
        <w:gridCol w:w="674"/>
      </w:tblGrid>
      <w:tr>
        <w:tblPrEx>
          <w:tblW w:w="10265" w:type="dxa"/>
          <w:jc w:val="center"/>
          <w:tblInd w:w="55" w:type="dxa"/>
          <w:tblCellMar>
            <w:left w:w="70" w:type="dxa"/>
            <w:right w:w="70" w:type="dxa"/>
          </w:tblCellMar>
        </w:tblPrEx>
        <w:trPr>
          <w:trHeight w:val="284"/>
          <w:jc w:val="center"/>
        </w:trPr>
        <w:tc>
          <w:tcPr>
            <w:tcW w:w="10265" w:type="dxa"/>
            <w:gridSpan w:val="10"/>
            <w:tcBorders>
              <w:top w:val="single" w:sz="8" w:space="0" w:color="auto"/>
              <w:left w:val="single" w:sz="8" w:space="0" w:color="auto"/>
              <w:bottom w:val="nil"/>
              <w:right w:val="single" w:sz="8" w:space="0" w:color="000000"/>
              <w:tl2br w:val="nil"/>
              <w:tr2bl w:val="nil"/>
            </w:tcBorders>
            <w:shd w:val="clear" w:color="auto" w:fill="000000"/>
            <w:textDirection w:val="lrTb"/>
            <w:vAlign w:val="bottom"/>
          </w:tcPr>
          <w:p w:rsidR="000E060D" w:rsidRPr="006C52F5" w:rsidP="000E060D">
            <w:pPr>
              <w:jc w:val="center"/>
              <w:rPr>
                <w:rFonts w:ascii="Arial Narrow" w:hAnsi="Arial Narrow" w:cs="Arial"/>
                <w:b/>
                <w:bCs/>
                <w:color w:val="FFFFFF"/>
                <w:sz w:val="18"/>
                <w:szCs w:val="18"/>
                <w:lang w:eastAsia="sk-SK"/>
              </w:rPr>
            </w:pPr>
            <w:bookmarkEnd w:id="17"/>
            <w:r w:rsidRPr="006C52F5">
              <w:rPr>
                <w:rFonts w:ascii="Arial Narrow" w:hAnsi="Arial Narrow" w:cs="Arial"/>
                <w:b/>
                <w:bCs/>
                <w:color w:val="FFFFFF"/>
                <w:sz w:val="18"/>
                <w:szCs w:val="18"/>
                <w:lang w:eastAsia="sk-SK"/>
              </w:rPr>
              <w:t>Priemerná prognóza vybraných indikátorov vývoja ekonomiky SR</w:t>
            </w:r>
          </w:p>
        </w:tc>
      </w:tr>
      <w:tr>
        <w:tblPrEx>
          <w:tblW w:w="10265" w:type="dxa"/>
          <w:jc w:val="center"/>
          <w:tblInd w:w="55" w:type="dxa"/>
          <w:tblCellMar>
            <w:left w:w="70" w:type="dxa"/>
            <w:right w:w="70" w:type="dxa"/>
          </w:tblCellMar>
        </w:tblPrEx>
        <w:trPr>
          <w:trHeight w:val="284"/>
          <w:jc w:val="center"/>
        </w:trPr>
        <w:tc>
          <w:tcPr>
            <w:tcW w:w="10265" w:type="dxa"/>
            <w:gridSpan w:val="10"/>
            <w:tcBorders>
              <w:top w:val="nil"/>
              <w:left w:val="single" w:sz="8" w:space="0" w:color="auto"/>
              <w:bottom w:val="single" w:sz="8" w:space="0" w:color="000000"/>
              <w:right w:val="single" w:sz="8" w:space="0" w:color="000000"/>
              <w:tl2br w:val="nil"/>
              <w:tr2bl w:val="nil"/>
            </w:tcBorders>
            <w:shd w:val="clear" w:color="auto" w:fill="000000"/>
            <w:textDirection w:val="lrTb"/>
            <w:vAlign w:val="bottom"/>
          </w:tcPr>
          <w:p w:rsidR="000E060D" w:rsidRPr="006C52F5" w:rsidP="000E060D">
            <w:pPr>
              <w:jc w:val="center"/>
              <w:rPr>
                <w:rFonts w:ascii="Arial Narrow" w:hAnsi="Arial Narrow" w:cs="Arial"/>
                <w:b/>
                <w:bCs/>
                <w:color w:val="FFFFFF"/>
                <w:sz w:val="18"/>
                <w:szCs w:val="18"/>
                <w:lang w:eastAsia="sk-SK"/>
              </w:rPr>
            </w:pPr>
            <w:r w:rsidRPr="006C52F5">
              <w:rPr>
                <w:rFonts w:ascii="Arial Narrow" w:hAnsi="Arial Narrow" w:cs="Arial"/>
                <w:b/>
                <w:bCs/>
                <w:color w:val="FFFFFF"/>
                <w:sz w:val="18"/>
                <w:szCs w:val="18"/>
                <w:lang w:eastAsia="sk-SK"/>
              </w:rPr>
              <w:t>členov Výboru pre makroekonomické prognózovanie (okrem MF SR) a prognóza MF S</w:t>
            </w:r>
            <w:r w:rsidRPr="006C52F5">
              <w:rPr>
                <w:rFonts w:ascii="Arial Narrow" w:hAnsi="Arial Narrow" w:cs="Arial"/>
                <w:b/>
                <w:bCs/>
                <w:color w:val="FFFFFF"/>
                <w:sz w:val="18"/>
                <w:szCs w:val="18"/>
                <w:lang w:eastAsia="sk-SK"/>
              </w:rPr>
              <w:t>R</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shd w:val="clear" w:color="auto" w:fill="C0C0C0"/>
            <w:noWrap/>
            <w:textDirection w:val="lrTb"/>
            <w:vAlign w:val="bottom"/>
          </w:tcPr>
          <w:p w:rsidR="000E060D" w:rsidRPr="006C52F5" w:rsidP="000E060D">
            <w:pPr>
              <w:rPr>
                <w:rFonts w:ascii="Arial Narrow" w:hAnsi="Arial Narrow" w:cs="Arial"/>
                <w:b/>
                <w:bCs/>
                <w:sz w:val="18"/>
                <w:szCs w:val="18"/>
                <w:lang w:eastAsia="sk-SK"/>
              </w:rPr>
            </w:pPr>
            <w:r w:rsidRPr="006C52F5">
              <w:rPr>
                <w:rFonts w:ascii="Arial Narrow" w:hAnsi="Arial Narrow" w:cs="Arial"/>
                <w:b/>
                <w:bCs/>
                <w:sz w:val="18"/>
                <w:szCs w:val="18"/>
                <w:lang w:eastAsia="sk-SK"/>
              </w:rPr>
              <w:t> </w:t>
            </w:r>
          </w:p>
        </w:tc>
        <w:tc>
          <w:tcPr>
            <w:tcW w:w="674" w:type="dxa"/>
            <w:tcBorders>
              <w:top w:val="nil"/>
              <w:left w:val="nil"/>
              <w:bottom w:val="nil"/>
              <w:right w:val="single" w:sz="8" w:space="0" w:color="auto"/>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 xml:space="preserve">  </w:t>
            </w:r>
          </w:p>
        </w:tc>
        <w:tc>
          <w:tcPr>
            <w:tcW w:w="6148" w:type="dxa"/>
            <w:gridSpan w:val="8"/>
            <w:tcBorders>
              <w:top w:val="single" w:sz="8" w:space="0" w:color="000000"/>
              <w:left w:val="nil"/>
              <w:bottom w:val="nil"/>
              <w:right w:val="single" w:sz="8" w:space="0" w:color="000000"/>
              <w:tl2br w:val="nil"/>
              <w:tr2bl w:val="nil"/>
            </w:tcBorders>
            <w:shd w:val="clear" w:color="auto" w:fill="C0C0C0"/>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 </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single" w:sz="8" w:space="0" w:color="C0C0C0"/>
              <w:right w:val="single" w:sz="8" w:space="0" w:color="auto"/>
              <w:tl2br w:val="nil"/>
              <w:tr2bl w:val="nil"/>
            </w:tcBorders>
            <w:shd w:val="clear" w:color="auto" w:fill="C0C0C0"/>
            <w:noWrap/>
            <w:textDirection w:val="lrTb"/>
            <w:vAlign w:val="bottom"/>
          </w:tcPr>
          <w:p w:rsidR="000E060D" w:rsidRPr="006C52F5" w:rsidP="000E060D">
            <w:pPr>
              <w:rPr>
                <w:rFonts w:ascii="Arial Narrow" w:hAnsi="Arial Narrow" w:cs="Arial"/>
                <w:b/>
                <w:bCs/>
                <w:sz w:val="18"/>
                <w:szCs w:val="18"/>
                <w:lang w:eastAsia="sk-SK"/>
              </w:rPr>
            </w:pPr>
            <w:r w:rsidRPr="006C52F5">
              <w:rPr>
                <w:rFonts w:ascii="Arial Narrow" w:hAnsi="Arial Narrow" w:cs="Arial"/>
                <w:b/>
                <w:bCs/>
                <w:sz w:val="18"/>
                <w:szCs w:val="18"/>
                <w:lang w:eastAsia="sk-SK"/>
              </w:rPr>
              <w:t> </w:t>
            </w:r>
          </w:p>
        </w:tc>
        <w:tc>
          <w:tcPr>
            <w:tcW w:w="674" w:type="dxa"/>
            <w:tcBorders>
              <w:top w:val="nil"/>
              <w:left w:val="nil"/>
              <w:bottom w:val="nil"/>
              <w:right w:val="single" w:sz="8" w:space="0" w:color="auto"/>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2007</w:t>
            </w:r>
          </w:p>
        </w:tc>
        <w:tc>
          <w:tcPr>
            <w:tcW w:w="1537" w:type="dxa"/>
            <w:gridSpan w:val="2"/>
            <w:tcBorders>
              <w:top w:val="nil"/>
              <w:left w:val="nil"/>
              <w:bottom w:val="nil"/>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2008</w:t>
            </w:r>
          </w:p>
        </w:tc>
        <w:tc>
          <w:tcPr>
            <w:tcW w:w="1537" w:type="dxa"/>
            <w:gridSpan w:val="2"/>
            <w:tcBorders>
              <w:top w:val="nil"/>
              <w:left w:val="nil"/>
              <w:bottom w:val="nil"/>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2009</w:t>
            </w:r>
          </w:p>
        </w:tc>
        <w:tc>
          <w:tcPr>
            <w:tcW w:w="1537" w:type="dxa"/>
            <w:gridSpan w:val="2"/>
            <w:tcBorders>
              <w:top w:val="nil"/>
              <w:left w:val="nil"/>
              <w:bottom w:val="nil"/>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2010</w:t>
            </w:r>
          </w:p>
        </w:tc>
        <w:tc>
          <w:tcPr>
            <w:tcW w:w="1537" w:type="dxa"/>
            <w:gridSpan w:val="2"/>
            <w:tcBorders>
              <w:top w:val="nil"/>
              <w:left w:val="nil"/>
              <w:bottom w:val="nil"/>
              <w:right w:val="single" w:sz="8" w:space="0" w:color="000000"/>
              <w:tl2br w:val="nil"/>
              <w:tr2bl w:val="nil"/>
            </w:tcBorders>
            <w:shd w:val="clear" w:color="auto" w:fill="C0C0C0"/>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2011</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0E060D" w:rsidRPr="006C52F5" w:rsidP="000E060D">
            <w:pPr>
              <w:rPr>
                <w:rFonts w:ascii="Arial Narrow" w:hAnsi="Arial Narrow" w:cs="Arial"/>
                <w:b/>
                <w:bCs/>
                <w:sz w:val="18"/>
                <w:szCs w:val="18"/>
                <w:lang w:eastAsia="sk-SK"/>
              </w:rPr>
            </w:pPr>
            <w:r w:rsidRPr="006C52F5">
              <w:rPr>
                <w:rFonts w:ascii="Arial Narrow" w:hAnsi="Arial Narrow" w:cs="Arial"/>
                <w:b/>
                <w:bCs/>
                <w:sz w:val="18"/>
                <w:szCs w:val="18"/>
                <w:lang w:eastAsia="sk-SK"/>
              </w:rPr>
              <w:t> v %, ak nie je uvedené inak</w:t>
            </w:r>
          </w:p>
        </w:tc>
        <w:tc>
          <w:tcPr>
            <w:tcW w:w="674"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 </w:t>
            </w:r>
          </w:p>
        </w:tc>
        <w:tc>
          <w:tcPr>
            <w:tcW w:w="863"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Výbor</w:t>
            </w:r>
          </w:p>
        </w:tc>
        <w:tc>
          <w:tcPr>
            <w:tcW w:w="674"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MFSR</w:t>
            </w:r>
          </w:p>
        </w:tc>
        <w:tc>
          <w:tcPr>
            <w:tcW w:w="863"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Výbor</w:t>
            </w:r>
          </w:p>
        </w:tc>
        <w:tc>
          <w:tcPr>
            <w:tcW w:w="674"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MFSR</w:t>
            </w:r>
          </w:p>
        </w:tc>
        <w:tc>
          <w:tcPr>
            <w:tcW w:w="863"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Výbor</w:t>
            </w:r>
          </w:p>
        </w:tc>
        <w:tc>
          <w:tcPr>
            <w:tcW w:w="674" w:type="dxa"/>
            <w:tcBorders>
              <w:top w:val="nil"/>
              <w:left w:val="nil"/>
              <w:bottom w:val="single" w:sz="8" w:space="0" w:color="auto"/>
              <w:right w:val="nil"/>
              <w:tl2br w:val="nil"/>
              <w:tr2bl w:val="nil"/>
            </w:tcBorders>
            <w:shd w:val="clear" w:color="auto" w:fill="C0C0C0"/>
            <w:noWrap/>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MFSR</w:t>
            </w:r>
          </w:p>
        </w:tc>
        <w:tc>
          <w:tcPr>
            <w:tcW w:w="863" w:type="dxa"/>
            <w:tcBorders>
              <w:top w:val="nil"/>
              <w:left w:val="nil"/>
              <w:bottom w:val="single" w:sz="8" w:space="0" w:color="auto"/>
              <w:right w:val="nil"/>
              <w:tl2br w:val="nil"/>
              <w:tr2bl w:val="nil"/>
            </w:tcBorders>
            <w:shd w:val="clear" w:color="auto" w:fill="C0C0C0"/>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Výbor</w:t>
            </w:r>
          </w:p>
        </w:tc>
        <w:tc>
          <w:tcPr>
            <w:tcW w:w="674" w:type="dxa"/>
            <w:tcBorders>
              <w:top w:val="nil"/>
              <w:left w:val="nil"/>
              <w:bottom w:val="single" w:sz="8" w:space="0" w:color="auto"/>
              <w:right w:val="single" w:sz="8" w:space="0" w:color="auto"/>
              <w:tl2br w:val="nil"/>
              <w:tr2bl w:val="nil"/>
            </w:tcBorders>
            <w:shd w:val="clear" w:color="auto" w:fill="C0C0C0"/>
            <w:textDirection w:val="lrTb"/>
            <w:vAlign w:val="bottom"/>
          </w:tcPr>
          <w:p w:rsidR="000E060D" w:rsidRPr="006C52F5" w:rsidP="000E060D">
            <w:pPr>
              <w:jc w:val="center"/>
              <w:rPr>
                <w:rFonts w:ascii="Arial Narrow" w:hAnsi="Arial Narrow" w:cs="Arial"/>
                <w:b/>
                <w:bCs/>
                <w:sz w:val="18"/>
                <w:szCs w:val="18"/>
                <w:lang w:eastAsia="sk-SK"/>
              </w:rPr>
            </w:pPr>
            <w:r w:rsidRPr="006C52F5">
              <w:rPr>
                <w:rFonts w:ascii="Arial Narrow" w:hAnsi="Arial Narrow" w:cs="Arial"/>
                <w:b/>
                <w:bCs/>
                <w:sz w:val="18"/>
                <w:szCs w:val="18"/>
                <w:lang w:eastAsia="sk-SK"/>
              </w:rPr>
              <w:t>MFSR</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noWrap/>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Hrubý domáci produkt; reálny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10</w:t>
            </w:r>
            <w:r>
              <w:rPr>
                <w:rFonts w:ascii="Arial Narrow" w:hAnsi="Arial Narrow" w:cs="Arial"/>
                <w:sz w:val="18"/>
                <w:szCs w:val="18"/>
                <w:lang w:eastAsia="sk-SK"/>
              </w:rPr>
              <w:t>,</w:t>
            </w:r>
            <w:r w:rsidRPr="006C52F5">
              <w:rPr>
                <w:rFonts w:ascii="Arial Narrow" w:hAnsi="Arial Narrow" w:cs="Arial"/>
                <w:sz w:val="18"/>
                <w:szCs w:val="18"/>
                <w:lang w:eastAsia="sk-SK"/>
              </w:rPr>
              <w:t>4</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7</w:t>
            </w:r>
            <w:r>
              <w:rPr>
                <w:rFonts w:ascii="Arial Narrow" w:hAnsi="Arial Narrow" w:cs="Arial"/>
                <w:sz w:val="18"/>
                <w:szCs w:val="18"/>
                <w:lang w:eastAsia="sk-SK"/>
              </w:rPr>
              <w:t>,</w:t>
            </w:r>
            <w:r w:rsidRPr="006C52F5">
              <w:rPr>
                <w:rFonts w:ascii="Arial Narrow" w:hAnsi="Arial Narrow" w:cs="Arial"/>
                <w:sz w:val="18"/>
                <w:szCs w:val="18"/>
                <w:lang w:eastAsia="sk-SK"/>
              </w:rPr>
              <w:t>7</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7</w:t>
            </w:r>
            <w:r>
              <w:rPr>
                <w:rFonts w:ascii="Arial Narrow" w:hAnsi="Arial Narrow" w:cs="Arial"/>
                <w:sz w:val="18"/>
                <w:szCs w:val="18"/>
                <w:lang w:eastAsia="sk-SK"/>
              </w:rPr>
              <w:t>,</w:t>
            </w:r>
            <w:r w:rsidRPr="006C52F5">
              <w:rPr>
                <w:rFonts w:ascii="Arial Narrow" w:hAnsi="Arial Narrow" w:cs="Arial"/>
                <w:sz w:val="18"/>
                <w:szCs w:val="18"/>
                <w:lang w:eastAsia="sk-SK"/>
              </w:rPr>
              <w:t>7</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Pr="006C52F5">
              <w:rPr>
                <w:rFonts w:ascii="Arial Narrow" w:hAnsi="Arial Narrow" w:cs="Arial"/>
                <w:sz w:val="18"/>
                <w:szCs w:val="18"/>
                <w:lang w:eastAsia="sk-SK"/>
              </w:rPr>
              <w:t>7</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Pr="006C52F5">
              <w:rPr>
                <w:rFonts w:ascii="Arial Narrow" w:hAnsi="Arial Narrow" w:cs="Arial"/>
                <w:sz w:val="18"/>
                <w:szCs w:val="18"/>
                <w:lang w:eastAsia="sk-SK"/>
              </w:rPr>
              <w:t>5</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00233D90">
              <w:rPr>
                <w:rFonts w:ascii="Arial Narrow" w:hAnsi="Arial Narrow" w:cs="Arial"/>
                <w:sz w:val="18"/>
                <w:szCs w:val="18"/>
                <w:lang w:eastAsia="sk-SK"/>
              </w:rPr>
              <w:t>2</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Pr="006C52F5">
              <w:rPr>
                <w:rFonts w:ascii="Arial Narrow" w:hAnsi="Arial Narrow" w:cs="Arial"/>
                <w:sz w:val="18"/>
                <w:szCs w:val="18"/>
                <w:lang w:eastAsia="sk-SK"/>
              </w:rPr>
              <w:t>1</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00233D90">
              <w:rPr>
                <w:rFonts w:ascii="Arial Narrow" w:hAnsi="Arial Narrow" w:cs="Arial"/>
                <w:sz w:val="18"/>
                <w:szCs w:val="18"/>
                <w:lang w:eastAsia="sk-SK"/>
              </w:rPr>
              <w:t>5</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Pr="006C52F5">
              <w:rPr>
                <w:rFonts w:ascii="Arial Narrow" w:hAnsi="Arial Narrow" w:cs="Arial"/>
                <w:sz w:val="18"/>
                <w:szCs w:val="18"/>
                <w:lang w:eastAsia="sk-SK"/>
              </w:rPr>
              <w:t>8</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noWrap/>
            <w:textDirection w:val="lrTb"/>
            <w:vAlign w:val="bottom"/>
          </w:tcPr>
          <w:p w:rsidR="000E060D" w:rsidRPr="006029FC" w:rsidP="000E060D">
            <w:pPr>
              <w:ind w:right="-104"/>
              <w:rPr>
                <w:rFonts w:ascii="Arial Narrow" w:hAnsi="Arial Narrow" w:cs="Arial"/>
                <w:sz w:val="18"/>
                <w:szCs w:val="18"/>
                <w:lang w:eastAsia="sk-SK"/>
              </w:rPr>
            </w:pPr>
            <w:r w:rsidRPr="006029FC">
              <w:rPr>
                <w:rFonts w:ascii="Arial Narrow" w:hAnsi="Arial Narrow" w:cs="Arial"/>
                <w:sz w:val="18"/>
                <w:szCs w:val="18"/>
                <w:lang w:eastAsia="sk-SK"/>
              </w:rPr>
              <w:t xml:space="preserve">Hrubý domáci produkt v bežných cenách; </w:t>
            </w:r>
            <w:r w:rsidRPr="006029FC">
              <w:rPr>
                <w:rFonts w:ascii="Arial Narrow" w:hAnsi="Arial Narrow" w:cs="Arial"/>
                <w:sz w:val="18"/>
                <w:szCs w:val="18"/>
                <w:u w:val="single"/>
                <w:lang w:eastAsia="sk-SK"/>
              </w:rPr>
              <w:t>mld. eur</w:t>
            </w:r>
          </w:p>
        </w:tc>
        <w:tc>
          <w:tcPr>
            <w:tcW w:w="674" w:type="dxa"/>
            <w:tcBorders>
              <w:top w:val="nil"/>
              <w:left w:val="nil"/>
              <w:bottom w:val="nil"/>
              <w:right w:val="single" w:sz="8" w:space="0" w:color="auto"/>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61,</w:t>
            </w:r>
            <w:r w:rsidR="00603266">
              <w:rPr>
                <w:rFonts w:ascii="Arial Narrow" w:hAnsi="Arial Narrow" w:cs="Arial"/>
                <w:sz w:val="18"/>
                <w:szCs w:val="18"/>
                <w:lang w:eastAsia="sk-SK"/>
              </w:rPr>
              <w:t>4685</w:t>
            </w:r>
          </w:p>
        </w:tc>
        <w:tc>
          <w:tcPr>
            <w:tcW w:w="863"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68,</w:t>
            </w:r>
            <w:r w:rsidR="00603266">
              <w:rPr>
                <w:rFonts w:ascii="Arial Narrow" w:hAnsi="Arial Narrow" w:cs="Arial"/>
                <w:sz w:val="18"/>
                <w:szCs w:val="18"/>
                <w:lang w:eastAsia="sk-SK"/>
              </w:rPr>
              <w:t>6351</w:t>
            </w:r>
          </w:p>
        </w:tc>
        <w:tc>
          <w:tcPr>
            <w:tcW w:w="674"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68,</w:t>
            </w:r>
            <w:r w:rsidR="00603266">
              <w:rPr>
                <w:rFonts w:ascii="Arial Narrow" w:hAnsi="Arial Narrow" w:cs="Arial"/>
                <w:sz w:val="18"/>
                <w:szCs w:val="18"/>
                <w:lang w:eastAsia="sk-SK"/>
              </w:rPr>
              <w:t>46</w:t>
            </w:r>
            <w:r w:rsidR="00603266">
              <w:rPr>
                <w:rFonts w:ascii="Arial Narrow" w:hAnsi="Arial Narrow" w:cs="Arial"/>
                <w:sz w:val="18"/>
                <w:szCs w:val="18"/>
                <w:lang w:eastAsia="sk-SK"/>
              </w:rPr>
              <w:t>25</w:t>
            </w:r>
          </w:p>
        </w:tc>
        <w:tc>
          <w:tcPr>
            <w:tcW w:w="863"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7</w:t>
            </w:r>
            <w:r w:rsidR="00603266">
              <w:rPr>
                <w:rFonts w:ascii="Arial Narrow" w:hAnsi="Arial Narrow" w:cs="Arial"/>
                <w:sz w:val="18"/>
                <w:szCs w:val="18"/>
                <w:lang w:eastAsia="sk-SK"/>
              </w:rPr>
              <w:t>5</w:t>
            </w:r>
            <w:r w:rsidRPr="006029FC">
              <w:rPr>
                <w:rFonts w:ascii="Arial Narrow" w:hAnsi="Arial Narrow" w:cs="Arial"/>
                <w:sz w:val="18"/>
                <w:szCs w:val="18"/>
                <w:lang w:eastAsia="sk-SK"/>
              </w:rPr>
              <w:t>,</w:t>
            </w:r>
            <w:r w:rsidR="00603266">
              <w:rPr>
                <w:rFonts w:ascii="Arial Narrow" w:hAnsi="Arial Narrow" w:cs="Arial"/>
                <w:sz w:val="18"/>
                <w:szCs w:val="18"/>
                <w:lang w:eastAsia="sk-SK"/>
              </w:rPr>
              <w:t>4199</w:t>
            </w:r>
          </w:p>
        </w:tc>
        <w:tc>
          <w:tcPr>
            <w:tcW w:w="674"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74,</w:t>
            </w:r>
            <w:r w:rsidR="00603266">
              <w:rPr>
                <w:rFonts w:ascii="Arial Narrow" w:hAnsi="Arial Narrow" w:cs="Arial"/>
                <w:sz w:val="18"/>
                <w:szCs w:val="18"/>
                <w:lang w:eastAsia="sk-SK"/>
              </w:rPr>
              <w:t>8390</w:t>
            </w:r>
          </w:p>
        </w:tc>
        <w:tc>
          <w:tcPr>
            <w:tcW w:w="863"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8</w:t>
            </w:r>
            <w:r w:rsidR="00603266">
              <w:rPr>
                <w:rFonts w:ascii="Arial Narrow" w:hAnsi="Arial Narrow" w:cs="Arial"/>
                <w:sz w:val="18"/>
                <w:szCs w:val="18"/>
                <w:lang w:eastAsia="sk-SK"/>
              </w:rPr>
              <w:t>2</w:t>
            </w:r>
            <w:r w:rsidRPr="006029FC">
              <w:rPr>
                <w:rFonts w:ascii="Arial Narrow" w:hAnsi="Arial Narrow" w:cs="Arial"/>
                <w:sz w:val="18"/>
                <w:szCs w:val="18"/>
                <w:lang w:eastAsia="sk-SK"/>
              </w:rPr>
              <w:t>,</w:t>
            </w:r>
            <w:r w:rsidR="00603266">
              <w:rPr>
                <w:rFonts w:ascii="Arial Narrow" w:hAnsi="Arial Narrow" w:cs="Arial"/>
                <w:sz w:val="18"/>
                <w:szCs w:val="18"/>
                <w:lang w:eastAsia="sk-SK"/>
              </w:rPr>
              <w:t>0089</w:t>
            </w:r>
          </w:p>
        </w:tc>
        <w:tc>
          <w:tcPr>
            <w:tcW w:w="674"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81,</w:t>
            </w:r>
            <w:r w:rsidR="00603266">
              <w:rPr>
                <w:rFonts w:ascii="Arial Narrow" w:hAnsi="Arial Narrow" w:cs="Arial"/>
                <w:sz w:val="18"/>
                <w:szCs w:val="18"/>
                <w:lang w:eastAsia="sk-SK"/>
              </w:rPr>
              <w:t>4579</w:t>
            </w:r>
          </w:p>
        </w:tc>
        <w:tc>
          <w:tcPr>
            <w:tcW w:w="863" w:type="dxa"/>
            <w:tcBorders>
              <w:top w:val="nil"/>
              <w:left w:val="nil"/>
              <w:bottom w:val="nil"/>
              <w:right w:val="nil"/>
              <w:tl2br w:val="nil"/>
              <w:tr2bl w:val="nil"/>
            </w:tcBorders>
            <w:noWrap/>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88,</w:t>
            </w:r>
            <w:r w:rsidR="00603266">
              <w:rPr>
                <w:rFonts w:ascii="Arial Narrow" w:hAnsi="Arial Narrow" w:cs="Arial"/>
                <w:sz w:val="18"/>
                <w:szCs w:val="18"/>
                <w:lang w:eastAsia="sk-SK"/>
              </w:rPr>
              <w:t>8900</w:t>
            </w:r>
          </w:p>
        </w:tc>
        <w:tc>
          <w:tcPr>
            <w:tcW w:w="674" w:type="dxa"/>
            <w:tcBorders>
              <w:top w:val="nil"/>
              <w:left w:val="nil"/>
              <w:bottom w:val="nil"/>
              <w:right w:val="single" w:sz="8" w:space="0" w:color="auto"/>
              <w:tl2br w:val="nil"/>
              <w:tr2bl w:val="nil"/>
            </w:tcBorders>
            <w:textDirection w:val="lrTb"/>
            <w:vAlign w:val="bottom"/>
          </w:tcPr>
          <w:p w:rsidR="000E060D" w:rsidRPr="006029FC" w:rsidP="000E060D">
            <w:pPr>
              <w:jc w:val="right"/>
              <w:rPr>
                <w:rFonts w:ascii="Arial Narrow" w:hAnsi="Arial Narrow" w:cs="Arial"/>
                <w:sz w:val="18"/>
                <w:szCs w:val="18"/>
                <w:lang w:eastAsia="sk-SK"/>
              </w:rPr>
            </w:pPr>
            <w:r w:rsidRPr="006029FC">
              <w:rPr>
                <w:rFonts w:ascii="Arial Narrow" w:hAnsi="Arial Narrow" w:cs="Arial"/>
                <w:sz w:val="18"/>
                <w:szCs w:val="18"/>
                <w:lang w:eastAsia="sk-SK"/>
              </w:rPr>
              <w:t>88,</w:t>
            </w:r>
            <w:r w:rsidR="00603266">
              <w:rPr>
                <w:rFonts w:ascii="Arial Narrow" w:hAnsi="Arial Narrow" w:cs="Arial"/>
                <w:sz w:val="18"/>
                <w:szCs w:val="18"/>
                <w:lang w:eastAsia="sk-SK"/>
              </w:rPr>
              <w:t>5315</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Konečná spotreba domácností; reálny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7</w:t>
            </w:r>
            <w:r>
              <w:rPr>
                <w:rFonts w:ascii="Arial Narrow" w:hAnsi="Arial Narrow" w:cs="Arial"/>
                <w:sz w:val="18"/>
                <w:szCs w:val="18"/>
                <w:lang w:eastAsia="sk-SK"/>
              </w:rPr>
              <w:t>,</w:t>
            </w:r>
            <w:r w:rsidRPr="006C52F5">
              <w:rPr>
                <w:rFonts w:ascii="Arial Narrow" w:hAnsi="Arial Narrow" w:cs="Arial"/>
                <w:sz w:val="18"/>
                <w:szCs w:val="18"/>
                <w:lang w:eastAsia="sk-SK"/>
              </w:rPr>
              <w:t>1</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00233D90">
              <w:rPr>
                <w:rFonts w:ascii="Arial Narrow" w:hAnsi="Arial Narrow" w:cs="Arial"/>
                <w:sz w:val="18"/>
                <w:szCs w:val="18"/>
                <w:lang w:eastAsia="sk-SK"/>
              </w:rPr>
              <w:t>8</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7</w:t>
            </w:r>
            <w:r>
              <w:rPr>
                <w:rFonts w:ascii="Arial Narrow" w:hAnsi="Arial Narrow" w:cs="Arial"/>
                <w:sz w:val="18"/>
                <w:szCs w:val="18"/>
                <w:lang w:eastAsia="sk-SK"/>
              </w:rPr>
              <w:t>,</w:t>
            </w:r>
            <w:r w:rsidRPr="006C52F5">
              <w:rPr>
                <w:rFonts w:ascii="Arial Narrow" w:hAnsi="Arial Narrow" w:cs="Arial"/>
                <w:sz w:val="18"/>
                <w:szCs w:val="18"/>
                <w:lang w:eastAsia="sk-SK"/>
              </w:rPr>
              <w:t>0</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Pr="006C52F5">
              <w:rPr>
                <w:rFonts w:ascii="Arial Narrow" w:hAnsi="Arial Narrow" w:cs="Arial"/>
                <w:sz w:val="18"/>
                <w:szCs w:val="18"/>
                <w:lang w:eastAsia="sk-SK"/>
              </w:rPr>
              <w:t>2</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6</w:t>
            </w:r>
            <w:r>
              <w:rPr>
                <w:rFonts w:ascii="Arial Narrow" w:hAnsi="Arial Narrow" w:cs="Arial"/>
                <w:sz w:val="18"/>
                <w:szCs w:val="18"/>
                <w:lang w:eastAsia="sk-SK"/>
              </w:rPr>
              <w:t>,</w:t>
            </w:r>
            <w:r w:rsidR="00233D90">
              <w:rPr>
                <w:rFonts w:ascii="Arial Narrow" w:hAnsi="Arial Narrow" w:cs="Arial"/>
                <w:sz w:val="18"/>
                <w:szCs w:val="18"/>
                <w:lang w:eastAsia="sk-SK"/>
              </w:rPr>
              <w:t>1</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Pr="006C52F5">
              <w:rPr>
                <w:rFonts w:ascii="Arial Narrow" w:hAnsi="Arial Narrow" w:cs="Arial"/>
                <w:sz w:val="18"/>
                <w:szCs w:val="18"/>
                <w:lang w:eastAsia="sk-SK"/>
              </w:rPr>
              <w:t>8</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00233D90">
              <w:rPr>
                <w:rFonts w:ascii="Arial Narrow" w:hAnsi="Arial Narrow" w:cs="Arial"/>
                <w:sz w:val="18"/>
                <w:szCs w:val="18"/>
                <w:lang w:eastAsia="sk-SK"/>
              </w:rPr>
              <w:t>8</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00233D90">
              <w:rPr>
                <w:rFonts w:ascii="Arial Narrow" w:hAnsi="Arial Narrow" w:cs="Arial"/>
                <w:sz w:val="18"/>
                <w:szCs w:val="18"/>
                <w:lang w:eastAsia="sk-SK"/>
              </w:rPr>
              <w:t>3</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00233D90">
              <w:rPr>
                <w:rFonts w:ascii="Arial Narrow" w:hAnsi="Arial Narrow" w:cs="Arial"/>
                <w:sz w:val="18"/>
                <w:szCs w:val="18"/>
                <w:lang w:eastAsia="sk-SK"/>
              </w:rPr>
              <w:t>5</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Konečná spotreba domácností; nominálny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Pr>
                <w:rFonts w:ascii="Arial Narrow" w:hAnsi="Arial Narrow" w:cs="Arial"/>
                <w:sz w:val="18"/>
                <w:szCs w:val="18"/>
                <w:lang w:eastAsia="sk-SK"/>
              </w:rPr>
              <w:t>,</w:t>
            </w:r>
            <w:r w:rsidRPr="006C52F5">
              <w:rPr>
                <w:rFonts w:ascii="Arial Narrow" w:hAnsi="Arial Narrow" w:cs="Arial"/>
                <w:sz w:val="18"/>
                <w:szCs w:val="18"/>
                <w:lang w:eastAsia="sk-SK"/>
              </w:rPr>
              <w:t>9</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sidR="00233D90">
              <w:rPr>
                <w:rFonts w:ascii="Arial Narrow" w:hAnsi="Arial Narrow" w:cs="Arial"/>
                <w:sz w:val="18"/>
                <w:szCs w:val="18"/>
                <w:lang w:eastAsia="sk-SK"/>
              </w:rPr>
              <w:t>1,1</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11</w:t>
            </w:r>
            <w:r>
              <w:rPr>
                <w:rFonts w:ascii="Arial Narrow" w:hAnsi="Arial Narrow" w:cs="Arial"/>
                <w:sz w:val="18"/>
                <w:szCs w:val="18"/>
                <w:lang w:eastAsia="sk-SK"/>
              </w:rPr>
              <w:t>,</w:t>
            </w:r>
            <w:r w:rsidR="00233D90">
              <w:rPr>
                <w:rFonts w:ascii="Arial Narrow" w:hAnsi="Arial Narrow" w:cs="Arial"/>
                <w:sz w:val="18"/>
                <w:szCs w:val="18"/>
                <w:lang w:eastAsia="sk-SK"/>
              </w:rPr>
              <w:t>7</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Pr>
                <w:rFonts w:ascii="Arial Narrow" w:hAnsi="Arial Narrow" w:cs="Arial"/>
                <w:sz w:val="18"/>
                <w:szCs w:val="18"/>
                <w:lang w:eastAsia="sk-SK"/>
              </w:rPr>
              <w:t>,</w:t>
            </w:r>
            <w:r w:rsidR="00233D90">
              <w:rPr>
                <w:rFonts w:ascii="Arial Narrow" w:hAnsi="Arial Narrow" w:cs="Arial"/>
                <w:sz w:val="18"/>
                <w:szCs w:val="18"/>
                <w:lang w:eastAsia="sk-SK"/>
              </w:rPr>
              <w:t>8</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00233D90">
              <w:rPr>
                <w:rFonts w:ascii="Arial Narrow" w:hAnsi="Arial Narrow" w:cs="Arial"/>
                <w:sz w:val="18"/>
                <w:szCs w:val="18"/>
                <w:lang w:eastAsia="sk-SK"/>
              </w:rPr>
              <w:t>10</w:t>
            </w:r>
            <w:r>
              <w:rPr>
                <w:rFonts w:ascii="Arial Narrow" w:hAnsi="Arial Narrow" w:cs="Arial"/>
                <w:sz w:val="18"/>
                <w:szCs w:val="18"/>
                <w:lang w:eastAsia="sk-SK"/>
              </w:rPr>
              <w:t>,</w:t>
            </w:r>
            <w:r w:rsidR="00233D90">
              <w:rPr>
                <w:rFonts w:ascii="Arial Narrow" w:hAnsi="Arial Narrow" w:cs="Arial"/>
                <w:sz w:val="18"/>
                <w:szCs w:val="18"/>
                <w:lang w:eastAsia="sk-SK"/>
              </w:rPr>
              <w:t>0</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Pr>
                <w:rFonts w:ascii="Arial Narrow" w:hAnsi="Arial Narrow" w:cs="Arial"/>
                <w:sz w:val="18"/>
                <w:szCs w:val="18"/>
                <w:lang w:eastAsia="sk-SK"/>
              </w:rPr>
              <w:t>,</w:t>
            </w:r>
            <w:r w:rsidR="00233D90">
              <w:rPr>
                <w:rFonts w:ascii="Arial Narrow" w:hAnsi="Arial Narrow" w:cs="Arial"/>
                <w:sz w:val="18"/>
                <w:szCs w:val="18"/>
                <w:lang w:eastAsia="sk-SK"/>
              </w:rPr>
              <w:t>4</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Pr>
                <w:rFonts w:ascii="Arial Narrow" w:hAnsi="Arial Narrow" w:cs="Arial"/>
                <w:sz w:val="18"/>
                <w:szCs w:val="18"/>
                <w:lang w:eastAsia="sk-SK"/>
              </w:rPr>
              <w:t>,</w:t>
            </w:r>
            <w:r w:rsidR="00233D90">
              <w:rPr>
                <w:rFonts w:ascii="Arial Narrow" w:hAnsi="Arial Narrow" w:cs="Arial"/>
                <w:sz w:val="18"/>
                <w:szCs w:val="18"/>
                <w:lang w:eastAsia="sk-SK"/>
              </w:rPr>
              <w:t>3</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8</w:t>
            </w:r>
            <w:r>
              <w:rPr>
                <w:rFonts w:ascii="Arial Narrow" w:hAnsi="Arial Narrow" w:cs="Arial"/>
                <w:sz w:val="18"/>
                <w:szCs w:val="18"/>
                <w:lang w:eastAsia="sk-SK"/>
              </w:rPr>
              <w:t>,</w:t>
            </w:r>
            <w:r w:rsidR="00233D90">
              <w:rPr>
                <w:rFonts w:ascii="Arial Narrow" w:hAnsi="Arial Narrow" w:cs="Arial"/>
                <w:sz w:val="18"/>
                <w:szCs w:val="18"/>
                <w:lang w:eastAsia="sk-SK"/>
              </w:rPr>
              <w:t>8</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sidR="00233D90">
              <w:rPr>
                <w:rFonts w:ascii="Arial Narrow" w:hAnsi="Arial Narrow" w:cs="Arial"/>
                <w:sz w:val="18"/>
                <w:szCs w:val="18"/>
                <w:lang w:eastAsia="sk-SK"/>
              </w:rPr>
              <w:t>,3</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Priemerná mesačná mzda; reálny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Pr="006C52F5">
              <w:rPr>
                <w:rFonts w:ascii="Arial Narrow" w:hAnsi="Arial Narrow" w:cs="Arial"/>
                <w:sz w:val="18"/>
                <w:szCs w:val="18"/>
                <w:lang w:eastAsia="sk-SK"/>
              </w:rPr>
              <w:t>3</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6</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Pr="006C52F5">
              <w:rPr>
                <w:rFonts w:ascii="Arial Narrow" w:hAnsi="Arial Narrow" w:cs="Arial"/>
                <w:sz w:val="18"/>
                <w:szCs w:val="18"/>
                <w:lang w:eastAsia="sk-SK"/>
              </w:rPr>
              <w:t>7</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2</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6</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4</w:t>
            </w:r>
          </w:p>
        </w:tc>
        <w:tc>
          <w:tcPr>
            <w:tcW w:w="674" w:type="dxa"/>
            <w:tcBorders>
              <w:top w:val="nil"/>
              <w:left w:val="nil"/>
              <w:bottom w:val="nil"/>
              <w:right w:val="nil"/>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sidR="00233D90">
              <w:rPr>
                <w:rFonts w:ascii="Arial Narrow" w:hAnsi="Arial Narrow" w:cs="Arial"/>
                <w:sz w:val="18"/>
                <w:szCs w:val="18"/>
                <w:lang w:eastAsia="sk-SK"/>
              </w:rPr>
              <w:t>,9</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1</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233D90">
              <w:rPr>
                <w:rFonts w:ascii="Arial Narrow" w:hAnsi="Arial Narrow" w:cs="Arial"/>
                <w:sz w:val="18"/>
                <w:szCs w:val="18"/>
                <w:lang w:eastAsia="sk-SK"/>
              </w:rPr>
              <w:t>9</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Priemerná mesačná mzda; nominálny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7</w:t>
            </w:r>
            <w:r>
              <w:rPr>
                <w:rFonts w:ascii="Arial Narrow" w:hAnsi="Arial Narrow" w:cs="Arial"/>
                <w:sz w:val="18"/>
                <w:szCs w:val="18"/>
                <w:lang w:eastAsia="sk-SK"/>
              </w:rPr>
              <w:t>,</w:t>
            </w:r>
            <w:r w:rsidRPr="006C52F5">
              <w:rPr>
                <w:rFonts w:ascii="Arial Narrow" w:hAnsi="Arial Narrow" w:cs="Arial"/>
                <w:sz w:val="18"/>
                <w:szCs w:val="18"/>
                <w:lang w:eastAsia="sk-SK"/>
              </w:rPr>
              <w:t>2</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001069D1">
              <w:rPr>
                <w:rFonts w:ascii="Arial Narrow" w:hAnsi="Arial Narrow" w:cs="Arial"/>
                <w:sz w:val="18"/>
                <w:szCs w:val="18"/>
                <w:lang w:eastAsia="sk-SK"/>
              </w:rPr>
              <w:t>9</w:t>
            </w:r>
            <w:r>
              <w:rPr>
                <w:rFonts w:ascii="Arial Narrow" w:hAnsi="Arial Narrow" w:cs="Arial"/>
                <w:sz w:val="18"/>
                <w:szCs w:val="18"/>
                <w:lang w:eastAsia="sk-SK"/>
              </w:rPr>
              <w:t>,</w:t>
            </w:r>
            <w:r w:rsidR="001069D1">
              <w:rPr>
                <w:rFonts w:ascii="Arial Narrow" w:hAnsi="Arial Narrow" w:cs="Arial"/>
                <w:sz w:val="18"/>
                <w:szCs w:val="18"/>
                <w:lang w:eastAsia="sk-SK"/>
              </w:rPr>
              <w:t>1</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9</w:t>
            </w:r>
            <w:r>
              <w:rPr>
                <w:rFonts w:ascii="Arial Narrow" w:hAnsi="Arial Narrow" w:cs="Arial"/>
                <w:sz w:val="18"/>
                <w:szCs w:val="18"/>
                <w:lang w:eastAsia="sk-SK"/>
              </w:rPr>
              <w:t>,</w:t>
            </w:r>
            <w:r w:rsidR="001069D1">
              <w:rPr>
                <w:rFonts w:ascii="Arial Narrow" w:hAnsi="Arial Narrow" w:cs="Arial"/>
                <w:sz w:val="18"/>
                <w:szCs w:val="18"/>
                <w:lang w:eastAsia="sk-SK"/>
              </w:rPr>
              <w:t>3</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001069D1">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2</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8</w:t>
            </w:r>
          </w:p>
        </w:tc>
        <w:tc>
          <w:tcPr>
            <w:tcW w:w="863" w:type="dxa"/>
            <w:tcBorders>
              <w:top w:val="nil"/>
              <w:left w:val="nil"/>
              <w:bottom w:val="nil"/>
              <w:right w:val="nil"/>
              <w:tl2br w:val="nil"/>
              <w:tr2bl w:val="nil"/>
            </w:tcBorders>
            <w:noWrap/>
            <w:textDirection w:val="lrTb"/>
            <w:vAlign w:val="bottom"/>
          </w:tcPr>
          <w:p w:rsidR="000E060D" w:rsidRPr="006C52F5" w:rsidP="001069D1">
            <w:pPr>
              <w:jc w:val="right"/>
              <w:rPr>
                <w:rFonts w:ascii="Arial Narrow" w:hAnsi="Arial Narrow" w:cs="Arial"/>
                <w:sz w:val="18"/>
                <w:szCs w:val="18"/>
                <w:lang w:eastAsia="sk-SK"/>
              </w:rPr>
            </w:pPr>
            <w:r w:rsidR="001069D1">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3</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6</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001069D1">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1</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8</w:t>
            </w:r>
            <w:r>
              <w:rPr>
                <w:rFonts w:ascii="Arial Narrow" w:hAnsi="Arial Narrow" w:cs="Arial"/>
                <w:sz w:val="18"/>
                <w:szCs w:val="18"/>
                <w:lang w:eastAsia="sk-SK"/>
              </w:rPr>
              <w:t>,</w:t>
            </w:r>
            <w:r w:rsidR="001069D1">
              <w:rPr>
                <w:rFonts w:ascii="Arial Narrow" w:hAnsi="Arial Narrow" w:cs="Arial"/>
                <w:sz w:val="18"/>
                <w:szCs w:val="18"/>
                <w:lang w:eastAsia="sk-SK"/>
              </w:rPr>
              <w:t>7</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Rast zamestnanosti</w:t>
            </w:r>
            <w:r w:rsidR="002D7105">
              <w:rPr>
                <w:rFonts w:ascii="Arial Narrow" w:hAnsi="Arial Narrow" w:cs="Arial"/>
                <w:sz w:val="18"/>
                <w:szCs w:val="18"/>
                <w:lang w:eastAsia="sk-SK"/>
              </w:rPr>
              <w:t>;</w:t>
            </w:r>
            <w:r w:rsidRPr="006C52F5">
              <w:rPr>
                <w:rFonts w:ascii="Arial Narrow" w:hAnsi="Arial Narrow" w:cs="Arial"/>
                <w:sz w:val="18"/>
                <w:szCs w:val="18"/>
                <w:lang w:eastAsia="sk-SK"/>
              </w:rPr>
              <w:t xml:space="preserve"> štatistické zisťovanie</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2</w:t>
            </w:r>
            <w:r>
              <w:rPr>
                <w:rFonts w:ascii="Arial Narrow" w:hAnsi="Arial Narrow" w:cs="Arial"/>
                <w:sz w:val="18"/>
                <w:szCs w:val="18"/>
                <w:lang w:eastAsia="sk-SK"/>
              </w:rPr>
              <w:t>,</w:t>
            </w:r>
            <w:r w:rsidRPr="006C52F5">
              <w:rPr>
                <w:rFonts w:ascii="Arial Narrow" w:hAnsi="Arial Narrow" w:cs="Arial"/>
                <w:sz w:val="18"/>
                <w:szCs w:val="18"/>
                <w:lang w:eastAsia="sk-SK"/>
              </w:rPr>
              <w:t>4</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2</w:t>
            </w:r>
            <w:r>
              <w:rPr>
                <w:rFonts w:ascii="Arial Narrow" w:hAnsi="Arial Narrow" w:cs="Arial"/>
                <w:sz w:val="18"/>
                <w:szCs w:val="18"/>
                <w:lang w:eastAsia="sk-SK"/>
              </w:rPr>
              <w:t>,</w:t>
            </w:r>
            <w:r w:rsidR="000736FC">
              <w:rPr>
                <w:rFonts w:ascii="Arial Narrow" w:hAnsi="Arial Narrow" w:cs="Arial"/>
                <w:sz w:val="18"/>
                <w:szCs w:val="18"/>
                <w:lang w:eastAsia="sk-SK"/>
              </w:rPr>
              <w:t>3</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2</w:t>
            </w:r>
            <w:r>
              <w:rPr>
                <w:rFonts w:ascii="Arial Narrow" w:hAnsi="Arial Narrow" w:cs="Arial"/>
                <w:sz w:val="18"/>
                <w:szCs w:val="18"/>
                <w:lang w:eastAsia="sk-SK"/>
              </w:rPr>
              <w:t>,</w:t>
            </w:r>
            <w:r w:rsidR="000736FC">
              <w:rPr>
                <w:rFonts w:ascii="Arial Narrow" w:hAnsi="Arial Narrow" w:cs="Arial"/>
                <w:sz w:val="18"/>
                <w:szCs w:val="18"/>
                <w:lang w:eastAsia="sk-SK"/>
              </w:rPr>
              <w:t>5</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Pr>
                <w:rFonts w:ascii="Arial Narrow" w:hAnsi="Arial Narrow" w:cs="Arial"/>
                <w:sz w:val="18"/>
                <w:szCs w:val="18"/>
                <w:lang w:eastAsia="sk-SK"/>
              </w:rPr>
              <w:t>,</w:t>
            </w:r>
            <w:r w:rsidRPr="006C52F5">
              <w:rPr>
                <w:rFonts w:ascii="Arial Narrow" w:hAnsi="Arial Narrow" w:cs="Arial"/>
                <w:sz w:val="18"/>
                <w:szCs w:val="18"/>
                <w:lang w:eastAsia="sk-SK"/>
              </w:rPr>
              <w:t>3</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Pr>
                <w:rFonts w:ascii="Arial Narrow" w:hAnsi="Arial Narrow" w:cs="Arial"/>
                <w:sz w:val="18"/>
                <w:szCs w:val="18"/>
                <w:lang w:eastAsia="sk-SK"/>
              </w:rPr>
              <w:t>,</w:t>
            </w:r>
            <w:r w:rsidRPr="006C52F5">
              <w:rPr>
                <w:rFonts w:ascii="Arial Narrow" w:hAnsi="Arial Narrow" w:cs="Arial"/>
                <w:sz w:val="18"/>
                <w:szCs w:val="18"/>
                <w:lang w:eastAsia="sk-SK"/>
              </w:rPr>
              <w:t>3</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Pr>
                <w:rFonts w:ascii="Arial Narrow" w:hAnsi="Arial Narrow" w:cs="Arial"/>
                <w:sz w:val="18"/>
                <w:szCs w:val="18"/>
                <w:lang w:eastAsia="sk-SK"/>
              </w:rPr>
              <w:t>,</w:t>
            </w:r>
            <w:r w:rsidRPr="006C52F5">
              <w:rPr>
                <w:rFonts w:ascii="Arial Narrow" w:hAnsi="Arial Narrow" w:cs="Arial"/>
                <w:sz w:val="18"/>
                <w:szCs w:val="18"/>
                <w:lang w:eastAsia="sk-SK"/>
              </w:rPr>
              <w:t>0</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Pr>
                <w:rFonts w:ascii="Arial Narrow" w:hAnsi="Arial Narrow" w:cs="Arial"/>
                <w:sz w:val="18"/>
                <w:szCs w:val="18"/>
                <w:lang w:eastAsia="sk-SK"/>
              </w:rPr>
              <w:t>,</w:t>
            </w:r>
            <w:r w:rsidRPr="006C52F5">
              <w:rPr>
                <w:rFonts w:ascii="Arial Narrow" w:hAnsi="Arial Narrow" w:cs="Arial"/>
                <w:sz w:val="18"/>
                <w:szCs w:val="18"/>
                <w:lang w:eastAsia="sk-SK"/>
              </w:rPr>
              <w:t>0</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0</w:t>
            </w:r>
            <w:r>
              <w:rPr>
                <w:rFonts w:ascii="Arial Narrow" w:hAnsi="Arial Narrow" w:cs="Arial"/>
                <w:sz w:val="18"/>
                <w:szCs w:val="18"/>
                <w:lang w:eastAsia="sk-SK"/>
              </w:rPr>
              <w:t>,</w:t>
            </w:r>
            <w:r w:rsidRPr="006C52F5">
              <w:rPr>
                <w:rFonts w:ascii="Arial Narrow" w:hAnsi="Arial Narrow" w:cs="Arial"/>
                <w:sz w:val="18"/>
                <w:szCs w:val="18"/>
                <w:lang w:eastAsia="sk-SK"/>
              </w:rPr>
              <w:t>9</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0</w:t>
            </w:r>
            <w:r>
              <w:rPr>
                <w:rFonts w:ascii="Arial Narrow" w:hAnsi="Arial Narrow" w:cs="Arial"/>
                <w:sz w:val="18"/>
                <w:szCs w:val="18"/>
                <w:lang w:eastAsia="sk-SK"/>
              </w:rPr>
              <w:t>,</w:t>
            </w:r>
            <w:r w:rsidRPr="006C52F5">
              <w:rPr>
                <w:rFonts w:ascii="Arial Narrow" w:hAnsi="Arial Narrow" w:cs="Arial"/>
                <w:sz w:val="18"/>
                <w:szCs w:val="18"/>
                <w:lang w:eastAsia="sk-SK"/>
              </w:rPr>
              <w:t>8</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nil"/>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Index spotrebiteľských cien; priemerný rast</w:t>
            </w:r>
          </w:p>
        </w:tc>
        <w:tc>
          <w:tcPr>
            <w:tcW w:w="674" w:type="dxa"/>
            <w:tcBorders>
              <w:top w:val="nil"/>
              <w:left w:val="nil"/>
              <w:bottom w:val="nil"/>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2</w:t>
            </w:r>
            <w:r>
              <w:rPr>
                <w:rFonts w:ascii="Arial Narrow" w:hAnsi="Arial Narrow" w:cs="Arial"/>
                <w:sz w:val="18"/>
                <w:szCs w:val="18"/>
                <w:lang w:eastAsia="sk-SK"/>
              </w:rPr>
              <w:t>,</w:t>
            </w:r>
            <w:r w:rsidRPr="006C52F5">
              <w:rPr>
                <w:rFonts w:ascii="Arial Narrow" w:hAnsi="Arial Narrow" w:cs="Arial"/>
                <w:sz w:val="18"/>
                <w:szCs w:val="18"/>
                <w:lang w:eastAsia="sk-SK"/>
              </w:rPr>
              <w:t>8</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1F732E">
              <w:rPr>
                <w:rFonts w:ascii="Arial Narrow" w:hAnsi="Arial Narrow" w:cs="Arial"/>
                <w:sz w:val="18"/>
                <w:szCs w:val="18"/>
                <w:lang w:eastAsia="sk-SK"/>
              </w:rPr>
              <w:t>5</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4</w:t>
            </w:r>
            <w:r>
              <w:rPr>
                <w:rFonts w:ascii="Arial Narrow" w:hAnsi="Arial Narrow" w:cs="Arial"/>
                <w:sz w:val="18"/>
                <w:szCs w:val="18"/>
                <w:lang w:eastAsia="sk-SK"/>
              </w:rPr>
              <w:t>,</w:t>
            </w:r>
            <w:r w:rsidR="001F732E">
              <w:rPr>
                <w:rFonts w:ascii="Arial Narrow" w:hAnsi="Arial Narrow" w:cs="Arial"/>
                <w:sz w:val="18"/>
                <w:szCs w:val="18"/>
                <w:lang w:eastAsia="sk-SK"/>
              </w:rPr>
              <w:t>4</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9</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001F732E">
              <w:rPr>
                <w:rFonts w:ascii="Arial Narrow" w:hAnsi="Arial Narrow" w:cs="Arial"/>
                <w:sz w:val="18"/>
                <w:szCs w:val="18"/>
                <w:lang w:eastAsia="sk-SK"/>
              </w:rPr>
              <w:t>4</w:t>
            </w:r>
            <w:r>
              <w:rPr>
                <w:rFonts w:ascii="Arial Narrow" w:hAnsi="Arial Narrow" w:cs="Arial"/>
                <w:sz w:val="18"/>
                <w:szCs w:val="18"/>
                <w:lang w:eastAsia="sk-SK"/>
              </w:rPr>
              <w:t>,</w:t>
            </w:r>
            <w:r w:rsidR="001F732E">
              <w:rPr>
                <w:rFonts w:ascii="Arial Narrow" w:hAnsi="Arial Narrow" w:cs="Arial"/>
                <w:sz w:val="18"/>
                <w:szCs w:val="18"/>
                <w:lang w:eastAsia="sk-SK"/>
              </w:rPr>
              <w:t>0</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7</w:t>
            </w:r>
          </w:p>
        </w:tc>
        <w:tc>
          <w:tcPr>
            <w:tcW w:w="674"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5</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9</w:t>
            </w:r>
          </w:p>
        </w:tc>
        <w:tc>
          <w:tcPr>
            <w:tcW w:w="674" w:type="dxa"/>
            <w:tcBorders>
              <w:top w:val="nil"/>
              <w:left w:val="nil"/>
              <w:bottom w:val="nil"/>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6</w:t>
            </w:r>
          </w:p>
        </w:tc>
      </w:tr>
      <w:tr>
        <w:tblPrEx>
          <w:tblW w:w="10265" w:type="dxa"/>
          <w:jc w:val="center"/>
          <w:tblInd w:w="55" w:type="dxa"/>
          <w:tblCellMar>
            <w:left w:w="70" w:type="dxa"/>
            <w:right w:w="70" w:type="dxa"/>
          </w:tblCellMar>
        </w:tblPrEx>
        <w:trPr>
          <w:trHeight w:val="284"/>
          <w:jc w:val="center"/>
        </w:trPr>
        <w:tc>
          <w:tcPr>
            <w:tcW w:w="3443" w:type="dxa"/>
            <w:tcBorders>
              <w:top w:val="nil"/>
              <w:left w:val="single" w:sz="8" w:space="0" w:color="auto"/>
              <w:bottom w:val="single" w:sz="8" w:space="0" w:color="auto"/>
              <w:right w:val="single" w:sz="8" w:space="0" w:color="auto"/>
              <w:tl2br w:val="nil"/>
              <w:tr2bl w:val="nil"/>
            </w:tcBorders>
            <w:textDirection w:val="lrTb"/>
            <w:vAlign w:val="bottom"/>
          </w:tcPr>
          <w:p w:rsidR="000E060D" w:rsidRPr="006C52F5" w:rsidP="000E060D">
            <w:pPr>
              <w:rPr>
                <w:rFonts w:ascii="Arial Narrow" w:hAnsi="Arial Narrow" w:cs="Arial"/>
                <w:sz w:val="18"/>
                <w:szCs w:val="18"/>
                <w:lang w:eastAsia="sk-SK"/>
              </w:rPr>
            </w:pPr>
            <w:r w:rsidRPr="006C52F5">
              <w:rPr>
                <w:rFonts w:ascii="Arial Narrow" w:hAnsi="Arial Narrow" w:cs="Arial"/>
                <w:sz w:val="18"/>
                <w:szCs w:val="18"/>
                <w:lang w:eastAsia="sk-SK"/>
              </w:rPr>
              <w:t>Bilancia bežného účtu; podiel na HDP</w:t>
            </w:r>
          </w:p>
        </w:tc>
        <w:tc>
          <w:tcPr>
            <w:tcW w:w="674" w:type="dxa"/>
            <w:tcBorders>
              <w:top w:val="nil"/>
              <w:left w:val="nil"/>
              <w:bottom w:val="single" w:sz="8" w:space="0" w:color="auto"/>
              <w:right w:val="single" w:sz="8" w:space="0" w:color="auto"/>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-5</w:t>
            </w:r>
            <w:r>
              <w:rPr>
                <w:rFonts w:ascii="Arial Narrow" w:hAnsi="Arial Narrow" w:cs="Arial"/>
                <w:sz w:val="18"/>
                <w:szCs w:val="18"/>
                <w:lang w:eastAsia="sk-SK"/>
              </w:rPr>
              <w:t>,</w:t>
            </w:r>
            <w:r w:rsidRPr="006C52F5">
              <w:rPr>
                <w:rFonts w:ascii="Arial Narrow" w:hAnsi="Arial Narrow" w:cs="Arial"/>
                <w:sz w:val="18"/>
                <w:szCs w:val="18"/>
                <w:lang w:eastAsia="sk-SK"/>
              </w:rPr>
              <w:t>3</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w:t>
            </w:r>
            <w:r w:rsidR="001F732E">
              <w:rPr>
                <w:rFonts w:ascii="Arial Narrow" w:hAnsi="Arial Narrow" w:cs="Arial"/>
                <w:sz w:val="18"/>
                <w:szCs w:val="18"/>
                <w:lang w:eastAsia="sk-SK"/>
              </w:rPr>
              <w:t>4</w:t>
            </w:r>
            <w:r>
              <w:rPr>
                <w:rFonts w:ascii="Arial Narrow" w:hAnsi="Arial Narrow" w:cs="Arial"/>
                <w:sz w:val="18"/>
                <w:szCs w:val="18"/>
                <w:lang w:eastAsia="sk-SK"/>
              </w:rPr>
              <w:t>,</w:t>
            </w:r>
            <w:r w:rsidR="001F732E">
              <w:rPr>
                <w:rFonts w:ascii="Arial Narrow" w:hAnsi="Arial Narrow" w:cs="Arial"/>
                <w:sz w:val="18"/>
                <w:szCs w:val="18"/>
                <w:lang w:eastAsia="sk-SK"/>
              </w:rPr>
              <w:t>4</w:t>
            </w:r>
          </w:p>
        </w:tc>
        <w:tc>
          <w:tcPr>
            <w:tcW w:w="674" w:type="dxa"/>
            <w:tcBorders>
              <w:top w:val="nil"/>
              <w:left w:val="nil"/>
              <w:bottom w:val="single" w:sz="8" w:space="0" w:color="auto"/>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w:t>
            </w:r>
            <w:r w:rsidR="001F732E">
              <w:rPr>
                <w:rFonts w:ascii="Arial Narrow" w:hAnsi="Arial Narrow" w:cs="Arial"/>
                <w:sz w:val="18"/>
                <w:szCs w:val="18"/>
                <w:lang w:eastAsia="sk-SK"/>
              </w:rPr>
              <w:t>5</w:t>
            </w:r>
            <w:r>
              <w:rPr>
                <w:rFonts w:ascii="Arial Narrow" w:hAnsi="Arial Narrow" w:cs="Arial"/>
                <w:sz w:val="18"/>
                <w:szCs w:val="18"/>
                <w:lang w:eastAsia="sk-SK"/>
              </w:rPr>
              <w:t>,</w:t>
            </w:r>
            <w:r w:rsidR="001F732E">
              <w:rPr>
                <w:rFonts w:ascii="Arial Narrow" w:hAnsi="Arial Narrow" w:cs="Arial"/>
                <w:sz w:val="18"/>
                <w:szCs w:val="18"/>
                <w:lang w:eastAsia="sk-SK"/>
              </w:rPr>
              <w:t>0</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w:t>
            </w:r>
            <w:r w:rsidR="001F732E">
              <w:rPr>
                <w:rFonts w:ascii="Arial Narrow" w:hAnsi="Arial Narrow" w:cs="Arial"/>
                <w:sz w:val="18"/>
                <w:szCs w:val="18"/>
                <w:lang w:eastAsia="sk-SK"/>
              </w:rPr>
              <w:t>3</w:t>
            </w:r>
            <w:r>
              <w:rPr>
                <w:rFonts w:ascii="Arial Narrow" w:hAnsi="Arial Narrow" w:cs="Arial"/>
                <w:sz w:val="18"/>
                <w:szCs w:val="18"/>
                <w:lang w:eastAsia="sk-SK"/>
              </w:rPr>
              <w:t>,</w:t>
            </w:r>
            <w:r w:rsidR="001F732E">
              <w:rPr>
                <w:rFonts w:ascii="Arial Narrow" w:hAnsi="Arial Narrow" w:cs="Arial"/>
                <w:sz w:val="18"/>
                <w:szCs w:val="18"/>
                <w:lang w:eastAsia="sk-SK"/>
              </w:rPr>
              <w:t>3</w:t>
            </w:r>
          </w:p>
        </w:tc>
        <w:tc>
          <w:tcPr>
            <w:tcW w:w="674" w:type="dxa"/>
            <w:tcBorders>
              <w:top w:val="nil"/>
              <w:left w:val="nil"/>
              <w:bottom w:val="single" w:sz="8" w:space="0" w:color="auto"/>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-2</w:t>
            </w:r>
            <w:r>
              <w:rPr>
                <w:rFonts w:ascii="Arial Narrow" w:hAnsi="Arial Narrow" w:cs="Arial"/>
                <w:sz w:val="18"/>
                <w:szCs w:val="18"/>
                <w:lang w:eastAsia="sk-SK"/>
              </w:rPr>
              <w:t>,</w:t>
            </w:r>
            <w:r w:rsidR="001F732E">
              <w:rPr>
                <w:rFonts w:ascii="Arial Narrow" w:hAnsi="Arial Narrow" w:cs="Arial"/>
                <w:sz w:val="18"/>
                <w:szCs w:val="18"/>
                <w:lang w:eastAsia="sk-SK"/>
              </w:rPr>
              <w:t>9</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w:t>
            </w:r>
            <w:r w:rsidR="001F732E">
              <w:rPr>
                <w:rFonts w:ascii="Arial Narrow" w:hAnsi="Arial Narrow" w:cs="Arial"/>
                <w:sz w:val="18"/>
                <w:szCs w:val="18"/>
                <w:lang w:eastAsia="sk-SK"/>
              </w:rPr>
              <w:t>2</w:t>
            </w:r>
            <w:r>
              <w:rPr>
                <w:rFonts w:ascii="Arial Narrow" w:hAnsi="Arial Narrow" w:cs="Arial"/>
                <w:sz w:val="18"/>
                <w:szCs w:val="18"/>
                <w:lang w:eastAsia="sk-SK"/>
              </w:rPr>
              <w:t>,</w:t>
            </w:r>
            <w:r w:rsidR="001F732E">
              <w:rPr>
                <w:rFonts w:ascii="Arial Narrow" w:hAnsi="Arial Narrow" w:cs="Arial"/>
                <w:sz w:val="18"/>
                <w:szCs w:val="18"/>
                <w:lang w:eastAsia="sk-SK"/>
              </w:rPr>
              <w:t>4</w:t>
            </w:r>
          </w:p>
        </w:tc>
        <w:tc>
          <w:tcPr>
            <w:tcW w:w="674" w:type="dxa"/>
            <w:tcBorders>
              <w:top w:val="nil"/>
              <w:left w:val="nil"/>
              <w:bottom w:val="single" w:sz="8" w:space="0" w:color="auto"/>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-1</w:t>
            </w:r>
            <w:r>
              <w:rPr>
                <w:rFonts w:ascii="Arial Narrow" w:hAnsi="Arial Narrow" w:cs="Arial"/>
                <w:sz w:val="18"/>
                <w:szCs w:val="18"/>
                <w:lang w:eastAsia="sk-SK"/>
              </w:rPr>
              <w:t>,</w:t>
            </w:r>
            <w:r w:rsidR="001F732E">
              <w:rPr>
                <w:rFonts w:ascii="Arial Narrow" w:hAnsi="Arial Narrow" w:cs="Arial"/>
                <w:sz w:val="18"/>
                <w:szCs w:val="18"/>
                <w:lang w:eastAsia="sk-SK"/>
              </w:rPr>
              <w:t>7</w:t>
            </w:r>
          </w:p>
        </w:tc>
        <w:tc>
          <w:tcPr>
            <w:tcW w:w="863" w:type="dxa"/>
            <w:tcBorders>
              <w:top w:val="nil"/>
              <w:left w:val="nil"/>
              <w:bottom w:val="nil"/>
              <w:right w:val="nil"/>
              <w:tl2br w:val="nil"/>
              <w:tr2bl w:val="nil"/>
            </w:tcBorders>
            <w:noWrap/>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w:t>
            </w:r>
            <w:r w:rsidR="001F732E">
              <w:rPr>
                <w:rFonts w:ascii="Arial Narrow" w:hAnsi="Arial Narrow" w:cs="Arial"/>
                <w:sz w:val="18"/>
                <w:szCs w:val="18"/>
                <w:lang w:eastAsia="sk-SK"/>
              </w:rPr>
              <w:t>2</w:t>
            </w:r>
            <w:r>
              <w:rPr>
                <w:rFonts w:ascii="Arial Narrow" w:hAnsi="Arial Narrow" w:cs="Arial"/>
                <w:sz w:val="18"/>
                <w:szCs w:val="18"/>
                <w:lang w:eastAsia="sk-SK"/>
              </w:rPr>
              <w:t>,</w:t>
            </w:r>
            <w:r w:rsidR="001F732E">
              <w:rPr>
                <w:rFonts w:ascii="Arial Narrow" w:hAnsi="Arial Narrow" w:cs="Arial"/>
                <w:sz w:val="18"/>
                <w:szCs w:val="18"/>
                <w:lang w:eastAsia="sk-SK"/>
              </w:rPr>
              <w:t>1</w:t>
            </w:r>
          </w:p>
        </w:tc>
        <w:tc>
          <w:tcPr>
            <w:tcW w:w="674" w:type="dxa"/>
            <w:tcBorders>
              <w:top w:val="nil"/>
              <w:left w:val="nil"/>
              <w:bottom w:val="single" w:sz="8" w:space="0" w:color="auto"/>
              <w:right w:val="single" w:sz="8" w:space="0" w:color="auto"/>
              <w:tl2br w:val="nil"/>
              <w:tr2bl w:val="nil"/>
            </w:tcBorders>
            <w:textDirection w:val="lrTb"/>
            <w:vAlign w:val="bottom"/>
          </w:tcPr>
          <w:p w:rsidR="000E060D" w:rsidRPr="006C52F5" w:rsidP="000E060D">
            <w:pPr>
              <w:jc w:val="right"/>
              <w:rPr>
                <w:rFonts w:ascii="Arial Narrow" w:hAnsi="Arial Narrow" w:cs="Arial"/>
                <w:sz w:val="18"/>
                <w:szCs w:val="18"/>
                <w:lang w:eastAsia="sk-SK"/>
              </w:rPr>
            </w:pPr>
            <w:r w:rsidRPr="006C52F5">
              <w:rPr>
                <w:rFonts w:ascii="Arial Narrow" w:hAnsi="Arial Narrow" w:cs="Arial"/>
                <w:sz w:val="18"/>
                <w:szCs w:val="18"/>
                <w:lang w:eastAsia="sk-SK"/>
              </w:rPr>
              <w:t>-0</w:t>
            </w:r>
            <w:r>
              <w:rPr>
                <w:rFonts w:ascii="Arial Narrow" w:hAnsi="Arial Narrow" w:cs="Arial"/>
                <w:sz w:val="18"/>
                <w:szCs w:val="18"/>
                <w:lang w:eastAsia="sk-SK"/>
              </w:rPr>
              <w:t>,</w:t>
            </w:r>
            <w:r w:rsidR="001F732E">
              <w:rPr>
                <w:rFonts w:ascii="Arial Narrow" w:hAnsi="Arial Narrow" w:cs="Arial"/>
                <w:sz w:val="18"/>
                <w:szCs w:val="18"/>
                <w:lang w:eastAsia="sk-SK"/>
              </w:rPr>
              <w:t>8</w:t>
            </w:r>
          </w:p>
        </w:tc>
      </w:tr>
      <w:tr>
        <w:tblPrEx>
          <w:tblW w:w="10265" w:type="dxa"/>
          <w:jc w:val="center"/>
          <w:tblInd w:w="55" w:type="dxa"/>
          <w:tblCellMar>
            <w:left w:w="70" w:type="dxa"/>
            <w:right w:w="70" w:type="dxa"/>
          </w:tblCellMar>
        </w:tblPrEx>
        <w:trPr>
          <w:trHeight w:val="284"/>
          <w:jc w:val="center"/>
        </w:trPr>
        <w:tc>
          <w:tcPr>
            <w:tcW w:w="10265" w:type="dxa"/>
            <w:gridSpan w:val="10"/>
            <w:tcBorders>
              <w:top w:val="single" w:sz="8" w:space="0" w:color="auto"/>
              <w:left w:val="nil"/>
              <w:bottom w:val="nil"/>
              <w:right w:val="nil"/>
              <w:tl2br w:val="nil"/>
              <w:tr2bl w:val="nil"/>
            </w:tcBorders>
            <w:shd w:val="clear" w:color="auto" w:fill="FFFFFF"/>
            <w:noWrap/>
            <w:textDirection w:val="lrTb"/>
            <w:vAlign w:val="bottom"/>
          </w:tcPr>
          <w:p w:rsidR="000E060D" w:rsidRPr="00A10665" w:rsidP="000E060D">
            <w:pPr>
              <w:jc w:val="right"/>
              <w:rPr>
                <w:rFonts w:ascii="Arial Narrow" w:hAnsi="Arial Narrow" w:cs="Arial"/>
                <w:i/>
                <w:iCs/>
                <w:sz w:val="18"/>
                <w:szCs w:val="18"/>
                <w:lang w:eastAsia="sk-SK"/>
              </w:rPr>
            </w:pPr>
            <w:r w:rsidRPr="006C52F5">
              <w:rPr>
                <w:rFonts w:ascii="Arial Narrow" w:hAnsi="Arial Narrow" w:cs="Arial"/>
                <w:i/>
                <w:iCs/>
                <w:sz w:val="18"/>
                <w:szCs w:val="18"/>
                <w:lang w:eastAsia="sk-SK"/>
              </w:rPr>
              <w:t xml:space="preserve">                                                                                                           Zdroj: Výbor pre makroekonomické prognózovanie</w:t>
            </w:r>
          </w:p>
        </w:tc>
      </w:tr>
    </w:tbl>
    <w:p w:rsidR="000E060D" w:rsidP="000E060D">
      <w:pPr>
        <w:jc w:val="both"/>
        <w:rPr>
          <w:rFonts w:ascii="Arial Narrow" w:hAnsi="Arial Narrow" w:cs="Times New Roman"/>
          <w:sz w:val="22"/>
          <w:szCs w:val="22"/>
        </w:rPr>
      </w:pPr>
    </w:p>
    <w:p w:rsidR="00F105AC" w:rsidP="00F105AC">
      <w:pPr>
        <w:pStyle w:val="Heading1"/>
      </w:pPr>
      <w:r w:rsidR="000E060D">
        <w:br w:type="page"/>
      </w:r>
      <w:bookmarkStart w:id="18" w:name="_Toc148255240"/>
      <w:bookmarkStart w:id="19" w:name="_Toc174871965"/>
      <w:bookmarkStart w:id="20" w:name="_Toc206478399"/>
      <w:bookmarkStart w:id="21" w:name="_Toc211592390"/>
      <w:r w:rsidRPr="007C74CA">
        <w:rPr>
          <w:rFonts w:ascii="Arial Narrow" w:hAnsi="Arial Narrow"/>
          <w:sz w:val="28"/>
        </w:rPr>
        <w:t>2. Východiskový rámec rozpočtu verejnej správy na roky 2009 až 2011</w:t>
      </w:r>
      <w:bookmarkEnd w:id="18"/>
      <w:bookmarkEnd w:id="19"/>
      <w:bookmarkEnd w:id="20"/>
      <w:bookmarkEnd w:id="21"/>
    </w:p>
    <w:p w:rsidR="00F105AC" w:rsidRPr="007440DD" w:rsidP="00F105AC">
      <w:pPr>
        <w:rPr>
          <w:rFonts w:cs="Times New Roman"/>
        </w:rPr>
      </w:pPr>
    </w:p>
    <w:p w:rsidR="00F105AC" w:rsidRPr="0087062F" w:rsidP="00F105AC">
      <w:pPr>
        <w:pStyle w:val="Heading2"/>
        <w:spacing w:before="0" w:after="0"/>
        <w:rPr>
          <w:rFonts w:ascii="Arial Narrow" w:hAnsi="Arial Narrow"/>
          <w:i w:val="0"/>
          <w:iCs w:val="0"/>
          <w:sz w:val="24"/>
          <w:szCs w:val="20"/>
        </w:rPr>
      </w:pPr>
      <w:bookmarkStart w:id="22" w:name="_Toc143348593"/>
      <w:bookmarkStart w:id="23" w:name="_Toc148255241"/>
      <w:bookmarkStart w:id="24" w:name="_Toc174871966"/>
      <w:bookmarkStart w:id="25" w:name="_Toc206478400"/>
      <w:bookmarkStart w:id="26" w:name="_Toc211592391"/>
      <w:r w:rsidRPr="0087062F">
        <w:rPr>
          <w:rFonts w:ascii="Arial Narrow" w:hAnsi="Arial Narrow"/>
          <w:i w:val="0"/>
          <w:sz w:val="24"/>
          <w:szCs w:val="24"/>
        </w:rPr>
        <w:t>2.1</w:t>
      </w:r>
      <w:r>
        <w:rPr>
          <w:rFonts w:ascii="Arial Narrow" w:hAnsi="Arial Narrow"/>
          <w:i w:val="0"/>
          <w:sz w:val="24"/>
          <w:szCs w:val="24"/>
        </w:rPr>
        <w:t xml:space="preserve">. </w:t>
      </w:r>
      <w:r w:rsidRPr="0087062F">
        <w:rPr>
          <w:rFonts w:ascii="Arial Narrow" w:hAnsi="Arial Narrow"/>
          <w:i w:val="0"/>
          <w:sz w:val="24"/>
          <w:szCs w:val="24"/>
        </w:rPr>
        <w:t>Základné predpoklady zostavenia rozpočtu verejnej správy</w:t>
      </w:r>
      <w:bookmarkEnd w:id="22"/>
      <w:bookmarkEnd w:id="23"/>
      <w:bookmarkEnd w:id="24"/>
      <w:bookmarkEnd w:id="25"/>
      <w:bookmarkEnd w:id="26"/>
      <w:r w:rsidRPr="0087062F">
        <w:rPr>
          <w:rFonts w:ascii="Arial Narrow" w:hAnsi="Arial Narrow"/>
          <w:i w:val="0"/>
          <w:iCs w:val="0"/>
          <w:sz w:val="24"/>
        </w:rPr>
        <w:t xml:space="preserve"> </w:t>
      </w:r>
    </w:p>
    <w:p w:rsidR="00F105AC" w:rsidRPr="003B2DEA" w:rsidP="00F105AC">
      <w:pPr>
        <w:jc w:val="both"/>
        <w:rPr>
          <w:rFonts w:ascii="Arial Narrow" w:hAnsi="Arial Narrow" w:cs="Times New Roman"/>
          <w:szCs w:val="24"/>
        </w:rPr>
      </w:pPr>
    </w:p>
    <w:p w:rsidR="00F105AC" w:rsidRPr="000B51C0" w:rsidP="00F105AC">
      <w:pPr>
        <w:ind w:right="72" w:firstLine="705"/>
        <w:jc w:val="both"/>
        <w:rPr>
          <w:rFonts w:ascii="Arial Narrow" w:hAnsi="Arial Narrow" w:cs="Arial Narrow"/>
          <w:sz w:val="22"/>
          <w:szCs w:val="22"/>
        </w:rPr>
      </w:pPr>
      <w:r w:rsidRPr="000B51C0">
        <w:rPr>
          <w:rFonts w:ascii="Arial Narrow" w:hAnsi="Arial Narrow" w:cs="Arial Narrow"/>
          <w:sz w:val="22"/>
          <w:szCs w:val="22"/>
        </w:rPr>
        <w:t>Základným rámcom pri presadzovaní politiky a cieľov vlády SR, obsiahnutých v programovom vyhlásení vlády SR, je obozretná rozpočtová politika a postupné upevňovanie stability verejných financií pri dôslednom dodržiavaní maastrichtských kritérií a záväzkov SR vyplývajúcich z reformovaného Paktu stability a rastu.</w:t>
      </w:r>
    </w:p>
    <w:p w:rsidR="00F105AC" w:rsidP="00F105AC">
      <w:pPr>
        <w:ind w:right="72" w:firstLine="705"/>
        <w:jc w:val="both"/>
        <w:rPr>
          <w:rFonts w:ascii="Arial Narrow" w:hAnsi="Arial Narrow" w:cs="Arial Narrow"/>
          <w:sz w:val="22"/>
          <w:szCs w:val="22"/>
          <w:highlight w:val="yellow"/>
        </w:rPr>
      </w:pPr>
    </w:p>
    <w:p w:rsidR="00F105AC" w:rsidRPr="000B51C0" w:rsidP="00F105AC">
      <w:pPr>
        <w:ind w:right="72" w:firstLine="705"/>
        <w:jc w:val="both"/>
        <w:rPr>
          <w:rFonts w:ascii="Arial Narrow" w:hAnsi="Arial Narrow" w:cs="Arial Narrow"/>
          <w:sz w:val="22"/>
          <w:szCs w:val="22"/>
        </w:rPr>
      </w:pPr>
      <w:r w:rsidRPr="00C47447">
        <w:rPr>
          <w:rFonts w:ascii="Arial Narrow" w:hAnsi="Arial Narrow" w:cs="Arial Narrow"/>
          <w:sz w:val="22"/>
          <w:szCs w:val="22"/>
        </w:rPr>
        <w:t xml:space="preserve">Návrh rozpočtu verejnej správy na roky 2009 až 2011 je zostavený na </w:t>
      </w:r>
      <w:r>
        <w:rPr>
          <w:rFonts w:ascii="Arial Narrow" w:hAnsi="Arial Narrow" w:cs="Arial Narrow"/>
          <w:sz w:val="22"/>
          <w:szCs w:val="22"/>
        </w:rPr>
        <w:t xml:space="preserve">základe </w:t>
      </w:r>
      <w:r w:rsidRPr="00C47447">
        <w:rPr>
          <w:rFonts w:ascii="Arial Narrow" w:hAnsi="Arial Narrow" w:cs="Arial Narrow"/>
          <w:sz w:val="22"/>
          <w:szCs w:val="22"/>
        </w:rPr>
        <w:t>platných, resp. priprav</w:t>
      </w:r>
      <w:r>
        <w:rPr>
          <w:rFonts w:ascii="Arial Narrow" w:hAnsi="Arial Narrow" w:cs="Arial Narrow"/>
          <w:sz w:val="22"/>
          <w:szCs w:val="22"/>
        </w:rPr>
        <w:t>ovaných legislatívnych predpisov</w:t>
      </w:r>
      <w:r w:rsidRPr="00C47447">
        <w:rPr>
          <w:rFonts w:ascii="Arial Narrow" w:hAnsi="Arial Narrow" w:cs="Arial Narrow"/>
          <w:sz w:val="22"/>
          <w:szCs w:val="22"/>
        </w:rPr>
        <w:t xml:space="preserve"> </w:t>
      </w:r>
      <w:r w:rsidRPr="00677A66">
        <w:rPr>
          <w:rFonts w:ascii="Arial Narrow" w:hAnsi="Arial Narrow" w:cs="Arial Narrow"/>
          <w:sz w:val="22"/>
          <w:szCs w:val="22"/>
        </w:rPr>
        <w:t>a vychádza</w:t>
      </w:r>
      <w:r>
        <w:rPr>
          <w:rFonts w:ascii="Arial Narrow" w:hAnsi="Arial Narrow" w:cs="Arial Narrow"/>
          <w:sz w:val="22"/>
          <w:szCs w:val="22"/>
        </w:rPr>
        <w:t xml:space="preserve"> z programového vyhlásenia vlády. Nadväzuje</w:t>
      </w:r>
      <w:r w:rsidRPr="000B51C0">
        <w:rPr>
          <w:rFonts w:ascii="Arial Narrow" w:hAnsi="Arial Narrow" w:cs="Arial Narrow"/>
          <w:sz w:val="22"/>
          <w:szCs w:val="22"/>
        </w:rPr>
        <w:t xml:space="preserve"> na </w:t>
      </w:r>
      <w:r>
        <w:rPr>
          <w:rFonts w:ascii="Arial Narrow" w:hAnsi="Arial Narrow" w:cs="Arial Narrow"/>
          <w:sz w:val="22"/>
          <w:szCs w:val="22"/>
        </w:rPr>
        <w:t>schválené</w:t>
      </w:r>
      <w:r w:rsidRPr="000B51C0">
        <w:rPr>
          <w:rFonts w:ascii="Arial Narrow" w:hAnsi="Arial Narrow" w:cs="Arial Narrow"/>
          <w:sz w:val="22"/>
          <w:szCs w:val="22"/>
        </w:rPr>
        <w:t xml:space="preserve"> </w:t>
      </w:r>
      <w:r>
        <w:rPr>
          <w:rFonts w:ascii="Arial Narrow" w:hAnsi="Arial Narrow" w:cs="Arial Narrow"/>
          <w:sz w:val="22"/>
          <w:szCs w:val="22"/>
        </w:rPr>
        <w:t xml:space="preserve">východiská </w:t>
      </w:r>
      <w:r w:rsidRPr="000B51C0">
        <w:rPr>
          <w:rFonts w:ascii="Arial Narrow" w:hAnsi="Arial Narrow" w:cs="Arial Narrow"/>
          <w:sz w:val="22"/>
          <w:szCs w:val="22"/>
        </w:rPr>
        <w:t>rozpočtu verejnej správy na roky 200</w:t>
      </w:r>
      <w:r>
        <w:rPr>
          <w:rFonts w:ascii="Arial Narrow" w:hAnsi="Arial Narrow" w:cs="Arial Narrow"/>
          <w:sz w:val="22"/>
          <w:szCs w:val="22"/>
        </w:rPr>
        <w:t>9</w:t>
      </w:r>
      <w:r w:rsidRPr="000B51C0">
        <w:rPr>
          <w:rFonts w:ascii="Arial Narrow" w:hAnsi="Arial Narrow" w:cs="Arial Narrow"/>
          <w:sz w:val="22"/>
          <w:szCs w:val="22"/>
        </w:rPr>
        <w:t xml:space="preserve"> až 20</w:t>
      </w:r>
      <w:r>
        <w:rPr>
          <w:rFonts w:ascii="Arial Narrow" w:hAnsi="Arial Narrow" w:cs="Arial Narrow"/>
          <w:sz w:val="22"/>
          <w:szCs w:val="22"/>
        </w:rPr>
        <w:t>11, ktoré stanovili ciele v podobe salda verejnej správy</w:t>
      </w:r>
      <w:r w:rsidRPr="000B51C0">
        <w:rPr>
          <w:rFonts w:ascii="Arial Narrow" w:hAnsi="Arial Narrow" w:cs="Arial Narrow"/>
          <w:sz w:val="22"/>
          <w:szCs w:val="22"/>
        </w:rPr>
        <w:t xml:space="preserve"> </w:t>
      </w:r>
      <w:r w:rsidRPr="00E86C64">
        <w:rPr>
          <w:rFonts w:ascii="Arial Narrow" w:hAnsi="Arial Narrow" w:cs="Arial Narrow"/>
          <w:sz w:val="22"/>
          <w:szCs w:val="22"/>
        </w:rPr>
        <w:t>pri zohľadnení odporúčania Európskej rady a vytvorení priestoru pre realizáciu politických priorít vlády. Jeho</w:t>
      </w:r>
      <w:r>
        <w:rPr>
          <w:rFonts w:ascii="Arial Narrow" w:hAnsi="Arial Narrow" w:cs="Arial Narrow"/>
          <w:sz w:val="22"/>
          <w:szCs w:val="22"/>
        </w:rPr>
        <w:t xml:space="preserve"> súčasťou sú návrhy rozpočtov Slovenskej televízie a Slovenského rozhlasu, ktoré boli </w:t>
      </w:r>
      <w:r w:rsidRPr="00D810DB">
        <w:rPr>
          <w:rFonts w:ascii="Arial Narrow" w:hAnsi="Arial Narrow" w:cs="Times New Roman"/>
          <w:sz w:val="22"/>
          <w:szCs w:val="22"/>
          <w:lang w:eastAsia="sk-SK"/>
        </w:rPr>
        <w:t xml:space="preserve">v súlade s pravidlami metodiky štatistického vykazovania ESA 95 </w:t>
      </w:r>
      <w:r>
        <w:rPr>
          <w:rFonts w:ascii="Arial Narrow" w:hAnsi="Arial Narrow" w:cs="Arial Narrow"/>
          <w:sz w:val="22"/>
          <w:szCs w:val="22"/>
        </w:rPr>
        <w:t>v</w:t>
      </w:r>
      <w:r w:rsidRPr="00D810DB">
        <w:rPr>
          <w:rFonts w:ascii="Arial Narrow" w:hAnsi="Arial Narrow" w:cs="Times New Roman"/>
          <w:sz w:val="22"/>
          <w:szCs w:val="22"/>
          <w:lang w:eastAsia="sk-SK"/>
        </w:rPr>
        <w:t> novembri</w:t>
      </w:r>
      <w:r w:rsidRPr="00D810DB">
        <w:rPr>
          <w:rFonts w:ascii="Arial Narrow" w:hAnsi="Arial Narrow" w:cs="Times New Roman"/>
          <w:sz w:val="22"/>
          <w:szCs w:val="22"/>
          <w:lang w:eastAsia="sk-SK"/>
        </w:rPr>
        <w:t xml:space="preserve"> 2007</w:t>
      </w:r>
      <w:r>
        <w:rPr>
          <w:rFonts w:ascii="Arial Narrow" w:hAnsi="Arial Narrow" w:cs="Times New Roman"/>
          <w:sz w:val="22"/>
          <w:szCs w:val="22"/>
          <w:lang w:eastAsia="sk-SK"/>
        </w:rPr>
        <w:t xml:space="preserve"> </w:t>
      </w:r>
      <w:r w:rsidRPr="00D810DB">
        <w:rPr>
          <w:rFonts w:ascii="Arial Narrow" w:hAnsi="Arial Narrow" w:cs="Times New Roman"/>
          <w:sz w:val="22"/>
          <w:szCs w:val="22"/>
          <w:lang w:eastAsia="sk-SK"/>
        </w:rPr>
        <w:t>zaraden</w:t>
      </w:r>
      <w:r>
        <w:rPr>
          <w:rFonts w:ascii="Arial Narrow" w:hAnsi="Arial Narrow" w:cs="Times New Roman"/>
          <w:sz w:val="22"/>
          <w:szCs w:val="22"/>
          <w:lang w:eastAsia="sk-SK"/>
        </w:rPr>
        <w:t>é</w:t>
      </w:r>
      <w:r w:rsidRPr="00D810DB">
        <w:rPr>
          <w:rFonts w:ascii="Arial Narrow" w:hAnsi="Arial Narrow" w:cs="Times New Roman"/>
          <w:sz w:val="22"/>
          <w:szCs w:val="22"/>
          <w:lang w:eastAsia="sk-SK"/>
        </w:rPr>
        <w:t xml:space="preserve"> medzi subjekty verejnej správy</w:t>
      </w:r>
      <w:r>
        <w:rPr>
          <w:rFonts w:ascii="Arial Narrow" w:hAnsi="Arial Narrow" w:cs="Times New Roman"/>
          <w:sz w:val="22"/>
          <w:szCs w:val="22"/>
          <w:lang w:eastAsia="sk-SK"/>
        </w:rPr>
        <w:t>.</w:t>
      </w:r>
      <w:r w:rsidRPr="00D810DB">
        <w:rPr>
          <w:rFonts w:ascii="Arial Narrow" w:hAnsi="Arial Narrow" w:cs="Times New Roman"/>
          <w:sz w:val="22"/>
          <w:szCs w:val="22"/>
          <w:lang w:eastAsia="sk-SK"/>
        </w:rPr>
        <w:t xml:space="preserve"> </w:t>
      </w:r>
      <w:r>
        <w:rPr>
          <w:rFonts w:ascii="Arial Narrow" w:hAnsi="Arial Narrow" w:cs="Arial Narrow"/>
          <w:sz w:val="22"/>
          <w:szCs w:val="22"/>
        </w:rPr>
        <w:t>V n</w:t>
      </w:r>
      <w:r w:rsidRPr="002372ED">
        <w:rPr>
          <w:rFonts w:ascii="Arial Narrow" w:hAnsi="Arial Narrow" w:cs="Arial Narrow"/>
          <w:sz w:val="22"/>
          <w:szCs w:val="22"/>
        </w:rPr>
        <w:t>ávrh</w:t>
      </w:r>
      <w:r>
        <w:rPr>
          <w:rFonts w:ascii="Arial Narrow" w:hAnsi="Arial Narrow" w:cs="Arial Narrow"/>
          <w:sz w:val="22"/>
          <w:szCs w:val="22"/>
        </w:rPr>
        <w:t>u</w:t>
      </w:r>
      <w:r w:rsidRPr="002372ED">
        <w:rPr>
          <w:rFonts w:ascii="Arial Narrow" w:hAnsi="Arial Narrow" w:cs="Arial Narrow"/>
          <w:sz w:val="22"/>
          <w:szCs w:val="22"/>
        </w:rPr>
        <w:t xml:space="preserve"> rozpočtu verejnej správy na roky 2009 až 2011 </w:t>
      </w:r>
      <w:r w:rsidRPr="000B51C0">
        <w:rPr>
          <w:rFonts w:ascii="Arial Narrow" w:hAnsi="Arial Narrow" w:cs="Arial Narrow"/>
          <w:sz w:val="22"/>
          <w:szCs w:val="22"/>
        </w:rPr>
        <w:t>je premietnutá aktualizácia makroekonomických ukazovateľov a príjmov.</w:t>
      </w:r>
    </w:p>
    <w:p w:rsidR="00F105AC" w:rsidP="00F105AC">
      <w:pPr>
        <w:ind w:firstLine="708"/>
        <w:jc w:val="both"/>
        <w:rPr>
          <w:rFonts w:ascii="Arial Narrow" w:hAnsi="Arial Narrow" w:cs="Arial Narrow"/>
          <w:sz w:val="22"/>
          <w:szCs w:val="22"/>
        </w:rPr>
      </w:pPr>
    </w:p>
    <w:p w:rsidR="00F105AC" w:rsidRPr="00EA0287" w:rsidP="00F105AC">
      <w:pPr>
        <w:ind w:firstLine="708"/>
        <w:jc w:val="both"/>
        <w:rPr>
          <w:rFonts w:ascii="Arial Narrow" w:hAnsi="Arial Narrow" w:cs="Times New Roman"/>
          <w:sz w:val="22"/>
          <w:szCs w:val="22"/>
        </w:rPr>
      </w:pPr>
      <w:r w:rsidRPr="00EA0287">
        <w:rPr>
          <w:rFonts w:ascii="Arial Narrow" w:hAnsi="Arial Narrow" w:cs="Arial Narrow"/>
          <w:sz w:val="22"/>
          <w:szCs w:val="22"/>
        </w:rPr>
        <w:t xml:space="preserve">Vychádzajúc z týchto zámerov a ekonomických podmienok, rámec rozpočtu verejnej správy na roky 2009 až 2011 je zostavený tak, aby postupné znižovanie plánovaného schodku rozpočtu verejnej správy viedlo </w:t>
      </w:r>
      <w:r w:rsidRPr="000A301E">
        <w:rPr>
          <w:rFonts w:ascii="Arial Narrow" w:hAnsi="Arial Narrow" w:cs="Arial Narrow"/>
          <w:sz w:val="22"/>
          <w:szCs w:val="22"/>
        </w:rPr>
        <w:t>k vyrovnanému hospodáreniu v roku 2011. Schodok rozpočtu verejnej správy vyjadrený v metodike ESA 95,</w:t>
      </w:r>
      <w:r w:rsidRPr="00EA0287">
        <w:rPr>
          <w:rFonts w:ascii="Arial Narrow" w:hAnsi="Arial Narrow" w:cs="Arial Narrow"/>
          <w:sz w:val="22"/>
          <w:szCs w:val="22"/>
        </w:rPr>
        <w:t xml:space="preserve"> vrátane vplyvu zavedenia kapitalizač</w:t>
      </w:r>
      <w:r w:rsidRPr="00EA0287">
        <w:rPr>
          <w:rFonts w:ascii="Arial Narrow" w:hAnsi="Arial Narrow" w:cs="Arial Narrow"/>
          <w:sz w:val="22"/>
          <w:szCs w:val="22"/>
        </w:rPr>
        <w:t>ného piliera starobného dôchodkového poistenia</w:t>
      </w:r>
      <w:r>
        <w:rPr>
          <w:rFonts w:ascii="Arial Narrow" w:hAnsi="Arial Narrow" w:cs="Arial Narrow"/>
          <w:sz w:val="22"/>
          <w:szCs w:val="22"/>
        </w:rPr>
        <w:t>,</w:t>
      </w:r>
      <w:r w:rsidRPr="00EA0287">
        <w:rPr>
          <w:rFonts w:ascii="Arial Narrow" w:hAnsi="Arial Narrow" w:cs="Arial Narrow"/>
          <w:sz w:val="22"/>
          <w:szCs w:val="22"/>
        </w:rPr>
        <w:t xml:space="preserve"> </w:t>
      </w:r>
      <w:r>
        <w:rPr>
          <w:rFonts w:ascii="Arial Narrow" w:hAnsi="Arial Narrow" w:cs="Arial Narrow"/>
          <w:sz w:val="22"/>
          <w:szCs w:val="22"/>
        </w:rPr>
        <w:t xml:space="preserve">je </w:t>
      </w:r>
      <w:r w:rsidRPr="00EA0287">
        <w:rPr>
          <w:rFonts w:ascii="Arial Narrow" w:hAnsi="Arial Narrow" w:cs="Arial Narrow"/>
          <w:sz w:val="22"/>
          <w:szCs w:val="22"/>
        </w:rPr>
        <w:t xml:space="preserve">v roku 2009 </w:t>
      </w:r>
      <w:r>
        <w:rPr>
          <w:rFonts w:ascii="Arial Narrow" w:hAnsi="Arial Narrow" w:cs="Arial Narrow"/>
          <w:sz w:val="22"/>
          <w:szCs w:val="22"/>
        </w:rPr>
        <w:t xml:space="preserve">rozpočtovaný </w:t>
      </w:r>
      <w:r w:rsidRPr="00EA0287">
        <w:rPr>
          <w:rFonts w:ascii="Arial Narrow" w:hAnsi="Arial Narrow" w:cs="Arial Narrow"/>
          <w:sz w:val="22"/>
          <w:szCs w:val="22"/>
        </w:rPr>
        <w:t xml:space="preserve">na úrovni </w:t>
      </w:r>
      <w:r w:rsidRPr="00EA0287">
        <w:rPr>
          <w:rFonts w:ascii="Arial Narrow" w:hAnsi="Arial Narrow" w:cs="Arial Narrow"/>
          <w:b/>
          <w:sz w:val="22"/>
          <w:szCs w:val="22"/>
        </w:rPr>
        <w:t>1,7</w:t>
      </w:r>
      <w:r w:rsidRPr="00EA0287">
        <w:rPr>
          <w:rFonts w:ascii="Arial Narrow" w:hAnsi="Arial Narrow" w:cs="Arial Narrow"/>
          <w:b/>
          <w:bCs/>
          <w:sz w:val="22"/>
          <w:szCs w:val="22"/>
        </w:rPr>
        <w:t xml:space="preserve"> % HDP</w:t>
      </w:r>
      <w:r>
        <w:rPr>
          <w:rFonts w:ascii="Arial Narrow" w:hAnsi="Arial Narrow" w:cs="Arial Narrow"/>
          <w:bCs/>
          <w:sz w:val="22"/>
          <w:szCs w:val="22"/>
        </w:rPr>
        <w:t xml:space="preserve"> a</w:t>
      </w:r>
      <w:r w:rsidRPr="00EA0287">
        <w:rPr>
          <w:rFonts w:ascii="Arial Narrow" w:hAnsi="Arial Narrow" w:cs="Arial Narrow"/>
          <w:bCs/>
          <w:sz w:val="22"/>
          <w:szCs w:val="22"/>
        </w:rPr>
        <w:t xml:space="preserve"> </w:t>
      </w:r>
      <w:r w:rsidRPr="00EA0287">
        <w:rPr>
          <w:rFonts w:ascii="Arial Narrow" w:hAnsi="Arial Narrow" w:cs="Arial Narrow"/>
          <w:sz w:val="22"/>
          <w:szCs w:val="22"/>
        </w:rPr>
        <w:t xml:space="preserve"> v roku 2010 na úrovni </w:t>
      </w:r>
      <w:r w:rsidRPr="006029FC">
        <w:rPr>
          <w:rFonts w:ascii="Arial Narrow" w:hAnsi="Arial Narrow" w:cs="Arial Narrow"/>
          <w:b/>
          <w:sz w:val="22"/>
          <w:szCs w:val="22"/>
        </w:rPr>
        <w:t>0,8 % HDP</w:t>
      </w:r>
      <w:r>
        <w:rPr>
          <w:rFonts w:ascii="Arial Narrow" w:hAnsi="Arial Narrow" w:cs="Arial Narrow"/>
          <w:sz w:val="22"/>
          <w:szCs w:val="22"/>
        </w:rPr>
        <w:t>.</w:t>
      </w:r>
    </w:p>
    <w:p w:rsidR="00F105AC" w:rsidP="00F105AC">
      <w:pPr>
        <w:ind w:firstLine="708"/>
        <w:jc w:val="both"/>
        <w:rPr>
          <w:rFonts w:ascii="Arial Narrow" w:hAnsi="Arial Narrow" w:cs="Times New Roman"/>
          <w:sz w:val="22"/>
          <w:szCs w:val="22"/>
        </w:rPr>
      </w:pPr>
    </w:p>
    <w:p w:rsidR="00F105AC" w:rsidP="00F105AC">
      <w:pPr>
        <w:ind w:firstLine="708"/>
        <w:jc w:val="both"/>
        <w:rPr>
          <w:rFonts w:ascii="Arial Narrow" w:hAnsi="Arial Narrow" w:cs="Times New Roman"/>
          <w:sz w:val="22"/>
          <w:szCs w:val="22"/>
        </w:rPr>
      </w:pPr>
      <w:r>
        <w:rPr>
          <w:rFonts w:ascii="Arial Narrow" w:hAnsi="Arial Narrow" w:cs="Times New Roman"/>
          <w:sz w:val="22"/>
          <w:szCs w:val="22"/>
        </w:rPr>
        <w:t>N</w:t>
      </w:r>
      <w:r w:rsidRPr="00243835">
        <w:rPr>
          <w:rFonts w:ascii="Arial Narrow" w:hAnsi="Arial Narrow" w:cs="Times New Roman"/>
          <w:sz w:val="22"/>
          <w:szCs w:val="22"/>
        </w:rPr>
        <w:t xml:space="preserve">avrhovaný rozpočtový rámec </w:t>
      </w:r>
      <w:r>
        <w:rPr>
          <w:rFonts w:ascii="Arial Narrow" w:hAnsi="Arial Narrow" w:cs="Times New Roman"/>
          <w:sz w:val="22"/>
          <w:szCs w:val="22"/>
        </w:rPr>
        <w:t xml:space="preserve">teda </w:t>
      </w:r>
      <w:r w:rsidRPr="00243835">
        <w:rPr>
          <w:rFonts w:ascii="Arial Narrow" w:hAnsi="Arial Narrow" w:cs="Times New Roman"/>
          <w:sz w:val="22"/>
          <w:szCs w:val="22"/>
        </w:rPr>
        <w:t>jasne potvrdzuj</w:t>
      </w:r>
      <w:r>
        <w:rPr>
          <w:rFonts w:ascii="Arial Narrow" w:hAnsi="Arial Narrow" w:cs="Times New Roman"/>
          <w:sz w:val="22"/>
          <w:szCs w:val="22"/>
        </w:rPr>
        <w:t>e</w:t>
      </w:r>
      <w:r w:rsidRPr="00243835">
        <w:rPr>
          <w:rFonts w:ascii="Arial Narrow" w:hAnsi="Arial Narrow" w:cs="Times New Roman"/>
          <w:sz w:val="22"/>
          <w:szCs w:val="22"/>
        </w:rPr>
        <w:t>, že vláda SR plní svoje predsavzatia</w:t>
      </w:r>
      <w:r>
        <w:rPr>
          <w:rFonts w:ascii="Arial Narrow" w:hAnsi="Arial Narrow" w:cs="Times New Roman"/>
          <w:sz w:val="22"/>
          <w:szCs w:val="22"/>
        </w:rPr>
        <w:t xml:space="preserve"> </w:t>
      </w:r>
      <w:r w:rsidRPr="00243835">
        <w:rPr>
          <w:rFonts w:ascii="Arial Narrow" w:hAnsi="Arial Narrow" w:cs="Times New Roman"/>
          <w:sz w:val="22"/>
          <w:szCs w:val="22"/>
        </w:rPr>
        <w:t xml:space="preserve">z programového vyhlásenia vlády a uskutočňuje obozretnú </w:t>
      </w:r>
      <w:r>
        <w:rPr>
          <w:rFonts w:ascii="Arial Narrow" w:hAnsi="Arial Narrow" w:cs="Times New Roman"/>
          <w:sz w:val="22"/>
          <w:szCs w:val="22"/>
        </w:rPr>
        <w:t>rozpočtovú</w:t>
      </w:r>
      <w:r w:rsidRPr="00243835">
        <w:rPr>
          <w:rFonts w:ascii="Arial Narrow" w:hAnsi="Arial Narrow" w:cs="Times New Roman"/>
          <w:sz w:val="22"/>
          <w:szCs w:val="22"/>
        </w:rPr>
        <w:t xml:space="preserve"> politiku s jasným cieľom neustále zvyšovať mieru konsolidácie a stability verejných financií. </w:t>
      </w:r>
    </w:p>
    <w:p w:rsidR="00F105AC" w:rsidRPr="00790C9C" w:rsidP="00F105AC">
      <w:pPr>
        <w:pStyle w:val="Heading2"/>
        <w:spacing w:after="0"/>
        <w:rPr>
          <w:rFonts w:ascii="Arial Narrow" w:hAnsi="Arial Narrow"/>
          <w:i w:val="0"/>
          <w:sz w:val="24"/>
          <w:szCs w:val="24"/>
        </w:rPr>
      </w:pPr>
      <w:bookmarkStart w:id="27" w:name="_Toc143348594"/>
      <w:bookmarkStart w:id="28" w:name="_Toc148255242"/>
      <w:bookmarkStart w:id="29" w:name="_Toc174871967"/>
      <w:bookmarkStart w:id="30" w:name="_Toc206478401"/>
      <w:bookmarkStart w:id="31" w:name="_Toc211592392"/>
      <w:r w:rsidRPr="00790C9C">
        <w:rPr>
          <w:rFonts w:ascii="Arial Narrow" w:hAnsi="Arial Narrow"/>
          <w:i w:val="0"/>
          <w:sz w:val="24"/>
          <w:szCs w:val="24"/>
        </w:rPr>
        <w:t>2.2</w:t>
      </w:r>
      <w:r>
        <w:rPr>
          <w:rFonts w:ascii="Arial Narrow" w:hAnsi="Arial Narrow"/>
          <w:i w:val="0"/>
          <w:sz w:val="24"/>
          <w:szCs w:val="24"/>
        </w:rPr>
        <w:t xml:space="preserve">. </w:t>
      </w:r>
      <w:r w:rsidRPr="00790C9C">
        <w:rPr>
          <w:rFonts w:ascii="Arial Narrow" w:hAnsi="Arial Narrow"/>
          <w:i w:val="0"/>
          <w:sz w:val="24"/>
          <w:szCs w:val="24"/>
        </w:rPr>
        <w:t>Rámec na zostavenie rozpočtu verejnej správy</w:t>
      </w:r>
      <w:bookmarkEnd w:id="27"/>
      <w:bookmarkEnd w:id="28"/>
      <w:bookmarkEnd w:id="29"/>
      <w:bookmarkEnd w:id="30"/>
      <w:bookmarkEnd w:id="31"/>
      <w:r w:rsidRPr="00790C9C">
        <w:rPr>
          <w:rFonts w:ascii="Arial Narrow" w:hAnsi="Arial Narrow"/>
          <w:i w:val="0"/>
          <w:sz w:val="24"/>
          <w:szCs w:val="24"/>
        </w:rPr>
        <w:t xml:space="preserve"> </w:t>
      </w:r>
    </w:p>
    <w:p w:rsidR="00F105AC" w:rsidRPr="003B2DEA" w:rsidP="00F105AC">
      <w:pPr>
        <w:pStyle w:val="BodyText"/>
        <w:tabs>
          <w:tab w:val="left" w:pos="0"/>
        </w:tabs>
        <w:spacing w:after="0"/>
        <w:jc w:val="both"/>
        <w:rPr>
          <w:rFonts w:ascii="Arial Narrow" w:hAnsi="Arial Narrow" w:cs="Arial Narrow"/>
          <w:szCs w:val="24"/>
        </w:rPr>
      </w:pPr>
      <w:r w:rsidRPr="003B2DEA">
        <w:rPr>
          <w:rFonts w:ascii="Arial Narrow" w:hAnsi="Arial Narrow" w:cs="Arial Narrow"/>
          <w:szCs w:val="24"/>
        </w:rPr>
        <w:tab/>
      </w:r>
    </w:p>
    <w:p w:rsidR="00F105AC" w:rsidP="00F105AC">
      <w:pPr>
        <w:pStyle w:val="BodyText"/>
        <w:tabs>
          <w:tab w:val="left" w:pos="0"/>
        </w:tabs>
        <w:spacing w:after="0"/>
        <w:jc w:val="both"/>
        <w:rPr>
          <w:rFonts w:ascii="Arial Narrow" w:hAnsi="Arial Narrow" w:cs="Arial Narrow"/>
          <w:sz w:val="22"/>
          <w:szCs w:val="22"/>
        </w:rPr>
      </w:pPr>
      <w:r>
        <w:rPr>
          <w:rFonts w:ascii="Arial Narrow" w:hAnsi="Arial Narrow" w:cs="Arial Narrow"/>
          <w:sz w:val="22"/>
          <w:szCs w:val="22"/>
        </w:rPr>
        <w:tab/>
        <w:t>Nasledujúca tabuľka poskytuje prehľad o základných parametroch fiškálneho rámca, a to o konkrétnych výškach schodku štátneho rozpočtu v metodike ESA 95 v jednotlivých rokoch zostavovaného rozpočtu a predpokladanom vývoji hospodárenia ostatných subjektov verejnej správy. Zároveň poukazuje na skutočnosť, že navrhovaný rozpočet verejnej správy na roky 2009 až 2011 s plánovanými schodkami plní podmienky reformovaného Paktu stability a rastu.</w:t>
      </w:r>
    </w:p>
    <w:p w:rsidR="00F105AC" w:rsidP="00F105AC">
      <w:pPr>
        <w:jc w:val="both"/>
        <w:rPr>
          <w:rFonts w:ascii="Arial Narrow" w:hAnsi="Arial Narrow" w:cs="Arial Narrow"/>
          <w:sz w:val="22"/>
          <w:szCs w:val="22"/>
        </w:rPr>
      </w:pPr>
    </w:p>
    <w:tbl>
      <w:tblPr>
        <w:tblW w:w="7940" w:type="dxa"/>
        <w:jc w:val="center"/>
        <w:tblInd w:w="58" w:type="dxa"/>
        <w:tblCellMar>
          <w:left w:w="70" w:type="dxa"/>
          <w:right w:w="70" w:type="dxa"/>
        </w:tblCellMar>
      </w:tblPr>
      <w:tblGrid>
        <w:gridCol w:w="3460"/>
        <w:gridCol w:w="1120"/>
        <w:gridCol w:w="1120"/>
        <w:gridCol w:w="1120"/>
        <w:gridCol w:w="1120"/>
      </w:tblGrid>
      <w:tr>
        <w:tblPrEx>
          <w:tblW w:w="7940" w:type="dxa"/>
          <w:jc w:val="center"/>
          <w:tblInd w:w="58" w:type="dxa"/>
          <w:tblCellMar>
            <w:left w:w="70" w:type="dxa"/>
            <w:right w:w="70" w:type="dxa"/>
          </w:tblCellMar>
        </w:tblPrEx>
        <w:trPr>
          <w:trHeight w:val="555"/>
          <w:jc w:val="center"/>
        </w:trPr>
        <w:tc>
          <w:tcPr>
            <w:tcW w:w="346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top"/>
          </w:tcPr>
          <w:p w:rsidR="00F105AC" w:rsidRPr="000A301E" w:rsidP="00F105AC">
            <w:pPr>
              <w:rPr>
                <w:rFonts w:ascii="Arial Narrow" w:hAnsi="Arial Narrow" w:cs="Arial"/>
                <w:color w:val="FFFFFF"/>
                <w:sz w:val="16"/>
                <w:szCs w:val="16"/>
                <w:lang w:eastAsia="sk-SK"/>
              </w:rPr>
            </w:pPr>
            <w:r w:rsidRPr="000A301E">
              <w:rPr>
                <w:rFonts w:ascii="Arial Narrow" w:hAnsi="Arial Narrow" w:cs="Arial"/>
                <w:color w:val="FFFFFF"/>
                <w:sz w:val="16"/>
                <w:szCs w:val="16"/>
                <w:lang w:eastAsia="sk-SK"/>
              </w:rPr>
              <w:t xml:space="preserve">(v mil. </w:t>
            </w:r>
            <w:r w:rsidRPr="000A301E">
              <w:rPr>
                <w:rFonts w:ascii="Arial" w:hAnsi="Arial" w:cs="Arial"/>
                <w:color w:val="FFFFFF"/>
                <w:sz w:val="16"/>
                <w:szCs w:val="16"/>
                <w:lang w:eastAsia="sk-SK"/>
              </w:rPr>
              <w:t>€</w:t>
            </w:r>
            <w:r w:rsidRPr="000A301E">
              <w:rPr>
                <w:rFonts w:ascii="Arial Narrow" w:hAnsi="Arial Narrow" w:cs="Arial"/>
                <w:color w:val="FFFFFF"/>
                <w:sz w:val="16"/>
                <w:szCs w:val="16"/>
                <w:lang w:eastAsia="sk-SK"/>
              </w:rPr>
              <w:t xml:space="preserve">)  </w:t>
            </w:r>
          </w:p>
        </w:tc>
        <w:tc>
          <w:tcPr>
            <w:tcW w:w="1120"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F105AC" w:rsidRPr="000A301E" w:rsidP="00F105AC">
            <w:pPr>
              <w:jc w:val="center"/>
              <w:rPr>
                <w:rFonts w:ascii="Arial Narrow" w:hAnsi="Arial Narrow" w:cs="Arial"/>
                <w:b/>
                <w:bCs/>
                <w:color w:val="FFFFFF"/>
                <w:sz w:val="20"/>
                <w:lang w:eastAsia="sk-SK"/>
              </w:rPr>
            </w:pPr>
            <w:r w:rsidRPr="000A301E">
              <w:rPr>
                <w:rFonts w:ascii="Arial Narrow" w:hAnsi="Arial Narrow" w:cs="Arial"/>
                <w:b/>
                <w:bCs/>
                <w:color w:val="FFFFFF"/>
                <w:sz w:val="20"/>
                <w:lang w:eastAsia="sk-SK"/>
              </w:rPr>
              <w:t>2008</w:t>
            </w:r>
          </w:p>
        </w:tc>
        <w:tc>
          <w:tcPr>
            <w:tcW w:w="1120"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F105AC" w:rsidRPr="000A301E" w:rsidP="00F105AC">
            <w:pPr>
              <w:jc w:val="center"/>
              <w:rPr>
                <w:rFonts w:ascii="Arial Narrow" w:hAnsi="Arial Narrow" w:cs="Arial"/>
                <w:b/>
                <w:bCs/>
                <w:color w:val="FFFFFF"/>
                <w:sz w:val="20"/>
                <w:lang w:eastAsia="sk-SK"/>
              </w:rPr>
            </w:pPr>
            <w:r w:rsidRPr="000A301E">
              <w:rPr>
                <w:rFonts w:ascii="Arial Narrow" w:hAnsi="Arial Narrow" w:cs="Arial"/>
                <w:b/>
                <w:bCs/>
                <w:color w:val="FFFFFF"/>
                <w:sz w:val="20"/>
                <w:lang w:eastAsia="sk-SK"/>
              </w:rPr>
              <w:t>2009</w:t>
            </w:r>
          </w:p>
        </w:tc>
        <w:tc>
          <w:tcPr>
            <w:tcW w:w="1120"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F105AC" w:rsidRPr="000A301E" w:rsidP="00F105AC">
            <w:pPr>
              <w:jc w:val="center"/>
              <w:rPr>
                <w:rFonts w:ascii="Arial Narrow" w:hAnsi="Arial Narrow" w:cs="Arial"/>
                <w:b/>
                <w:bCs/>
                <w:color w:val="FFFFFF"/>
                <w:sz w:val="20"/>
                <w:lang w:eastAsia="sk-SK"/>
              </w:rPr>
            </w:pPr>
            <w:r w:rsidRPr="000A301E">
              <w:rPr>
                <w:rFonts w:ascii="Arial Narrow" w:hAnsi="Arial Narrow" w:cs="Arial"/>
                <w:b/>
                <w:bCs/>
                <w:color w:val="FFFFFF"/>
                <w:sz w:val="20"/>
                <w:lang w:eastAsia="sk-SK"/>
              </w:rPr>
              <w:t>2010</w:t>
            </w:r>
          </w:p>
        </w:tc>
        <w:tc>
          <w:tcPr>
            <w:tcW w:w="1120"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F105AC" w:rsidRPr="000A301E" w:rsidP="00F105AC">
            <w:pPr>
              <w:jc w:val="center"/>
              <w:rPr>
                <w:rFonts w:ascii="Arial Narrow" w:hAnsi="Arial Narrow" w:cs="Arial"/>
                <w:b/>
                <w:bCs/>
                <w:color w:val="FFFFFF"/>
                <w:sz w:val="20"/>
                <w:lang w:eastAsia="sk-SK"/>
              </w:rPr>
            </w:pPr>
            <w:r w:rsidRPr="000A301E">
              <w:rPr>
                <w:rFonts w:ascii="Arial Narrow" w:hAnsi="Arial Narrow" w:cs="Arial"/>
                <w:b/>
                <w:bCs/>
                <w:color w:val="FFFFFF"/>
                <w:sz w:val="20"/>
                <w:lang w:eastAsia="sk-SK"/>
              </w:rPr>
              <w:t>2011</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b/>
                <w:bCs/>
                <w:sz w:val="20"/>
                <w:lang w:eastAsia="sk-SK"/>
              </w:rPr>
            </w:pPr>
            <w:r w:rsidRPr="000A301E">
              <w:rPr>
                <w:rFonts w:ascii="Arial Narrow" w:hAnsi="Arial Narrow" w:cs="Arial"/>
                <w:b/>
                <w:bCs/>
                <w:sz w:val="20"/>
                <w:lang w:eastAsia="sk-SK"/>
              </w:rPr>
              <w:t>Štátny rozpočet</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-1 697,5</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-1 671,4</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-940,2</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-359,5</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b/>
                <w:bCs/>
                <w:sz w:val="20"/>
                <w:lang w:eastAsia="sk-SK"/>
              </w:rPr>
            </w:pPr>
            <w:r w:rsidRPr="000A301E">
              <w:rPr>
                <w:rFonts w:ascii="Arial Narrow" w:hAnsi="Arial Narrow" w:cs="Arial"/>
                <w:b/>
                <w:bCs/>
                <w:sz w:val="20"/>
                <w:lang w:eastAsia="sk-SK"/>
              </w:rPr>
              <w:t>Ostatné subjekty rozpočtu VS spolu</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154,8</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399,1</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288,6</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359,5</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b/>
                <w:bCs/>
                <w:sz w:val="20"/>
                <w:lang w:eastAsia="sk-SK"/>
              </w:rPr>
            </w:pPr>
            <w:r w:rsidRPr="000A301E">
              <w:rPr>
                <w:rFonts w:ascii="Arial Narrow" w:hAnsi="Arial Narrow" w:cs="Arial"/>
                <w:b/>
                <w:bCs/>
                <w:sz w:val="20"/>
                <w:lang w:eastAsia="sk-SK"/>
              </w:rPr>
              <w:t xml:space="preserve">Rozpočet VS spolu </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-1 542,7</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-1 272,3</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-651,7</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0,0</w:t>
            </w:r>
          </w:p>
        </w:tc>
      </w:tr>
      <w:tr>
        <w:tblPrEx>
          <w:tblW w:w="7940" w:type="dxa"/>
          <w:jc w:val="center"/>
          <w:tblInd w:w="58"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0A301E" w:rsidP="00F105AC">
            <w:pPr>
              <w:rPr>
                <w:rFonts w:ascii="Arial Narrow" w:hAnsi="Arial Narrow" w:cs="Arial"/>
                <w:b/>
                <w:bCs/>
                <w:sz w:val="20"/>
                <w:lang w:eastAsia="sk-SK"/>
              </w:rPr>
            </w:pPr>
            <w:r w:rsidRPr="000A301E">
              <w:rPr>
                <w:rFonts w:ascii="Arial Narrow" w:hAnsi="Arial Narrow" w:cs="Arial"/>
                <w:b/>
                <w:bCs/>
                <w:sz w:val="20"/>
                <w:lang w:eastAsia="sk-SK"/>
              </w:rPr>
              <w:t>Podiel RVS v % na HDP</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-2,3</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-1,7</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-0,8</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F105AC" w:rsidRPr="000A301E" w:rsidP="00F105AC">
            <w:pPr>
              <w:jc w:val="right"/>
              <w:rPr>
                <w:rFonts w:ascii="Arial Narrow" w:hAnsi="Arial Narrow" w:cs="Arial"/>
                <w:b/>
                <w:bCs/>
                <w:sz w:val="20"/>
                <w:lang w:eastAsia="sk-SK"/>
              </w:rPr>
            </w:pPr>
            <w:r w:rsidRPr="000A301E">
              <w:rPr>
                <w:rFonts w:ascii="Arial Narrow" w:hAnsi="Arial Narrow" w:cs="Arial"/>
                <w:b/>
                <w:bCs/>
                <w:sz w:val="20"/>
                <w:lang w:eastAsia="sk-SK"/>
              </w:rPr>
              <w:t>0,0</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sz w:val="20"/>
                <w:lang w:eastAsia="sk-SK"/>
              </w:rPr>
            </w:pPr>
            <w:r w:rsidRPr="000A301E">
              <w:rPr>
                <w:rFonts w:ascii="Arial Narrow" w:hAnsi="Arial Narrow" w:cs="Arial"/>
                <w:sz w:val="20"/>
                <w:lang w:eastAsia="sk-SK"/>
              </w:rPr>
              <w:t>HDP v  b. c.</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66 006</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74 839</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81 458</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88 532</w:t>
            </w:r>
          </w:p>
        </w:tc>
      </w:tr>
      <w:tr>
        <w:tblPrEx>
          <w:tblW w:w="7940" w:type="dxa"/>
          <w:jc w:val="center"/>
          <w:tblInd w:w="58" w:type="dxa"/>
          <w:tblCellMar>
            <w:left w:w="70" w:type="dxa"/>
            <w:right w:w="70" w:type="dxa"/>
          </w:tblCellMar>
        </w:tblPrEx>
        <w:trPr>
          <w:trHeight w:val="180"/>
          <w:jc w:val="center"/>
        </w:trPr>
        <w:tc>
          <w:tcPr>
            <w:tcW w:w="3460" w:type="dxa"/>
            <w:tcBorders>
              <w:top w:val="nil"/>
              <w:left w:val="nil"/>
              <w:bottom w:val="nil"/>
              <w:right w:val="nil"/>
              <w:tl2br w:val="nil"/>
              <w:tr2bl w:val="nil"/>
            </w:tcBorders>
            <w:noWrap/>
            <w:textDirection w:val="lrTb"/>
            <w:vAlign w:val="center"/>
          </w:tcPr>
          <w:p w:rsidR="00F105AC" w:rsidRPr="000A301E" w:rsidP="00F105AC">
            <w:pPr>
              <w:rPr>
                <w:rFonts w:ascii="Arial Narrow" w:hAnsi="Arial Narrow" w:cs="Arial"/>
                <w:sz w:val="16"/>
                <w:szCs w:val="16"/>
                <w:lang w:eastAsia="sk-SK"/>
              </w:rPr>
            </w:pPr>
          </w:p>
        </w:tc>
        <w:tc>
          <w:tcPr>
            <w:tcW w:w="1120" w:type="dxa"/>
            <w:tcBorders>
              <w:top w:val="nil"/>
              <w:left w:val="nil"/>
              <w:bottom w:val="nil"/>
              <w:right w:val="nil"/>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 </w:t>
            </w:r>
          </w:p>
        </w:tc>
        <w:tc>
          <w:tcPr>
            <w:tcW w:w="1120" w:type="dxa"/>
            <w:tcBorders>
              <w:top w:val="nil"/>
              <w:left w:val="nil"/>
              <w:bottom w:val="nil"/>
              <w:right w:val="nil"/>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 </w:t>
            </w:r>
          </w:p>
        </w:tc>
        <w:tc>
          <w:tcPr>
            <w:tcW w:w="1120" w:type="dxa"/>
            <w:tcBorders>
              <w:top w:val="nil"/>
              <w:left w:val="nil"/>
              <w:bottom w:val="nil"/>
              <w:right w:val="nil"/>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 </w:t>
            </w:r>
          </w:p>
        </w:tc>
        <w:tc>
          <w:tcPr>
            <w:tcW w:w="1120" w:type="dxa"/>
            <w:tcBorders>
              <w:top w:val="nil"/>
              <w:left w:val="nil"/>
              <w:bottom w:val="nil"/>
              <w:right w:val="nil"/>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 </w:t>
            </w:r>
          </w:p>
        </w:tc>
      </w:tr>
      <w:tr>
        <w:tblPrEx>
          <w:tblW w:w="7940" w:type="dxa"/>
          <w:jc w:val="center"/>
          <w:tblInd w:w="58" w:type="dxa"/>
          <w:tblCellMar>
            <w:left w:w="70" w:type="dxa"/>
            <w:right w:w="70" w:type="dxa"/>
          </w:tblCellMar>
        </w:tblPrEx>
        <w:trPr>
          <w:trHeight w:val="360"/>
          <w:jc w:val="center"/>
        </w:trPr>
        <w:tc>
          <w:tcPr>
            <w:tcW w:w="3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sz w:val="20"/>
                <w:lang w:eastAsia="sk-SK"/>
              </w:rPr>
            </w:pPr>
            <w:r w:rsidRPr="000A301E">
              <w:rPr>
                <w:rFonts w:ascii="Arial Narrow" w:hAnsi="Arial Narrow" w:cs="Arial"/>
                <w:sz w:val="20"/>
                <w:lang w:eastAsia="sk-SK"/>
              </w:rPr>
              <w:t>Očakávaný dopad II. piliera</w:t>
            </w:r>
          </w:p>
        </w:tc>
        <w:tc>
          <w:tcPr>
            <w:tcW w:w="1120" w:type="dxa"/>
            <w:tcBorders>
              <w:top w:val="single" w:sz="4" w:space="0" w:color="auto"/>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-784,5</w:t>
            </w:r>
          </w:p>
        </w:tc>
        <w:tc>
          <w:tcPr>
            <w:tcW w:w="1120" w:type="dxa"/>
            <w:tcBorders>
              <w:top w:val="single" w:sz="4" w:space="0" w:color="auto"/>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-742,7</w:t>
            </w:r>
          </w:p>
        </w:tc>
        <w:tc>
          <w:tcPr>
            <w:tcW w:w="1120" w:type="dxa"/>
            <w:tcBorders>
              <w:top w:val="single" w:sz="4" w:space="0" w:color="auto"/>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-813,6</w:t>
            </w:r>
          </w:p>
        </w:tc>
        <w:tc>
          <w:tcPr>
            <w:tcW w:w="1120" w:type="dxa"/>
            <w:tcBorders>
              <w:top w:val="single" w:sz="4" w:space="0" w:color="auto"/>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-892,6</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noWrap/>
            <w:textDirection w:val="lrTb"/>
            <w:vAlign w:val="center"/>
          </w:tcPr>
          <w:p w:rsidR="00F105AC" w:rsidRPr="000A301E" w:rsidP="00F105AC">
            <w:pPr>
              <w:rPr>
                <w:rFonts w:ascii="Arial Narrow" w:hAnsi="Arial Narrow" w:cs="Arial"/>
                <w:sz w:val="20"/>
                <w:lang w:eastAsia="sk-SK"/>
              </w:rPr>
            </w:pPr>
            <w:r w:rsidRPr="000A301E">
              <w:rPr>
                <w:rFonts w:ascii="Arial Narrow" w:hAnsi="Arial Narrow" w:cs="Arial"/>
                <w:sz w:val="20"/>
                <w:lang w:eastAsia="sk-SK"/>
              </w:rPr>
              <w:t>Podiel dopadu II. piliera v % na HDP</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-1,2</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-1,0</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-1,0</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F105AC" w:rsidRPr="000A301E" w:rsidP="00F105AC">
            <w:pPr>
              <w:jc w:val="right"/>
              <w:rPr>
                <w:rFonts w:ascii="Arial Narrow" w:hAnsi="Arial Narrow" w:cs="Arial"/>
                <w:sz w:val="20"/>
                <w:lang w:eastAsia="sk-SK"/>
              </w:rPr>
            </w:pPr>
            <w:r w:rsidRPr="000A301E">
              <w:rPr>
                <w:rFonts w:ascii="Arial Narrow" w:hAnsi="Arial Narrow" w:cs="Arial"/>
                <w:sz w:val="20"/>
                <w:lang w:eastAsia="sk-SK"/>
              </w:rPr>
              <w:t>-1,0</w:t>
            </w:r>
          </w:p>
        </w:tc>
      </w:tr>
    </w:tbl>
    <w:p w:rsidR="00F105AC" w:rsidP="00F105AC">
      <w:pPr>
        <w:pStyle w:val="BodyText"/>
        <w:tabs>
          <w:tab w:val="left" w:pos="0"/>
        </w:tabs>
        <w:spacing w:after="0"/>
        <w:jc w:val="both"/>
        <w:rPr>
          <w:rFonts w:ascii="Arial Narrow" w:hAnsi="Arial Narrow" w:cs="Arial Narrow"/>
          <w:sz w:val="16"/>
        </w:rPr>
      </w:pPr>
      <w:r>
        <w:rPr>
          <w:rFonts w:ascii="Arial Narrow" w:hAnsi="Arial Narrow" w:cs="Arial Narrow"/>
          <w:sz w:val="16"/>
        </w:rPr>
        <w:t xml:space="preserve">               Poznámka:  Pri rozpočte VS  znamienko (+) znamená prebytok, znamienko (-) schodok</w:t>
      </w:r>
    </w:p>
    <w:p w:rsidR="00F105AC" w:rsidRPr="006947D3" w:rsidP="00F105AC">
      <w:pPr>
        <w:pStyle w:val="BodyText"/>
        <w:tabs>
          <w:tab w:val="left" w:pos="0"/>
        </w:tabs>
        <w:spacing w:after="0"/>
        <w:jc w:val="both"/>
        <w:rPr>
          <w:rFonts w:cs="Times New Roman"/>
          <w:b/>
          <w:bCs/>
        </w:rPr>
      </w:pPr>
      <w:r>
        <w:rPr>
          <w:rFonts w:cs="Times New Roman"/>
          <w:b/>
          <w:bCs/>
        </w:rPr>
        <w:tab/>
      </w:r>
    </w:p>
    <w:p w:rsidR="00F105AC" w:rsidRPr="00EF53BC" w:rsidP="00F105AC">
      <w:pPr>
        <w:pStyle w:val="BodyText"/>
        <w:tabs>
          <w:tab w:val="left" w:pos="0"/>
        </w:tabs>
        <w:spacing w:after="0"/>
        <w:jc w:val="both"/>
        <w:rPr>
          <w:rFonts w:ascii="Arial Narrow" w:hAnsi="Arial Narrow" w:cs="Times New Roman"/>
          <w:sz w:val="22"/>
          <w:highlight w:val="yellow"/>
        </w:rPr>
      </w:pPr>
      <w:r>
        <w:rPr>
          <w:rFonts w:ascii="Arial Narrow" w:hAnsi="Arial Narrow" w:cs="Times New Roman"/>
          <w:sz w:val="22"/>
        </w:rPr>
        <w:tab/>
      </w:r>
      <w:r w:rsidRPr="00C26C3D">
        <w:rPr>
          <w:rFonts w:ascii="Arial Narrow" w:hAnsi="Arial Narrow" w:cs="Times New Roman"/>
          <w:sz w:val="22"/>
        </w:rPr>
        <w:t xml:space="preserve">V roku 2009 sa predpokladá </w:t>
      </w:r>
      <w:r>
        <w:rPr>
          <w:rFonts w:ascii="Arial Narrow" w:hAnsi="Arial Narrow" w:cs="Times New Roman"/>
          <w:sz w:val="22"/>
        </w:rPr>
        <w:t>prebytkové</w:t>
      </w:r>
      <w:r w:rsidRPr="00C26C3D">
        <w:rPr>
          <w:rFonts w:ascii="Arial Narrow" w:hAnsi="Arial Narrow" w:cs="Times New Roman"/>
          <w:sz w:val="22"/>
        </w:rPr>
        <w:t xml:space="preserve"> hospodárenie ostatných subjektov verejnej správy vo výške    </w:t>
      </w:r>
      <w:r>
        <w:rPr>
          <w:rFonts w:ascii="Arial Narrow" w:hAnsi="Arial Narrow" w:cs="Times New Roman"/>
          <w:sz w:val="22"/>
        </w:rPr>
        <w:t>399,1</w:t>
      </w:r>
      <w:r w:rsidRPr="00C26C3D">
        <w:rPr>
          <w:rFonts w:ascii="Arial Narrow" w:hAnsi="Arial Narrow" w:cs="Times New Roman"/>
          <w:sz w:val="22"/>
        </w:rPr>
        <w:t xml:space="preserve"> mil. </w:t>
      </w:r>
      <w:r>
        <w:rPr>
          <w:rFonts w:ascii="Arial Narrow" w:hAnsi="Arial Narrow" w:cs="Times New Roman"/>
          <w:sz w:val="22"/>
        </w:rPr>
        <w:t>eur</w:t>
      </w:r>
      <w:r w:rsidRPr="00C26C3D">
        <w:rPr>
          <w:rFonts w:ascii="Arial Narrow" w:hAnsi="Arial Narrow" w:cs="Times New Roman"/>
          <w:sz w:val="22"/>
        </w:rPr>
        <w:t xml:space="preserve">. Na </w:t>
      </w:r>
      <w:r>
        <w:rPr>
          <w:rFonts w:ascii="Arial Narrow" w:hAnsi="Arial Narrow" w:cs="Times New Roman"/>
          <w:sz w:val="22"/>
        </w:rPr>
        <w:t>tomto</w:t>
      </w:r>
      <w:r w:rsidRPr="00C26C3D">
        <w:rPr>
          <w:rFonts w:ascii="Arial Narrow" w:hAnsi="Arial Narrow" w:cs="Times New Roman"/>
          <w:sz w:val="22"/>
        </w:rPr>
        <w:t xml:space="preserve"> vývoji sa na jednej strane podieľa prebytkové hospodárenie niektorých subjektov verejnej správy, a </w:t>
      </w:r>
      <w:r>
        <w:rPr>
          <w:rFonts w:ascii="Arial Narrow" w:hAnsi="Arial Narrow" w:cs="Times New Roman"/>
          <w:sz w:val="22"/>
        </w:rPr>
        <w:t xml:space="preserve">to hlavne prebytok </w:t>
      </w:r>
      <w:r w:rsidRPr="00532A8E">
        <w:rPr>
          <w:rFonts w:ascii="Arial Narrow" w:hAnsi="Arial Narrow" w:cs="Times New Roman"/>
          <w:sz w:val="22"/>
        </w:rPr>
        <w:t xml:space="preserve">hospodárenia Sociálnej poisťovni vo výške 166,2 mil. </w:t>
      </w:r>
      <w:r w:rsidR="00045274">
        <w:rPr>
          <w:rFonts w:ascii="Arial Narrow" w:hAnsi="Arial Narrow" w:cs="Times New Roman"/>
          <w:sz w:val="22"/>
        </w:rPr>
        <w:t>eur</w:t>
      </w:r>
      <w:r w:rsidRPr="00532A8E">
        <w:rPr>
          <w:rFonts w:ascii="Arial Narrow" w:hAnsi="Arial Narrow" w:cs="Times New Roman"/>
          <w:sz w:val="22"/>
        </w:rPr>
        <w:t>,  Štátneho</w:t>
      </w:r>
      <w:r w:rsidRPr="00C26C3D">
        <w:rPr>
          <w:rFonts w:ascii="Arial Narrow" w:hAnsi="Arial Narrow" w:cs="Times New Roman"/>
          <w:sz w:val="22"/>
        </w:rPr>
        <w:t xml:space="preserve"> fondu rozvoja bývania </w:t>
      </w:r>
      <w:r>
        <w:rPr>
          <w:rFonts w:ascii="Arial Narrow" w:hAnsi="Arial Narrow" w:cs="Times New Roman"/>
          <w:sz w:val="22"/>
        </w:rPr>
        <w:t>na úrovni</w:t>
      </w:r>
      <w:r w:rsidRPr="00C26C3D">
        <w:rPr>
          <w:rFonts w:ascii="Arial Narrow" w:hAnsi="Arial Narrow" w:cs="Times New Roman"/>
          <w:sz w:val="22"/>
        </w:rPr>
        <w:t xml:space="preserve"> </w:t>
      </w:r>
      <w:r>
        <w:rPr>
          <w:rFonts w:ascii="Arial Narrow" w:hAnsi="Arial Narrow" w:cs="Times New Roman"/>
          <w:sz w:val="22"/>
        </w:rPr>
        <w:t>90,6</w:t>
      </w:r>
      <w:r w:rsidRPr="00C26C3D">
        <w:rPr>
          <w:rFonts w:ascii="Arial Narrow" w:hAnsi="Arial Narrow" w:cs="Times New Roman"/>
          <w:sz w:val="22"/>
        </w:rPr>
        <w:t xml:space="preserve"> mil. </w:t>
      </w:r>
      <w:r>
        <w:rPr>
          <w:rFonts w:ascii="Arial Narrow" w:hAnsi="Arial Narrow" w:cs="Times New Roman"/>
          <w:sz w:val="22"/>
        </w:rPr>
        <w:t>eur</w:t>
      </w:r>
      <w:r w:rsidRPr="00C26C3D">
        <w:rPr>
          <w:rFonts w:ascii="Arial Narrow" w:hAnsi="Arial Narrow" w:cs="Times New Roman"/>
          <w:sz w:val="22"/>
        </w:rPr>
        <w:t xml:space="preserve">, </w:t>
      </w:r>
      <w:r>
        <w:rPr>
          <w:rFonts w:ascii="Arial Narrow" w:hAnsi="Arial Narrow" w:cs="Times New Roman"/>
          <w:sz w:val="22"/>
        </w:rPr>
        <w:t xml:space="preserve">Environmentálneho fondu na úrovni 82,3 mil. eur, </w:t>
      </w:r>
      <w:r w:rsidRPr="00C26C3D">
        <w:rPr>
          <w:rFonts w:ascii="Arial Narrow" w:hAnsi="Arial Narrow" w:cs="Times New Roman"/>
          <w:sz w:val="22"/>
        </w:rPr>
        <w:t>Národn</w:t>
      </w:r>
      <w:r w:rsidRPr="00C26C3D">
        <w:rPr>
          <w:rFonts w:ascii="Arial Narrow" w:hAnsi="Arial Narrow" w:cs="Times New Roman"/>
          <w:sz w:val="22"/>
        </w:rPr>
        <w:t xml:space="preserve">ého jadrového fondu </w:t>
      </w:r>
      <w:r>
        <w:rPr>
          <w:rFonts w:ascii="Arial Narrow" w:hAnsi="Arial Narrow" w:cs="Times New Roman"/>
          <w:sz w:val="22"/>
        </w:rPr>
        <w:t>na úrovni</w:t>
      </w:r>
      <w:r w:rsidRPr="00C26C3D">
        <w:rPr>
          <w:rFonts w:ascii="Arial Narrow" w:hAnsi="Arial Narrow" w:cs="Times New Roman"/>
          <w:sz w:val="22"/>
        </w:rPr>
        <w:t xml:space="preserve"> 70,2 mil. </w:t>
      </w:r>
      <w:r>
        <w:rPr>
          <w:rFonts w:ascii="Arial Narrow" w:hAnsi="Arial Narrow" w:cs="Times New Roman"/>
          <w:sz w:val="22"/>
        </w:rPr>
        <w:t>eur,</w:t>
      </w:r>
      <w:r w:rsidRPr="00C26C3D">
        <w:rPr>
          <w:rFonts w:ascii="Arial Narrow" w:hAnsi="Arial Narrow" w:cs="Times New Roman"/>
          <w:sz w:val="22"/>
        </w:rPr>
        <w:t xml:space="preserve"> zdravotných poisťovní </w:t>
      </w:r>
      <w:r>
        <w:rPr>
          <w:rFonts w:ascii="Arial Narrow" w:hAnsi="Arial Narrow" w:cs="Times New Roman"/>
          <w:sz w:val="22"/>
        </w:rPr>
        <w:t>na</w:t>
      </w:r>
      <w:r w:rsidRPr="00C26C3D">
        <w:rPr>
          <w:rFonts w:ascii="Arial Narrow" w:hAnsi="Arial Narrow" w:cs="Times New Roman"/>
          <w:sz w:val="22"/>
        </w:rPr>
        <w:t xml:space="preserve"> úrovni </w:t>
      </w:r>
      <w:r>
        <w:rPr>
          <w:rFonts w:ascii="Arial Narrow" w:hAnsi="Arial Narrow" w:cs="Times New Roman"/>
          <w:sz w:val="22"/>
        </w:rPr>
        <w:t>22,3</w:t>
      </w:r>
      <w:r w:rsidRPr="00C26C3D">
        <w:rPr>
          <w:rFonts w:ascii="Arial Narrow" w:hAnsi="Arial Narrow" w:cs="Times New Roman"/>
          <w:sz w:val="22"/>
        </w:rPr>
        <w:t xml:space="preserve"> mil. </w:t>
      </w:r>
      <w:r>
        <w:rPr>
          <w:rFonts w:ascii="Arial Narrow" w:hAnsi="Arial Narrow" w:cs="Times New Roman"/>
          <w:sz w:val="22"/>
        </w:rPr>
        <w:t>eur a verejných vysokých škôl na úrovni 3,8 mil. eur.</w:t>
      </w:r>
      <w:r w:rsidRPr="00C26C3D">
        <w:rPr>
          <w:rFonts w:ascii="Arial Narrow" w:hAnsi="Arial Narrow" w:cs="Times New Roman"/>
          <w:sz w:val="22"/>
        </w:rPr>
        <w:t xml:space="preserve"> Na druhej strane je to schodkové hospodárenie </w:t>
      </w:r>
      <w:r>
        <w:rPr>
          <w:rFonts w:ascii="Arial Narrow" w:hAnsi="Arial Narrow" w:cs="Times New Roman"/>
          <w:sz w:val="22"/>
        </w:rPr>
        <w:t xml:space="preserve">vyšších územných celkov vo výške 38,5 mil. eur a </w:t>
      </w:r>
      <w:r w:rsidRPr="00C26C3D">
        <w:rPr>
          <w:rFonts w:ascii="Arial Narrow" w:hAnsi="Arial Narrow" w:cs="Times New Roman"/>
          <w:sz w:val="22"/>
        </w:rPr>
        <w:t>Fondu národného maje</w:t>
      </w:r>
      <w:r w:rsidRPr="00C26C3D">
        <w:rPr>
          <w:rFonts w:ascii="Arial Narrow" w:hAnsi="Arial Narrow" w:cs="Times New Roman"/>
          <w:sz w:val="22"/>
        </w:rPr>
        <w:t xml:space="preserve">tku SR na úrovni 6,0 mil. </w:t>
      </w:r>
      <w:r>
        <w:rPr>
          <w:rFonts w:ascii="Arial Narrow" w:hAnsi="Arial Narrow" w:cs="Times New Roman"/>
          <w:sz w:val="22"/>
        </w:rPr>
        <w:t>eur</w:t>
      </w:r>
      <w:r w:rsidRPr="00532A8E">
        <w:rPr>
          <w:rFonts w:ascii="Arial Narrow" w:hAnsi="Arial Narrow" w:cs="Times New Roman"/>
          <w:sz w:val="22"/>
        </w:rPr>
        <w:t xml:space="preserve">. </w:t>
      </w:r>
      <w:r w:rsidRPr="000B7388">
        <w:rPr>
          <w:rFonts w:ascii="Arial Narrow" w:hAnsi="Arial Narrow" w:cs="Times New Roman"/>
          <w:sz w:val="22"/>
        </w:rPr>
        <w:t xml:space="preserve">Mierne negatívny vplyv na hospodárenie ostatných subjektov verejnej správy má schodkové hospodárenie </w:t>
      </w:r>
      <w:r>
        <w:rPr>
          <w:rFonts w:ascii="Arial Narrow" w:hAnsi="Arial Narrow" w:cs="Times New Roman"/>
          <w:sz w:val="22"/>
        </w:rPr>
        <w:t xml:space="preserve">Slovenskej televízie vo výške 846,0 tis. eur, ktoré je čiastočne kompenzované prebytkovým hospodárením Slovenského rozhlasu </w:t>
      </w:r>
      <w:r>
        <w:rPr>
          <w:rFonts w:ascii="Arial Narrow" w:hAnsi="Arial Narrow" w:cs="Times New Roman"/>
          <w:sz w:val="22"/>
        </w:rPr>
        <w:t>vo výške 186,0 tis. eur.</w:t>
      </w:r>
      <w:r w:rsidRPr="000B7388">
        <w:rPr>
          <w:rFonts w:ascii="Arial Narrow" w:hAnsi="Arial Narrow" w:cs="Times New Roman"/>
          <w:sz w:val="22"/>
        </w:rPr>
        <w:t xml:space="preserve"> Ostatné nespomenuté subjekty verejnej správy majú mierne pozitívny, resp. neutrálny vplyv na celkové hospodárenie ostatných subjektov verejnej správy.</w:t>
      </w:r>
      <w:r>
        <w:rPr>
          <w:rFonts w:ascii="Arial Narrow" w:hAnsi="Arial Narrow" w:cs="Times New Roman"/>
          <w:sz w:val="22"/>
        </w:rPr>
        <w:t xml:space="preserve"> </w:t>
      </w:r>
    </w:p>
    <w:p w:rsidR="00F105AC" w:rsidP="00F105AC">
      <w:pPr>
        <w:pStyle w:val="BodyText"/>
        <w:tabs>
          <w:tab w:val="left" w:pos="0"/>
        </w:tabs>
        <w:spacing w:after="0"/>
        <w:jc w:val="both"/>
        <w:rPr>
          <w:rFonts w:ascii="Arial Narrow" w:hAnsi="Arial Narrow" w:cs="Times New Roman"/>
          <w:sz w:val="22"/>
        </w:rPr>
      </w:pPr>
    </w:p>
    <w:p w:rsidR="00F105AC" w:rsidP="00F105AC">
      <w:pPr>
        <w:pStyle w:val="BodyText"/>
        <w:tabs>
          <w:tab w:val="left" w:pos="0"/>
        </w:tabs>
        <w:spacing w:after="0"/>
        <w:jc w:val="both"/>
        <w:rPr>
          <w:rFonts w:ascii="Arial Narrow" w:hAnsi="Arial Narrow" w:cs="Times New Roman"/>
          <w:sz w:val="22"/>
        </w:rPr>
      </w:pPr>
      <w:r>
        <w:rPr>
          <w:rFonts w:ascii="Arial Narrow" w:hAnsi="Arial Narrow" w:cs="Times New Roman"/>
          <w:sz w:val="22"/>
        </w:rPr>
        <w:tab/>
        <w:t>Hospodárenie ostatných subjektov verejnej správy na roky 2010 a 2011 vykazuje</w:t>
      </w:r>
      <w:r>
        <w:rPr>
          <w:rFonts w:ascii="Arial Narrow" w:hAnsi="Arial Narrow" w:cs="Times New Roman"/>
          <w:sz w:val="22"/>
        </w:rPr>
        <w:t xml:space="preserve"> prebytok a udrží sa na  úrovni približne 288,6 resp. 359,5 mil. eur. Návrhy rozpočtov ostatných subjektov verejnej správy tvoria </w:t>
      </w:r>
      <w:r w:rsidRPr="006029FC">
        <w:rPr>
          <w:rFonts w:ascii="Arial Narrow" w:hAnsi="Arial Narrow" w:cs="Times New Roman"/>
          <w:sz w:val="22"/>
        </w:rPr>
        <w:t xml:space="preserve">prílohu </w:t>
      </w:r>
      <w:r>
        <w:rPr>
          <w:rFonts w:ascii="Arial Narrow" w:hAnsi="Arial Narrow" w:cs="Times New Roman"/>
          <w:sz w:val="22"/>
        </w:rPr>
        <w:t xml:space="preserve">   </w:t>
      </w:r>
      <w:r w:rsidRPr="006029FC">
        <w:rPr>
          <w:rFonts w:ascii="Arial Narrow" w:hAnsi="Arial Narrow" w:cs="Times New Roman"/>
          <w:sz w:val="22"/>
        </w:rPr>
        <w:t xml:space="preserve">č. </w:t>
      </w:r>
      <w:r>
        <w:rPr>
          <w:rFonts w:ascii="Arial Narrow" w:hAnsi="Arial Narrow" w:cs="Times New Roman"/>
          <w:sz w:val="22"/>
        </w:rPr>
        <w:t xml:space="preserve">1 tohto materiálu. </w:t>
      </w:r>
    </w:p>
    <w:p w:rsidR="00F105AC" w:rsidP="00F105AC">
      <w:pPr>
        <w:pStyle w:val="BodyText"/>
        <w:tabs>
          <w:tab w:val="left" w:pos="0"/>
        </w:tabs>
        <w:spacing w:after="0"/>
        <w:jc w:val="both"/>
        <w:rPr>
          <w:rFonts w:cs="Times New Roman"/>
          <w:b/>
          <w:bCs/>
        </w:rPr>
      </w:pPr>
    </w:p>
    <w:p w:rsidR="00F105AC" w:rsidP="00F105AC">
      <w:pPr>
        <w:pStyle w:val="BodyText"/>
        <w:tabs>
          <w:tab w:val="left" w:pos="0"/>
        </w:tabs>
        <w:spacing w:after="0"/>
        <w:jc w:val="both"/>
        <w:rPr>
          <w:rFonts w:ascii="Arial Narrow" w:hAnsi="Arial Narrow" w:cs="Times New Roman"/>
          <w:sz w:val="22"/>
        </w:rPr>
      </w:pPr>
      <w:r>
        <w:rPr>
          <w:rFonts w:cs="Times New Roman"/>
          <w:b/>
          <w:bCs/>
        </w:rPr>
        <w:tab/>
      </w:r>
      <w:r>
        <w:rPr>
          <w:rFonts w:ascii="Arial Narrow" w:hAnsi="Arial Narrow" w:cs="Times New Roman"/>
          <w:sz w:val="22"/>
        </w:rPr>
        <w:t xml:space="preserve">Schodok štátneho rozpočtu podľa metodiky ESA 95 z vyššie uvedenej tabuľky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F105AC" w:rsidP="00F105AC">
      <w:pPr>
        <w:pStyle w:val="BodyText"/>
        <w:tabs>
          <w:tab w:val="left" w:pos="0"/>
        </w:tabs>
        <w:spacing w:after="0"/>
        <w:jc w:val="both"/>
        <w:rPr>
          <w:rFonts w:ascii="Arial Narrow" w:hAnsi="Arial Narrow" w:cs="Times New Roman"/>
          <w:sz w:val="22"/>
        </w:rPr>
      </w:pPr>
    </w:p>
    <w:p w:rsidR="00F105AC" w:rsidP="00F105AC">
      <w:pPr>
        <w:pStyle w:val="BodyText"/>
        <w:tabs>
          <w:tab w:val="left" w:pos="0"/>
        </w:tabs>
        <w:spacing w:after="0"/>
        <w:jc w:val="center"/>
        <w:rPr>
          <w:rFonts w:ascii="Arial Narrow" w:hAnsi="Arial Narrow" w:cs="Arial Narrow"/>
          <w:b/>
          <w:bCs/>
          <w:sz w:val="22"/>
          <w:szCs w:val="22"/>
        </w:rPr>
      </w:pPr>
      <w:r>
        <w:rPr>
          <w:rFonts w:ascii="Arial Narrow" w:hAnsi="Arial Narrow" w:cs="Arial Narrow"/>
          <w:b/>
          <w:bCs/>
          <w:sz w:val="22"/>
          <w:szCs w:val="22"/>
        </w:rPr>
        <w:t>Rámec štátneho rozpočtu</w:t>
      </w:r>
    </w:p>
    <w:p w:rsidR="00F105AC" w:rsidP="00F105AC">
      <w:pPr>
        <w:pStyle w:val="BodyText"/>
        <w:tabs>
          <w:tab w:val="left" w:pos="0"/>
        </w:tabs>
        <w:spacing w:after="0"/>
        <w:jc w:val="center"/>
        <w:rPr>
          <w:rFonts w:ascii="Arial Narrow" w:hAnsi="Arial Narrow" w:cs="Arial Narrow"/>
          <w:b/>
          <w:bCs/>
          <w:sz w:val="16"/>
          <w:szCs w:val="16"/>
        </w:rPr>
      </w:pPr>
    </w:p>
    <w:tbl>
      <w:tblPr>
        <w:tblW w:w="7940" w:type="dxa"/>
        <w:jc w:val="center"/>
        <w:tblInd w:w="58" w:type="dxa"/>
        <w:tblCellMar>
          <w:left w:w="70" w:type="dxa"/>
          <w:right w:w="70" w:type="dxa"/>
        </w:tblCellMar>
      </w:tblPr>
      <w:tblGrid>
        <w:gridCol w:w="3460"/>
        <w:gridCol w:w="1120"/>
        <w:gridCol w:w="1120"/>
        <w:gridCol w:w="1120"/>
        <w:gridCol w:w="1120"/>
      </w:tblGrid>
      <w:tr>
        <w:tblPrEx>
          <w:tblW w:w="7940" w:type="dxa"/>
          <w:jc w:val="center"/>
          <w:tblInd w:w="58" w:type="dxa"/>
          <w:tblCellMar>
            <w:left w:w="70" w:type="dxa"/>
            <w:right w:w="70" w:type="dxa"/>
          </w:tblCellMar>
        </w:tblPrEx>
        <w:trPr>
          <w:trHeight w:val="540"/>
          <w:jc w:val="center"/>
        </w:trPr>
        <w:tc>
          <w:tcPr>
            <w:tcW w:w="346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F105AC" w:rsidRPr="00217D9B" w:rsidP="00F105AC">
            <w:pPr>
              <w:rPr>
                <w:rFonts w:ascii="Arial Narrow" w:hAnsi="Arial Narrow" w:cs="Arial"/>
                <w:color w:val="FFFFFF"/>
                <w:sz w:val="16"/>
                <w:szCs w:val="16"/>
                <w:lang w:eastAsia="sk-SK"/>
              </w:rPr>
            </w:pPr>
            <w:r w:rsidRPr="00217D9B">
              <w:rPr>
                <w:rFonts w:ascii="Arial Narrow" w:hAnsi="Arial Narrow" w:cs="Arial"/>
                <w:color w:val="FFFFFF"/>
                <w:sz w:val="16"/>
                <w:szCs w:val="16"/>
                <w:lang w:eastAsia="sk-SK"/>
              </w:rPr>
              <w:t xml:space="preserve">  (v mil. </w:t>
            </w:r>
            <w:r w:rsidRPr="00217D9B">
              <w:rPr>
                <w:rFonts w:ascii="Arial" w:hAnsi="Arial" w:cs="Arial"/>
                <w:color w:val="FFFFFF"/>
                <w:sz w:val="16"/>
                <w:szCs w:val="16"/>
                <w:lang w:eastAsia="sk-SK"/>
              </w:rPr>
              <w:t>€</w:t>
            </w:r>
            <w:r w:rsidRPr="00217D9B">
              <w:rPr>
                <w:rFonts w:ascii="Arial Narrow" w:hAnsi="Arial Narrow" w:cs="Arial"/>
                <w:color w:val="FFFFFF"/>
                <w:sz w:val="16"/>
                <w:szCs w:val="16"/>
                <w:lang w:eastAsia="sk-SK"/>
              </w:rPr>
              <w:t>)</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217D9B" w:rsidP="00F105AC">
            <w:pPr>
              <w:jc w:val="center"/>
              <w:rPr>
                <w:rFonts w:ascii="Arial Narrow" w:hAnsi="Arial Narrow" w:cs="Arial"/>
                <w:b/>
                <w:bCs/>
                <w:color w:val="FFFFFF"/>
                <w:sz w:val="20"/>
                <w:lang w:eastAsia="sk-SK"/>
              </w:rPr>
            </w:pPr>
            <w:r w:rsidRPr="00217D9B">
              <w:rPr>
                <w:rFonts w:ascii="Arial Narrow" w:hAnsi="Arial Narrow" w:cs="Arial"/>
                <w:b/>
                <w:bCs/>
                <w:color w:val="FFFFFF"/>
                <w:sz w:val="20"/>
                <w:lang w:eastAsia="sk-SK"/>
              </w:rPr>
              <w:t>2008</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217D9B" w:rsidP="00F105AC">
            <w:pPr>
              <w:jc w:val="center"/>
              <w:rPr>
                <w:rFonts w:ascii="Arial Narrow" w:hAnsi="Arial Narrow" w:cs="Arial"/>
                <w:b/>
                <w:bCs/>
                <w:color w:val="FFFFFF"/>
                <w:sz w:val="20"/>
                <w:lang w:eastAsia="sk-SK"/>
              </w:rPr>
            </w:pPr>
            <w:r w:rsidRPr="00217D9B">
              <w:rPr>
                <w:rFonts w:ascii="Arial Narrow" w:hAnsi="Arial Narrow" w:cs="Arial"/>
                <w:b/>
                <w:bCs/>
                <w:color w:val="FFFFFF"/>
                <w:sz w:val="20"/>
                <w:lang w:eastAsia="sk-SK"/>
              </w:rPr>
              <w:t>2009</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217D9B" w:rsidP="00F105AC">
            <w:pPr>
              <w:jc w:val="center"/>
              <w:rPr>
                <w:rFonts w:ascii="Arial Narrow" w:hAnsi="Arial Narrow" w:cs="Arial"/>
                <w:b/>
                <w:bCs/>
                <w:color w:val="FFFFFF"/>
                <w:sz w:val="20"/>
                <w:lang w:eastAsia="sk-SK"/>
              </w:rPr>
            </w:pPr>
            <w:r w:rsidRPr="00217D9B">
              <w:rPr>
                <w:rFonts w:ascii="Arial Narrow" w:hAnsi="Arial Narrow" w:cs="Arial"/>
                <w:b/>
                <w:bCs/>
                <w:color w:val="FFFFFF"/>
                <w:sz w:val="20"/>
                <w:lang w:eastAsia="sk-SK"/>
              </w:rPr>
              <w:t>2010</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217D9B" w:rsidP="00F105AC">
            <w:pPr>
              <w:jc w:val="center"/>
              <w:rPr>
                <w:rFonts w:ascii="Arial Narrow" w:hAnsi="Arial Narrow" w:cs="Arial"/>
                <w:b/>
                <w:bCs/>
                <w:color w:val="FFFFFF"/>
                <w:sz w:val="20"/>
                <w:lang w:eastAsia="sk-SK"/>
              </w:rPr>
            </w:pPr>
            <w:r w:rsidRPr="00217D9B">
              <w:rPr>
                <w:rFonts w:ascii="Arial Narrow" w:hAnsi="Arial Narrow" w:cs="Arial"/>
                <w:b/>
                <w:bCs/>
                <w:color w:val="FFFFFF"/>
                <w:sz w:val="20"/>
                <w:lang w:eastAsia="sk-SK"/>
              </w:rPr>
              <w:t>2011</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217D9B" w:rsidP="00F105AC">
            <w:pPr>
              <w:rPr>
                <w:rFonts w:ascii="Arial Narrow" w:hAnsi="Arial Narrow" w:cs="Arial"/>
                <w:sz w:val="20"/>
                <w:lang w:eastAsia="sk-SK"/>
              </w:rPr>
            </w:pPr>
            <w:r w:rsidRPr="00217D9B">
              <w:rPr>
                <w:rFonts w:ascii="Arial Narrow" w:hAnsi="Arial Narrow" w:cs="Arial"/>
                <w:sz w:val="20"/>
                <w:lang w:eastAsia="sk-SK"/>
              </w:rPr>
              <w:t>Schodok štátneho rozpočtu v metodike ESA 95</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-1 696,2</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-1 671,4</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-940,2</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-359,5</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217D9B" w:rsidP="00F105AC">
            <w:pPr>
              <w:rPr>
                <w:rFonts w:ascii="Arial Narrow" w:hAnsi="Arial Narrow" w:cs="Arial"/>
                <w:sz w:val="20"/>
                <w:lang w:eastAsia="sk-SK"/>
              </w:rPr>
            </w:pPr>
            <w:r w:rsidRPr="00217D9B">
              <w:rPr>
                <w:rFonts w:ascii="Arial Narrow" w:hAnsi="Arial Narrow" w:cs="Arial"/>
                <w:sz w:val="20"/>
                <w:lang w:eastAsia="sk-SK"/>
              </w:rPr>
              <w:t xml:space="preserve">Modifikujúce faktory </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-634,0</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-784,7</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-475,2</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-225,6</w:t>
            </w:r>
          </w:p>
        </w:tc>
      </w:tr>
      <w:tr>
        <w:tblPrEx>
          <w:tblW w:w="7940" w:type="dxa"/>
          <w:jc w:val="center"/>
          <w:tblInd w:w="58"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217D9B" w:rsidP="00F105AC">
            <w:pPr>
              <w:rPr>
                <w:rFonts w:ascii="Arial Narrow" w:hAnsi="Arial Narrow" w:cs="Arial"/>
                <w:sz w:val="20"/>
                <w:lang w:eastAsia="sk-SK"/>
              </w:rPr>
            </w:pPr>
            <w:r w:rsidRPr="00217D9B">
              <w:rPr>
                <w:rFonts w:ascii="Arial Narrow" w:hAnsi="Arial Narrow" w:cs="Arial"/>
                <w:sz w:val="20"/>
                <w:lang w:eastAsia="sk-SK"/>
              </w:rPr>
              <w:t>Schodok štátneho rozpočtu na hotovostnom princípe</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-1 062,2</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-886,7</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-465,0</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w:t>
            </w:r>
            <w:r w:rsidRPr="00217D9B">
              <w:rPr>
                <w:rFonts w:ascii="Arial Narrow" w:hAnsi="Arial Narrow" w:cs="Arial"/>
                <w:sz w:val="20"/>
                <w:lang w:eastAsia="sk-SK"/>
              </w:rPr>
              <w:t>34,0</w:t>
            </w:r>
          </w:p>
        </w:tc>
      </w:tr>
      <w:tr>
        <w:tblPrEx>
          <w:tblW w:w="7940" w:type="dxa"/>
          <w:jc w:val="center"/>
          <w:tblInd w:w="58" w:type="dxa"/>
          <w:tblCellMar>
            <w:left w:w="70" w:type="dxa"/>
            <w:right w:w="70" w:type="dxa"/>
          </w:tblCellMar>
        </w:tblPrEx>
        <w:trPr>
          <w:trHeight w:val="555"/>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217D9B" w:rsidP="00F105AC">
            <w:pPr>
              <w:rPr>
                <w:rFonts w:ascii="Arial Narrow" w:hAnsi="Arial Narrow" w:cs="Arial"/>
                <w:sz w:val="20"/>
                <w:lang w:eastAsia="sk-SK"/>
              </w:rPr>
            </w:pPr>
            <w:r w:rsidRPr="00217D9B">
              <w:rPr>
                <w:rFonts w:ascii="Arial Narrow" w:hAnsi="Arial Narrow" w:cs="Arial"/>
                <w:sz w:val="20"/>
                <w:lang w:eastAsia="sk-SK"/>
              </w:rPr>
              <w:t>Príjmy štátneho rozpočtu na hotovostnom princípe</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11 558,1</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13 222</w:t>
            </w:r>
            <w:r w:rsidRPr="00C430EA">
              <w:rPr>
                <w:rFonts w:ascii="Arial Narrow" w:hAnsi="Arial Narrow" w:cs="Arial"/>
                <w:sz w:val="20"/>
                <w:lang w:eastAsia="sk-SK"/>
              </w:rPr>
              <w:t>,0</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14 342,8</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15 299,1</w:t>
            </w:r>
          </w:p>
        </w:tc>
      </w:tr>
      <w:tr>
        <w:tblPrEx>
          <w:tblW w:w="7940" w:type="dxa"/>
          <w:jc w:val="center"/>
          <w:tblInd w:w="58"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217D9B" w:rsidP="00F105AC">
            <w:pPr>
              <w:rPr>
                <w:rFonts w:ascii="Arial Narrow" w:hAnsi="Arial Narrow" w:cs="Arial"/>
                <w:sz w:val="20"/>
                <w:lang w:eastAsia="sk-SK"/>
              </w:rPr>
            </w:pPr>
            <w:r w:rsidRPr="00217D9B">
              <w:rPr>
                <w:rFonts w:ascii="Arial Narrow" w:hAnsi="Arial Narrow" w:cs="Arial"/>
                <w:sz w:val="20"/>
                <w:lang w:eastAsia="sk-SK"/>
              </w:rPr>
              <w:t>Výdavky štátneho rozpočtu na hotovostnom princípe</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217D9B" w:rsidP="00F105AC">
            <w:pPr>
              <w:jc w:val="right"/>
              <w:rPr>
                <w:rFonts w:ascii="Arial Narrow" w:hAnsi="Arial Narrow" w:cs="Arial"/>
                <w:sz w:val="20"/>
                <w:lang w:eastAsia="sk-SK"/>
              </w:rPr>
            </w:pPr>
            <w:r w:rsidRPr="00217D9B">
              <w:rPr>
                <w:rFonts w:ascii="Arial Narrow" w:hAnsi="Arial Narrow" w:cs="Arial"/>
                <w:sz w:val="20"/>
                <w:lang w:eastAsia="sk-SK"/>
              </w:rPr>
              <w:t>12 620,3</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14 108,7</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14 807,8</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C430EA" w:rsidP="00F105AC">
            <w:pPr>
              <w:jc w:val="right"/>
              <w:rPr>
                <w:rFonts w:ascii="Arial Narrow" w:hAnsi="Arial Narrow" w:cs="Arial"/>
                <w:sz w:val="20"/>
                <w:lang w:eastAsia="sk-SK"/>
              </w:rPr>
            </w:pPr>
            <w:r>
              <w:rPr>
                <w:rFonts w:ascii="Arial Narrow" w:hAnsi="Arial Narrow" w:cs="Arial"/>
                <w:sz w:val="20"/>
                <w:lang w:eastAsia="sk-SK"/>
              </w:rPr>
              <w:t>15 433,1</w:t>
            </w:r>
          </w:p>
        </w:tc>
      </w:tr>
    </w:tbl>
    <w:p w:rsidR="00F105AC" w:rsidP="00F105AC">
      <w:pPr>
        <w:jc w:val="both"/>
        <w:rPr>
          <w:rFonts w:ascii="Arial Narrow" w:hAnsi="Arial Narrow" w:cs="Arial Narrow"/>
          <w:sz w:val="22"/>
          <w:szCs w:val="22"/>
        </w:rPr>
      </w:pPr>
    </w:p>
    <w:p w:rsidR="00F105AC" w:rsidP="00F105AC">
      <w:pPr>
        <w:jc w:val="both"/>
        <w:rPr>
          <w:rFonts w:ascii="Arial Narrow" w:hAnsi="Arial Narrow" w:cs="Arial Narrow"/>
          <w:sz w:val="22"/>
          <w:szCs w:val="22"/>
        </w:rPr>
      </w:pPr>
      <w:r>
        <w:rPr>
          <w:rFonts w:ascii="Arial Narrow" w:hAnsi="Arial Narrow" w:cs="Arial Narrow"/>
          <w:sz w:val="22"/>
          <w:szCs w:val="22"/>
        </w:rPr>
        <w:tab/>
      </w:r>
      <w:r w:rsidRPr="00C26C3D">
        <w:rPr>
          <w:rFonts w:ascii="Arial Narrow" w:hAnsi="Arial Narrow" w:cs="Arial Narrow"/>
          <w:sz w:val="22"/>
          <w:szCs w:val="22"/>
        </w:rPr>
        <w:t xml:space="preserve">Celkovú negatívnu hodnotu modifikujúcich faktorov štátneho rozpočtu v roku 2009 tvorí predovšetkým negatívny vplyv salda rozpočtových operácií štátnych finančných aktív ovplyvnený transferom prostriedkov štátnych finančných aktív do Sociálnej poisťovne v objeme 477,1 mil. </w:t>
      </w:r>
      <w:r>
        <w:rPr>
          <w:rFonts w:ascii="Arial Narrow" w:hAnsi="Arial Narrow" w:cs="Arial Narrow"/>
          <w:sz w:val="22"/>
          <w:szCs w:val="22"/>
        </w:rPr>
        <w:t>eur</w:t>
      </w:r>
      <w:r w:rsidRPr="00C26C3D">
        <w:rPr>
          <w:rFonts w:ascii="Arial Narrow" w:hAnsi="Arial Narrow" w:cs="Arial Narrow"/>
          <w:sz w:val="22"/>
          <w:szCs w:val="22"/>
        </w:rPr>
        <w:t xml:space="preserve">, ktoré slúžia na krytie výpadku jej príjmov z dôvodu zavedenia II. piliera dôchodkového sporenia. Negatívny vplyv na výšku modifikujúcich faktorov má aj časové rozlíšenie daňových príjmov v objeme </w:t>
      </w:r>
      <w:r>
        <w:rPr>
          <w:rFonts w:ascii="Arial Narrow" w:hAnsi="Arial Narrow" w:cs="Arial Narrow"/>
          <w:sz w:val="22"/>
          <w:szCs w:val="22"/>
        </w:rPr>
        <w:t>151,8</w:t>
      </w:r>
      <w:r w:rsidRPr="00C26C3D">
        <w:rPr>
          <w:rFonts w:ascii="Arial Narrow" w:hAnsi="Arial Narrow" w:cs="Arial Narrow"/>
          <w:sz w:val="22"/>
          <w:szCs w:val="22"/>
        </w:rPr>
        <w:t xml:space="preserve"> mil. </w:t>
      </w:r>
      <w:r>
        <w:rPr>
          <w:rFonts w:ascii="Arial Narrow" w:hAnsi="Arial Narrow" w:cs="Arial Narrow"/>
          <w:sz w:val="22"/>
          <w:szCs w:val="22"/>
        </w:rPr>
        <w:t>eur</w:t>
      </w:r>
      <w:r w:rsidRPr="00C26C3D">
        <w:rPr>
          <w:rFonts w:ascii="Arial Narrow" w:hAnsi="Arial Narrow" w:cs="Arial Narrow"/>
          <w:sz w:val="22"/>
          <w:szCs w:val="22"/>
        </w:rPr>
        <w:t xml:space="preserve">, ako aj časové rozlíšenie platených úrokov štátneho dlhu, a to vo výške 101,2 mil. </w:t>
      </w:r>
      <w:r>
        <w:rPr>
          <w:rFonts w:ascii="Arial Narrow" w:hAnsi="Arial Narrow" w:cs="Arial Narrow"/>
          <w:sz w:val="22"/>
          <w:szCs w:val="22"/>
        </w:rPr>
        <w:t>eur</w:t>
      </w:r>
      <w:r w:rsidRPr="00C26C3D">
        <w:rPr>
          <w:rFonts w:ascii="Arial Narrow" w:hAnsi="Arial Narrow" w:cs="Arial Narrow"/>
          <w:sz w:val="22"/>
          <w:szCs w:val="22"/>
        </w:rPr>
        <w:t>. Podobný st</w:t>
      </w:r>
      <w:r w:rsidRPr="00C26C3D">
        <w:rPr>
          <w:rFonts w:ascii="Arial Narrow" w:hAnsi="Arial Narrow" w:cs="Arial Narrow"/>
          <w:sz w:val="22"/>
          <w:szCs w:val="22"/>
        </w:rPr>
        <w:t>av modifikujúcich faktorov je aj v roku 2010</w:t>
      </w:r>
      <w:r>
        <w:rPr>
          <w:rFonts w:ascii="Arial Narrow" w:hAnsi="Arial Narrow" w:cs="Arial Narrow"/>
          <w:sz w:val="22"/>
          <w:szCs w:val="22"/>
        </w:rPr>
        <w:t xml:space="preserve"> s tým rozdielom, že od roku 2010 bude mať časové rozlíšenie daňových príjmov pozitívny vplyv na schodok štátneho rozpočtu</w:t>
      </w:r>
      <w:r w:rsidRPr="00C26C3D">
        <w:rPr>
          <w:rFonts w:ascii="Arial Narrow" w:hAnsi="Arial Narrow" w:cs="Arial Narrow"/>
          <w:sz w:val="22"/>
          <w:szCs w:val="22"/>
        </w:rPr>
        <w:t>. K výraznej zmene hodnoty modifikujúcich faktorov dochádza v roku 2011. Po vyčerpaní prostriedkov štátnych finančných aktív</w:t>
      </w:r>
      <w:r w:rsidRPr="00442ABB">
        <w:rPr>
          <w:rFonts w:ascii="Arial Narrow" w:hAnsi="Arial Narrow" w:cs="Arial Narrow"/>
          <w:sz w:val="22"/>
          <w:szCs w:val="22"/>
        </w:rPr>
        <w:t xml:space="preserve"> určených na financovanie transformačných nákladov dôchodkovej reformy </w:t>
      </w:r>
      <w:r>
        <w:rPr>
          <w:rFonts w:ascii="Arial Narrow" w:hAnsi="Arial Narrow" w:cs="Arial Narrow"/>
          <w:sz w:val="22"/>
          <w:szCs w:val="22"/>
        </w:rPr>
        <w:t xml:space="preserve">v priebehu </w:t>
      </w:r>
      <w:r w:rsidRPr="00442ABB">
        <w:rPr>
          <w:rFonts w:ascii="Arial Narrow" w:hAnsi="Arial Narrow" w:cs="Arial Narrow"/>
          <w:sz w:val="22"/>
          <w:szCs w:val="22"/>
        </w:rPr>
        <w:t>rok</w:t>
      </w:r>
      <w:r>
        <w:rPr>
          <w:rFonts w:ascii="Arial Narrow" w:hAnsi="Arial Narrow" w:cs="Arial Narrow"/>
          <w:sz w:val="22"/>
          <w:szCs w:val="22"/>
        </w:rPr>
        <w:t>a</w:t>
      </w:r>
      <w:r w:rsidRPr="00442ABB">
        <w:rPr>
          <w:rFonts w:ascii="Arial Narrow" w:hAnsi="Arial Narrow" w:cs="Arial Narrow"/>
          <w:sz w:val="22"/>
          <w:szCs w:val="22"/>
        </w:rPr>
        <w:t xml:space="preserve"> 2010 sa predpokladá, že krytie výpadku príjmov Sociálnej poisťovne z dôvodu zavedenia II. piliera dôchodkového sporenia v roku 2011 bude v plnej výške zabezpečené z prostriedkov štátneho rozpočtu. Podrobnú identifikáciu modifikujúcich faktorov štátneho rozpočtu obsahuje časť 6. Štátny rozpočet v metodike ESA 95.</w:t>
      </w:r>
    </w:p>
    <w:p w:rsidR="00F105AC" w:rsidP="00F105AC">
      <w:pPr>
        <w:jc w:val="both"/>
        <w:rPr>
          <w:rFonts w:ascii="Arial Narrow" w:hAnsi="Arial Narrow" w:cs="Arial Narrow"/>
          <w:sz w:val="22"/>
          <w:szCs w:val="22"/>
          <w:highlight w:val="yellow"/>
        </w:rPr>
      </w:pPr>
    </w:p>
    <w:p w:rsidR="00F105AC" w:rsidP="00F105AC">
      <w:pPr>
        <w:pStyle w:val="BodyTextIndent"/>
        <w:spacing w:after="0"/>
        <w:ind w:left="0" w:firstLine="720"/>
        <w:jc w:val="both"/>
        <w:rPr>
          <w:rFonts w:ascii="Arial Narrow" w:hAnsi="Arial Narrow" w:cs="Arial Narrow"/>
          <w:sz w:val="22"/>
          <w:szCs w:val="22"/>
        </w:rPr>
      </w:pPr>
      <w:r>
        <w:rPr>
          <w:rFonts w:ascii="Arial Narrow" w:hAnsi="Arial Narrow" w:cs="Arial Narrow"/>
          <w:sz w:val="22"/>
          <w:szCs w:val="22"/>
        </w:rPr>
        <w:t xml:space="preserve">Na základe stanovených parametrov fiškálneho rámca, hospodárenia ostatných subjektov verejnej správy a stanovenia rámca štátneho rozpočtu je možné definovať nasledujúce základné parametre vývoja verejných financií. </w:t>
      </w:r>
    </w:p>
    <w:p w:rsidR="00F105AC" w:rsidP="00F105AC">
      <w:pPr>
        <w:pStyle w:val="BodyTextIndent"/>
        <w:spacing w:after="0"/>
        <w:ind w:left="0" w:firstLine="720"/>
        <w:jc w:val="both"/>
        <w:rPr>
          <w:rFonts w:ascii="Arial Narrow" w:hAnsi="Arial Narrow" w:cs="Arial Narrow"/>
          <w:sz w:val="22"/>
          <w:szCs w:val="22"/>
        </w:rPr>
      </w:pPr>
    </w:p>
    <w:p w:rsidR="00F105AC" w:rsidP="00F105AC">
      <w:pPr>
        <w:pStyle w:val="BodyTextIndent"/>
        <w:spacing w:after="0"/>
        <w:ind w:left="0" w:firstLine="720"/>
        <w:jc w:val="both"/>
        <w:rPr>
          <w:rFonts w:ascii="Arial Narrow" w:hAnsi="Arial Narrow" w:cs="Arial Narrow"/>
          <w:sz w:val="22"/>
          <w:szCs w:val="22"/>
        </w:rPr>
      </w:pPr>
    </w:p>
    <w:p w:rsidR="00F105AC" w:rsidP="00F105AC">
      <w:pPr>
        <w:pStyle w:val="BodyText"/>
        <w:tabs>
          <w:tab w:val="left" w:pos="0"/>
        </w:tabs>
        <w:spacing w:after="0"/>
        <w:jc w:val="center"/>
        <w:rPr>
          <w:rFonts w:ascii="Arial Narrow" w:hAnsi="Arial Narrow" w:cs="Arial Narrow"/>
          <w:b/>
          <w:bCs/>
          <w:sz w:val="22"/>
          <w:szCs w:val="22"/>
        </w:rPr>
      </w:pPr>
      <w:r>
        <w:rPr>
          <w:rFonts w:ascii="Arial Narrow" w:hAnsi="Arial Narrow" w:cs="Arial Narrow"/>
          <w:b/>
          <w:bCs/>
          <w:sz w:val="22"/>
          <w:szCs w:val="22"/>
        </w:rPr>
        <w:t>Rámec rozpočtu verejnej správy</w:t>
      </w:r>
    </w:p>
    <w:p w:rsidR="00F105AC" w:rsidP="00F105AC">
      <w:pPr>
        <w:pStyle w:val="BodyText"/>
        <w:tabs>
          <w:tab w:val="left" w:pos="0"/>
        </w:tabs>
        <w:spacing w:after="0"/>
        <w:jc w:val="center"/>
        <w:rPr>
          <w:rFonts w:ascii="Arial Narrow" w:hAnsi="Arial Narrow" w:cs="Arial Narrow"/>
          <w:b/>
          <w:bCs/>
          <w:sz w:val="22"/>
          <w:szCs w:val="22"/>
        </w:rPr>
      </w:pPr>
    </w:p>
    <w:tbl>
      <w:tblPr>
        <w:tblW w:w="7940" w:type="dxa"/>
        <w:jc w:val="center"/>
        <w:tblInd w:w="58" w:type="dxa"/>
        <w:tblCellMar>
          <w:left w:w="70" w:type="dxa"/>
          <w:right w:w="70" w:type="dxa"/>
        </w:tblCellMar>
      </w:tblPr>
      <w:tblGrid>
        <w:gridCol w:w="3460"/>
        <w:gridCol w:w="1120"/>
        <w:gridCol w:w="1120"/>
        <w:gridCol w:w="1120"/>
        <w:gridCol w:w="1120"/>
      </w:tblGrid>
      <w:tr>
        <w:tblPrEx>
          <w:tblW w:w="7940" w:type="dxa"/>
          <w:jc w:val="center"/>
          <w:tblInd w:w="58" w:type="dxa"/>
          <w:tblCellMar>
            <w:left w:w="70" w:type="dxa"/>
            <w:right w:w="70" w:type="dxa"/>
          </w:tblCellMar>
        </w:tblPrEx>
        <w:trPr>
          <w:trHeight w:val="540"/>
          <w:jc w:val="center"/>
        </w:trPr>
        <w:tc>
          <w:tcPr>
            <w:tcW w:w="346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F105AC" w:rsidRPr="00B70FAD" w:rsidP="00F105AC">
            <w:pPr>
              <w:rPr>
                <w:rFonts w:ascii="Arial Narrow" w:hAnsi="Arial Narrow" w:cs="Arial"/>
                <w:color w:val="FFFFFF"/>
                <w:sz w:val="16"/>
                <w:szCs w:val="16"/>
                <w:lang w:eastAsia="sk-SK"/>
              </w:rPr>
            </w:pPr>
            <w:bookmarkStart w:id="32" w:name="_Toc148255243"/>
            <w:bookmarkStart w:id="33" w:name="_Toc174871968"/>
            <w:r w:rsidRPr="00B70FAD">
              <w:rPr>
                <w:rFonts w:ascii="Arial Narrow" w:hAnsi="Arial Narrow" w:cs="Arial"/>
                <w:color w:val="FFFFFF"/>
                <w:sz w:val="16"/>
                <w:szCs w:val="16"/>
                <w:lang w:eastAsia="sk-SK"/>
              </w:rPr>
              <w:t xml:space="preserve">(v mil. </w:t>
            </w:r>
            <w:r w:rsidRPr="00B70FAD">
              <w:rPr>
                <w:rFonts w:ascii="Arial" w:hAnsi="Arial" w:cs="Arial"/>
                <w:color w:val="FFFFFF"/>
                <w:sz w:val="16"/>
                <w:szCs w:val="16"/>
                <w:lang w:eastAsia="sk-SK"/>
              </w:rPr>
              <w:t>€</w:t>
            </w:r>
            <w:r w:rsidRPr="00B70FAD">
              <w:rPr>
                <w:rFonts w:ascii="Arial Narrow" w:hAnsi="Arial Narrow" w:cs="Arial"/>
                <w:color w:val="FFFFFF"/>
                <w:sz w:val="16"/>
                <w:szCs w:val="16"/>
                <w:lang w:eastAsia="sk-SK"/>
              </w:rPr>
              <w:t>; v metodike ESA 95 na konsolidovanej báze)</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B70FAD" w:rsidP="00F105AC">
            <w:pPr>
              <w:jc w:val="center"/>
              <w:rPr>
                <w:rFonts w:ascii="Arial Narrow" w:hAnsi="Arial Narrow" w:cs="Arial"/>
                <w:b/>
                <w:bCs/>
                <w:color w:val="FFFFFF"/>
                <w:sz w:val="20"/>
                <w:lang w:eastAsia="sk-SK"/>
              </w:rPr>
            </w:pPr>
            <w:r w:rsidRPr="00B70FAD">
              <w:rPr>
                <w:rFonts w:ascii="Arial Narrow" w:hAnsi="Arial Narrow" w:cs="Arial"/>
                <w:b/>
                <w:bCs/>
                <w:color w:val="FFFFFF"/>
                <w:sz w:val="20"/>
                <w:lang w:eastAsia="sk-SK"/>
              </w:rPr>
              <w:t>2008</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B70FAD" w:rsidP="00F105AC">
            <w:pPr>
              <w:jc w:val="center"/>
              <w:rPr>
                <w:rFonts w:ascii="Arial Narrow" w:hAnsi="Arial Narrow" w:cs="Arial"/>
                <w:b/>
                <w:bCs/>
                <w:color w:val="FFFFFF"/>
                <w:sz w:val="20"/>
                <w:lang w:eastAsia="sk-SK"/>
              </w:rPr>
            </w:pPr>
            <w:r w:rsidRPr="00B70FAD">
              <w:rPr>
                <w:rFonts w:ascii="Arial Narrow" w:hAnsi="Arial Narrow" w:cs="Arial"/>
                <w:b/>
                <w:bCs/>
                <w:color w:val="FFFFFF"/>
                <w:sz w:val="20"/>
                <w:lang w:eastAsia="sk-SK"/>
              </w:rPr>
              <w:t>2009</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B70FAD" w:rsidP="00F105AC">
            <w:pPr>
              <w:jc w:val="center"/>
              <w:rPr>
                <w:rFonts w:ascii="Arial Narrow" w:hAnsi="Arial Narrow" w:cs="Arial"/>
                <w:b/>
                <w:bCs/>
                <w:color w:val="FFFFFF"/>
                <w:sz w:val="20"/>
                <w:lang w:eastAsia="sk-SK"/>
              </w:rPr>
            </w:pPr>
            <w:r w:rsidRPr="00B70FAD">
              <w:rPr>
                <w:rFonts w:ascii="Arial Narrow" w:hAnsi="Arial Narrow" w:cs="Arial"/>
                <w:b/>
                <w:bCs/>
                <w:color w:val="FFFFFF"/>
                <w:sz w:val="20"/>
                <w:lang w:eastAsia="sk-SK"/>
              </w:rPr>
              <w:t>2010</w:t>
            </w:r>
          </w:p>
        </w:tc>
        <w:tc>
          <w:tcPr>
            <w:tcW w:w="1120" w:type="dxa"/>
            <w:tcBorders>
              <w:top w:val="single" w:sz="4" w:space="0" w:color="auto"/>
              <w:left w:val="nil"/>
              <w:bottom w:val="single" w:sz="4" w:space="0" w:color="auto"/>
              <w:right w:val="single" w:sz="4" w:space="0" w:color="auto"/>
              <w:tl2br w:val="nil"/>
              <w:tr2bl w:val="nil"/>
            </w:tcBorders>
            <w:shd w:val="clear" w:color="auto" w:fill="000000"/>
            <w:textDirection w:val="lrTb"/>
            <w:vAlign w:val="center"/>
          </w:tcPr>
          <w:p w:rsidR="00F105AC" w:rsidRPr="00B70FAD" w:rsidP="00F105AC">
            <w:pPr>
              <w:jc w:val="center"/>
              <w:rPr>
                <w:rFonts w:ascii="Arial Narrow" w:hAnsi="Arial Narrow" w:cs="Arial"/>
                <w:b/>
                <w:bCs/>
                <w:color w:val="FFFFFF"/>
                <w:sz w:val="20"/>
                <w:lang w:eastAsia="sk-SK"/>
              </w:rPr>
            </w:pPr>
            <w:r w:rsidRPr="00B70FAD">
              <w:rPr>
                <w:rFonts w:ascii="Arial Narrow" w:hAnsi="Arial Narrow" w:cs="Arial"/>
                <w:b/>
                <w:bCs/>
                <w:color w:val="FFFFFF"/>
                <w:sz w:val="20"/>
                <w:lang w:eastAsia="sk-SK"/>
              </w:rPr>
              <w:t>2011</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B70FAD" w:rsidP="00F105AC">
            <w:pPr>
              <w:rPr>
                <w:rFonts w:ascii="Arial Narrow" w:hAnsi="Arial Narrow" w:cs="Arial"/>
                <w:sz w:val="20"/>
                <w:lang w:eastAsia="sk-SK"/>
              </w:rPr>
            </w:pPr>
            <w:r w:rsidRPr="00B70FAD">
              <w:rPr>
                <w:rFonts w:ascii="Arial Narrow" w:hAnsi="Arial Narrow" w:cs="Arial"/>
                <w:sz w:val="20"/>
                <w:lang w:eastAsia="sk-SK"/>
              </w:rPr>
              <w:t>Príjmy v</w:t>
            </w:r>
            <w:r w:rsidRPr="00B70FAD">
              <w:rPr>
                <w:rFonts w:ascii="Arial Narrow" w:hAnsi="Arial Narrow" w:cs="Arial"/>
                <w:sz w:val="20"/>
                <w:lang w:eastAsia="sk-SK"/>
              </w:rPr>
              <w:t xml:space="preserve">erejnej správy </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22 233,3</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sidRPr="00045E3D">
              <w:rPr>
                <w:rFonts w:ascii="Arial Narrow" w:hAnsi="Arial Narrow" w:cs="Arial"/>
                <w:sz w:val="20"/>
                <w:lang w:eastAsia="sk-SK"/>
              </w:rPr>
              <w:t>2</w:t>
            </w:r>
            <w:r>
              <w:rPr>
                <w:rFonts w:ascii="Arial Narrow" w:hAnsi="Arial Narrow" w:cs="Arial"/>
                <w:sz w:val="20"/>
                <w:lang w:eastAsia="sk-SK"/>
              </w:rPr>
              <w:t>5 719,9</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Pr>
                <w:rFonts w:ascii="Arial Narrow" w:hAnsi="Arial Narrow" w:cs="Arial"/>
                <w:sz w:val="20"/>
                <w:lang w:eastAsia="sk-SK"/>
              </w:rPr>
              <w:t>27 600,6</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Pr>
                <w:rFonts w:ascii="Arial Narrow" w:hAnsi="Arial Narrow" w:cs="Arial"/>
                <w:sz w:val="20"/>
                <w:lang w:eastAsia="sk-SK"/>
              </w:rPr>
              <w:t>29 460,1</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B70FAD" w:rsidP="00F105AC">
            <w:pPr>
              <w:rPr>
                <w:rFonts w:ascii="Arial Narrow" w:hAnsi="Arial Narrow" w:cs="Arial"/>
                <w:b/>
                <w:bCs/>
                <w:sz w:val="20"/>
                <w:lang w:eastAsia="sk-SK"/>
              </w:rPr>
            </w:pPr>
            <w:r w:rsidRPr="00B70FAD">
              <w:rPr>
                <w:rFonts w:ascii="Arial Narrow" w:hAnsi="Arial Narrow" w:cs="Arial"/>
                <w:b/>
                <w:bCs/>
                <w:sz w:val="20"/>
                <w:lang w:eastAsia="sk-SK"/>
              </w:rPr>
              <w:t>Príjmy verejnej správy (v % na HDP)</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33,7</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34,4</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33,9</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33,3</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B70FAD" w:rsidP="00F105AC">
            <w:pPr>
              <w:rPr>
                <w:rFonts w:ascii="Arial Narrow" w:hAnsi="Arial Narrow" w:cs="Arial"/>
                <w:sz w:val="20"/>
                <w:lang w:eastAsia="sk-SK"/>
              </w:rPr>
            </w:pPr>
            <w:r w:rsidRPr="00B70FAD">
              <w:rPr>
                <w:rFonts w:ascii="Arial Narrow" w:hAnsi="Arial Narrow" w:cs="Arial"/>
                <w:sz w:val="20"/>
                <w:lang w:eastAsia="sk-SK"/>
              </w:rPr>
              <w:t>Výdavky verejnej správy</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23 776,8</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Pr>
                <w:rFonts w:ascii="Arial Narrow" w:hAnsi="Arial Narrow" w:cs="Arial"/>
                <w:sz w:val="20"/>
                <w:lang w:eastAsia="sk-SK"/>
              </w:rPr>
              <w:t>26 992,2</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Pr>
                <w:rFonts w:ascii="Arial Narrow" w:hAnsi="Arial Narrow" w:cs="Arial"/>
                <w:sz w:val="20"/>
                <w:lang w:eastAsia="sk-SK"/>
              </w:rPr>
              <w:t>28 252,3</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045E3D" w:rsidP="00F105AC">
            <w:pPr>
              <w:jc w:val="right"/>
              <w:rPr>
                <w:rFonts w:ascii="Arial Narrow" w:hAnsi="Arial Narrow" w:cs="Arial"/>
                <w:sz w:val="20"/>
                <w:lang w:eastAsia="sk-SK"/>
              </w:rPr>
            </w:pPr>
            <w:r>
              <w:rPr>
                <w:rFonts w:ascii="Arial Narrow" w:hAnsi="Arial Narrow" w:cs="Arial"/>
                <w:sz w:val="20"/>
                <w:lang w:eastAsia="sk-SK"/>
              </w:rPr>
              <w:t>29 460,1</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B70FAD" w:rsidP="00F105AC">
            <w:pPr>
              <w:rPr>
                <w:rFonts w:ascii="Arial Narrow" w:hAnsi="Arial Narrow" w:cs="Arial"/>
                <w:b/>
                <w:bCs/>
                <w:sz w:val="20"/>
                <w:lang w:eastAsia="sk-SK"/>
              </w:rPr>
            </w:pPr>
            <w:r w:rsidRPr="00B70FAD">
              <w:rPr>
                <w:rFonts w:ascii="Arial Narrow" w:hAnsi="Arial Narrow" w:cs="Arial"/>
                <w:b/>
                <w:bCs/>
                <w:sz w:val="20"/>
                <w:lang w:eastAsia="sk-SK"/>
              </w:rPr>
              <w:t>Výdavky verejnej správy (v % na HDP)</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36,0</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36,1</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34,7</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045E3D" w:rsidP="00F105AC">
            <w:pPr>
              <w:jc w:val="right"/>
              <w:rPr>
                <w:rFonts w:ascii="Arial Narrow" w:hAnsi="Arial Narrow" w:cs="Arial"/>
                <w:b/>
                <w:bCs/>
                <w:sz w:val="20"/>
                <w:lang w:eastAsia="sk-SK"/>
              </w:rPr>
            </w:pPr>
            <w:r>
              <w:rPr>
                <w:rFonts w:ascii="Arial Narrow" w:hAnsi="Arial Narrow" w:cs="Arial"/>
                <w:b/>
                <w:bCs/>
                <w:sz w:val="20"/>
                <w:lang w:eastAsia="sk-SK"/>
              </w:rPr>
              <w:t>33,3</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textDirection w:val="lrTb"/>
            <w:vAlign w:val="center"/>
          </w:tcPr>
          <w:p w:rsidR="00F105AC" w:rsidRPr="00B70FAD" w:rsidP="00F105AC">
            <w:pPr>
              <w:rPr>
                <w:rFonts w:ascii="Arial Narrow" w:hAnsi="Arial Narrow" w:cs="Arial"/>
                <w:sz w:val="20"/>
                <w:lang w:eastAsia="sk-SK"/>
              </w:rPr>
            </w:pPr>
            <w:r w:rsidRPr="00B70FAD">
              <w:rPr>
                <w:rFonts w:ascii="Arial Narrow" w:hAnsi="Arial Narrow" w:cs="Arial"/>
                <w:sz w:val="20"/>
                <w:lang w:eastAsia="sk-SK"/>
              </w:rPr>
              <w:t xml:space="preserve">Schodok/prebytok verejnej správy </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-1 542,7</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-1 272,3</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-651,7</w:t>
            </w:r>
          </w:p>
        </w:tc>
        <w:tc>
          <w:tcPr>
            <w:tcW w:w="1120" w:type="dxa"/>
            <w:tcBorders>
              <w:top w:val="nil"/>
              <w:left w:val="nil"/>
              <w:bottom w:val="single" w:sz="4" w:space="0" w:color="auto"/>
              <w:right w:val="single" w:sz="4" w:space="0" w:color="auto"/>
              <w:tl2br w:val="nil"/>
              <w:tr2bl w:val="nil"/>
            </w:tcBorders>
            <w:textDirection w:val="lrTb"/>
            <w:vAlign w:val="center"/>
          </w:tcPr>
          <w:p w:rsidR="00F105AC" w:rsidRPr="00B70FAD" w:rsidP="00F105AC">
            <w:pPr>
              <w:jc w:val="right"/>
              <w:rPr>
                <w:rFonts w:ascii="Arial Narrow" w:hAnsi="Arial Narrow" w:cs="Arial"/>
                <w:sz w:val="20"/>
                <w:lang w:eastAsia="sk-SK"/>
              </w:rPr>
            </w:pPr>
            <w:r w:rsidRPr="00B70FAD">
              <w:rPr>
                <w:rFonts w:ascii="Arial Narrow" w:hAnsi="Arial Narrow" w:cs="Arial"/>
                <w:sz w:val="20"/>
                <w:lang w:eastAsia="sk-SK"/>
              </w:rPr>
              <w:t>0,0</w:t>
            </w:r>
          </w:p>
        </w:tc>
      </w:tr>
      <w:tr>
        <w:tblPrEx>
          <w:tblW w:w="7940" w:type="dxa"/>
          <w:jc w:val="center"/>
          <w:tblInd w:w="58"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B70FAD" w:rsidP="00F105AC">
            <w:pPr>
              <w:rPr>
                <w:rFonts w:ascii="Arial Narrow" w:hAnsi="Arial Narrow" w:cs="Arial"/>
                <w:b/>
                <w:bCs/>
                <w:sz w:val="20"/>
                <w:lang w:eastAsia="sk-SK"/>
              </w:rPr>
            </w:pPr>
            <w:r w:rsidRPr="00B70FAD">
              <w:rPr>
                <w:rFonts w:ascii="Arial Narrow" w:hAnsi="Arial Narrow" w:cs="Arial"/>
                <w:b/>
                <w:bCs/>
                <w:sz w:val="20"/>
                <w:lang w:eastAsia="sk-SK"/>
              </w:rPr>
              <w:t>Schodok verejnej správy (v % na HDP)</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-2,3</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-1,7</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-0,8</w:t>
            </w:r>
          </w:p>
        </w:tc>
        <w:tc>
          <w:tcPr>
            <w:tcW w:w="1120" w:type="dxa"/>
            <w:tcBorders>
              <w:top w:val="nil"/>
              <w:left w:val="nil"/>
              <w:bottom w:val="single" w:sz="4" w:space="0" w:color="auto"/>
              <w:right w:val="single" w:sz="4" w:space="0" w:color="auto"/>
              <w:tl2br w:val="nil"/>
              <w:tr2bl w:val="nil"/>
            </w:tcBorders>
            <w:shd w:val="clear" w:color="auto" w:fill="C0C0C0"/>
            <w:textDirection w:val="lrTb"/>
            <w:vAlign w:val="center"/>
          </w:tcPr>
          <w:p w:rsidR="00F105AC" w:rsidRPr="00B70FAD" w:rsidP="00F105AC">
            <w:pPr>
              <w:jc w:val="right"/>
              <w:rPr>
                <w:rFonts w:ascii="Arial Narrow" w:hAnsi="Arial Narrow" w:cs="Arial"/>
                <w:b/>
                <w:bCs/>
                <w:sz w:val="20"/>
                <w:lang w:eastAsia="sk-SK"/>
              </w:rPr>
            </w:pPr>
            <w:r w:rsidRPr="00B70FAD">
              <w:rPr>
                <w:rFonts w:ascii="Arial Narrow" w:hAnsi="Arial Narrow" w:cs="Arial"/>
                <w:b/>
                <w:bCs/>
                <w:sz w:val="20"/>
                <w:lang w:eastAsia="sk-SK"/>
              </w:rPr>
              <w:t>0,0</w:t>
            </w:r>
          </w:p>
        </w:tc>
      </w:tr>
    </w:tbl>
    <w:p w:rsidR="00F105AC" w:rsidP="00F105AC">
      <w:pPr>
        <w:pStyle w:val="Heading2"/>
        <w:spacing w:before="0" w:after="0"/>
        <w:rPr>
          <w:rFonts w:ascii="Arial Narrow" w:hAnsi="Arial Narrow"/>
          <w:i w:val="0"/>
          <w:iCs w:val="0"/>
          <w:sz w:val="24"/>
        </w:rPr>
      </w:pPr>
    </w:p>
    <w:p w:rsidR="00F105AC" w:rsidRPr="00E60EA5" w:rsidP="00F105AC">
      <w:pPr>
        <w:pStyle w:val="Heading2"/>
        <w:rPr>
          <w:rFonts w:ascii="Arial Narrow" w:hAnsi="Arial Narrow"/>
          <w:i w:val="0"/>
          <w:iCs w:val="0"/>
          <w:sz w:val="24"/>
        </w:rPr>
      </w:pPr>
      <w:bookmarkStart w:id="34" w:name="_Toc206478402"/>
      <w:bookmarkStart w:id="35" w:name="_Toc211592393"/>
      <w:bookmarkEnd w:id="32"/>
      <w:bookmarkEnd w:id="33"/>
      <w:r w:rsidRPr="00681654">
        <w:rPr>
          <w:rFonts w:ascii="Arial Narrow" w:hAnsi="Arial Narrow"/>
          <w:i w:val="0"/>
          <w:iCs w:val="0"/>
          <w:sz w:val="24"/>
        </w:rPr>
        <w:t>2.3</w:t>
      </w:r>
      <w:r>
        <w:rPr>
          <w:rFonts w:ascii="Arial Narrow" w:hAnsi="Arial Narrow"/>
          <w:i w:val="0"/>
          <w:iCs w:val="0"/>
          <w:sz w:val="24"/>
        </w:rPr>
        <w:t>.</w:t>
      </w:r>
      <w:r w:rsidRPr="00681654">
        <w:rPr>
          <w:rFonts w:ascii="Arial Narrow" w:hAnsi="Arial Narrow"/>
          <w:i w:val="0"/>
          <w:iCs w:val="0"/>
          <w:sz w:val="24"/>
        </w:rPr>
        <w:t xml:space="preserve"> Dlh verejnej správy</w:t>
      </w:r>
      <w:bookmarkEnd w:id="34"/>
      <w:bookmarkEnd w:id="35"/>
      <w:r>
        <w:rPr>
          <w:rFonts w:ascii="Arial Narrow" w:hAnsi="Arial Narrow"/>
          <w:i w:val="0"/>
          <w:iCs w:val="0"/>
          <w:sz w:val="24"/>
        </w:rPr>
        <w:t xml:space="preserve">       </w:t>
      </w:r>
    </w:p>
    <w:p w:rsidR="00F105AC" w:rsidRPr="00D47C41" w:rsidP="00F105AC">
      <w:pPr>
        <w:spacing w:before="240"/>
        <w:ind w:firstLine="709"/>
        <w:jc w:val="both"/>
        <w:rPr>
          <w:rFonts w:ascii="Arial Narrow" w:hAnsi="Arial Narrow" w:cs="Times New Roman"/>
          <w:sz w:val="22"/>
          <w:szCs w:val="22"/>
        </w:rPr>
      </w:pPr>
      <w:r w:rsidRPr="00D47C41">
        <w:rPr>
          <w:rFonts w:ascii="Arial Narrow" w:hAnsi="Arial Narrow" w:cs="Times New Roman"/>
          <w:sz w:val="22"/>
          <w:szCs w:val="22"/>
        </w:rPr>
        <w:t>Podľa odhadov MF SR poklesne hrubý dlh verejnej správy</w:t>
      </w:r>
      <w:r>
        <w:rPr>
          <w:rStyle w:val="FootnoteReference"/>
          <w:rFonts w:ascii="Arial Narrow" w:hAnsi="Arial Narrow" w:cs="Times New Roman"/>
          <w:sz w:val="22"/>
          <w:szCs w:val="22"/>
          <w:rtl w:val="0"/>
        </w:rPr>
        <w:footnoteReference w:id="1"/>
      </w:r>
      <w:r w:rsidRPr="00D47C41">
        <w:rPr>
          <w:rFonts w:ascii="Arial Narrow" w:hAnsi="Arial Narrow" w:cs="Times New Roman"/>
          <w:sz w:val="22"/>
          <w:szCs w:val="22"/>
        </w:rPr>
        <w:t xml:space="preserve"> medzi rokmi 2008 a 2011 z úrovne </w:t>
      </w:r>
      <w:r>
        <w:rPr>
          <w:rFonts w:ascii="Arial Narrow" w:hAnsi="Arial Narrow" w:cs="Times New Roman"/>
          <w:sz w:val="22"/>
          <w:szCs w:val="22"/>
        </w:rPr>
        <w:t xml:space="preserve">         </w:t>
      </w:r>
      <w:r w:rsidRPr="00443038">
        <w:rPr>
          <w:rFonts w:ascii="Arial Narrow" w:hAnsi="Arial Narrow" w:cs="Times New Roman"/>
          <w:sz w:val="22"/>
          <w:szCs w:val="22"/>
        </w:rPr>
        <w:t>28,</w:t>
      </w:r>
      <w:r>
        <w:rPr>
          <w:rFonts w:ascii="Arial Narrow" w:hAnsi="Arial Narrow" w:cs="Times New Roman"/>
          <w:sz w:val="22"/>
          <w:szCs w:val="22"/>
        </w:rPr>
        <w:t xml:space="preserve">7 </w:t>
      </w:r>
      <w:r w:rsidRPr="00443038">
        <w:rPr>
          <w:rFonts w:ascii="Arial Narrow" w:hAnsi="Arial Narrow" w:cs="Times New Roman"/>
          <w:sz w:val="22"/>
          <w:szCs w:val="22"/>
        </w:rPr>
        <w:t xml:space="preserve">% HDP </w:t>
      </w:r>
      <w:r w:rsidRPr="00D47C41">
        <w:rPr>
          <w:rFonts w:ascii="Arial Narrow" w:hAnsi="Arial Narrow" w:cs="Times New Roman"/>
          <w:sz w:val="22"/>
          <w:szCs w:val="22"/>
        </w:rPr>
        <w:t xml:space="preserve">na úroveň </w:t>
      </w:r>
      <w:r w:rsidRPr="00443038">
        <w:rPr>
          <w:rFonts w:ascii="Arial Narrow" w:hAnsi="Arial Narrow" w:cs="Times New Roman"/>
          <w:sz w:val="22"/>
          <w:szCs w:val="22"/>
        </w:rPr>
        <w:t>2</w:t>
      </w:r>
      <w:r>
        <w:rPr>
          <w:rFonts w:ascii="Arial Narrow" w:hAnsi="Arial Narrow" w:cs="Times New Roman"/>
          <w:sz w:val="22"/>
          <w:szCs w:val="22"/>
        </w:rPr>
        <w:t xml:space="preserve">5,2 </w:t>
      </w:r>
      <w:r w:rsidRPr="00443038">
        <w:rPr>
          <w:rFonts w:ascii="Arial Narrow" w:hAnsi="Arial Narrow" w:cs="Times New Roman"/>
          <w:sz w:val="22"/>
          <w:szCs w:val="22"/>
        </w:rPr>
        <w:t>% HDP</w:t>
      </w:r>
      <w:r w:rsidRPr="007F0804">
        <w:rPr>
          <w:rFonts w:ascii="Arial Narrow" w:hAnsi="Arial Narrow" w:cs="Times New Roman"/>
          <w:sz w:val="22"/>
          <w:szCs w:val="22"/>
        </w:rPr>
        <w:t xml:space="preserve">. </w:t>
      </w:r>
      <w:r w:rsidRPr="00D47C41">
        <w:rPr>
          <w:rFonts w:ascii="Arial Narrow" w:hAnsi="Arial Narrow" w:cs="Times New Roman"/>
          <w:sz w:val="22"/>
          <w:szCs w:val="22"/>
        </w:rPr>
        <w:t>Verejný dlh je z</w:t>
      </w:r>
      <w:r>
        <w:rPr>
          <w:rFonts w:ascii="Arial Narrow" w:hAnsi="Arial Narrow" w:cs="Times New Roman"/>
          <w:sz w:val="22"/>
          <w:szCs w:val="22"/>
        </w:rPr>
        <w:t> </w:t>
      </w:r>
      <w:r w:rsidRPr="00D47C41">
        <w:rPr>
          <w:rFonts w:ascii="Arial Narrow" w:hAnsi="Arial Narrow" w:cs="Times New Roman"/>
          <w:sz w:val="22"/>
          <w:szCs w:val="22"/>
        </w:rPr>
        <w:t>96</w:t>
      </w:r>
      <w:r>
        <w:rPr>
          <w:rFonts w:ascii="Arial Narrow" w:hAnsi="Arial Narrow" w:cs="Times New Roman"/>
          <w:sz w:val="22"/>
          <w:szCs w:val="22"/>
        </w:rPr>
        <w:t xml:space="preserve"> </w:t>
      </w:r>
      <w:r w:rsidRPr="00D47C41">
        <w:rPr>
          <w:rFonts w:ascii="Arial Narrow" w:hAnsi="Arial Narrow" w:cs="Times New Roman"/>
          <w:sz w:val="22"/>
          <w:szCs w:val="22"/>
        </w:rPr>
        <w:t>% tvorený štátnym dlhom a tento pomer sa výrazne nezmení ani v prognózovanom období. Zvyšok tvorí dlh ost</w:t>
      </w:r>
      <w:r w:rsidRPr="00D47C41">
        <w:rPr>
          <w:rFonts w:ascii="Arial Narrow" w:hAnsi="Arial Narrow" w:cs="Times New Roman"/>
          <w:sz w:val="22"/>
          <w:szCs w:val="22"/>
        </w:rPr>
        <w:t>atných subjektov verejnej správy.</w:t>
      </w:r>
    </w:p>
    <w:p w:rsidR="00F105AC" w:rsidRPr="00962FEB" w:rsidP="00F105AC">
      <w:pPr>
        <w:jc w:val="both"/>
        <w:rPr>
          <w:rFonts w:ascii="Arial Narrow" w:hAnsi="Arial Narrow" w:cs="Times New Roman"/>
          <w:sz w:val="22"/>
          <w:szCs w:val="22"/>
          <w:highlight w:val="yellow"/>
        </w:rPr>
      </w:pPr>
    </w:p>
    <w:tbl>
      <w:tblPr>
        <w:tblW w:w="930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859"/>
        <w:gridCol w:w="888"/>
        <w:gridCol w:w="888"/>
        <w:gridCol w:w="888"/>
        <w:gridCol w:w="888"/>
        <w:gridCol w:w="889"/>
      </w:tblGrid>
      <w:tr>
        <w:tblPrEx>
          <w:tblW w:w="930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9300" w:type="dxa"/>
            <w:gridSpan w:val="6"/>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F105AC" w:rsidRPr="00467928" w:rsidP="00F105AC">
            <w:pPr>
              <w:rPr>
                <w:rFonts w:ascii="Arial Narrow" w:hAnsi="Arial Narrow" w:cs="Times New Roman"/>
                <w:b/>
                <w:bCs/>
                <w:color w:val="FFFFFF"/>
                <w:sz w:val="20"/>
                <w:lang w:eastAsia="sk-SK"/>
              </w:rPr>
            </w:pPr>
            <w:r w:rsidRPr="00467928">
              <w:rPr>
                <w:rFonts w:ascii="Arial Narrow" w:hAnsi="Arial Narrow" w:cs="Times New Roman"/>
                <w:b/>
                <w:bCs/>
                <w:color w:val="FFFFFF"/>
                <w:sz w:val="20"/>
                <w:lang w:eastAsia="sk-SK"/>
              </w:rPr>
              <w:t>Hrubý dlh</w:t>
            </w:r>
            <w:r>
              <w:rPr>
                <w:rFonts w:ascii="Arial Narrow" w:hAnsi="Arial Narrow" w:cs="Times New Roman"/>
                <w:b/>
                <w:bCs/>
                <w:color w:val="FFFFFF"/>
                <w:sz w:val="20"/>
                <w:lang w:eastAsia="sk-SK"/>
              </w:rPr>
              <w:t xml:space="preserve"> verejnej správy (</w:t>
            </w:r>
            <w:r w:rsidRPr="00467928">
              <w:rPr>
                <w:rFonts w:ascii="Arial Narrow" w:hAnsi="Arial Narrow" w:cs="Times New Roman"/>
                <w:b/>
                <w:bCs/>
                <w:color w:val="FFFFFF"/>
                <w:sz w:val="20"/>
                <w:lang w:eastAsia="sk-SK"/>
              </w:rPr>
              <w:t>mil. eur)</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 </w:t>
            </w:r>
          </w:p>
        </w:tc>
        <w:tc>
          <w:tcPr>
            <w:tcW w:w="88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2007</w:t>
            </w:r>
          </w:p>
        </w:tc>
        <w:tc>
          <w:tcPr>
            <w:tcW w:w="88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2008E</w:t>
            </w:r>
          </w:p>
        </w:tc>
        <w:tc>
          <w:tcPr>
            <w:tcW w:w="88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2009F</w:t>
            </w:r>
          </w:p>
        </w:tc>
        <w:tc>
          <w:tcPr>
            <w:tcW w:w="88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2010F</w:t>
            </w:r>
          </w:p>
        </w:tc>
        <w:tc>
          <w:tcPr>
            <w:tcW w:w="889"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2011F</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rPr>
                <w:rFonts w:ascii="Arial Narrow" w:hAnsi="Arial Narrow" w:cs="Times New Roman"/>
                <w:b/>
                <w:bCs/>
                <w:sz w:val="20"/>
                <w:lang w:eastAsia="sk-SK"/>
              </w:rPr>
            </w:pPr>
            <w:r w:rsidRPr="00467928">
              <w:rPr>
                <w:rFonts w:ascii="Arial Narrow" w:hAnsi="Arial Narrow" w:cs="Times New Roman"/>
                <w:b/>
                <w:bCs/>
                <w:sz w:val="20"/>
                <w:lang w:eastAsia="sk-SK"/>
              </w:rPr>
              <w:t>Hrubý dlh verejnej správy (mil. Sk)</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18 05</w:t>
            </w:r>
            <w:r w:rsidR="002046EB">
              <w:rPr>
                <w:rFonts w:ascii="Arial Narrow" w:hAnsi="Arial Narrow" w:cs="Times New Roman"/>
                <w:b/>
                <w:bCs/>
                <w:sz w:val="20"/>
                <w:lang w:eastAsia="sk-SK"/>
              </w:rPr>
              <w:t>3</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19 67</w:t>
            </w:r>
            <w:r>
              <w:rPr>
                <w:rFonts w:ascii="Arial Narrow" w:hAnsi="Arial Narrow" w:cs="Times New Roman"/>
                <w:b/>
                <w:bCs/>
                <w:sz w:val="20"/>
                <w:lang w:eastAsia="sk-SK"/>
              </w:rPr>
              <w:t>3</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21 138</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22 134</w:t>
            </w:r>
          </w:p>
        </w:tc>
        <w:tc>
          <w:tcPr>
            <w:tcW w:w="88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22 341</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 xml:space="preserve">  - štátny dlh</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17 335</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18 789</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20 180</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21 092</w:t>
            </w:r>
          </w:p>
        </w:tc>
        <w:tc>
          <w:tcPr>
            <w:tcW w:w="88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21 226</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z toho štátne záruky*</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c>
          <w:tcPr>
            <w:tcW w:w="88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 xml:space="preserve">  - dlh</w:t>
            </w:r>
            <w:r w:rsidRPr="00467928">
              <w:rPr>
                <w:rFonts w:ascii="Arial Narrow" w:hAnsi="Arial Narrow" w:cs="Times New Roman"/>
                <w:sz w:val="20"/>
                <w:lang w:eastAsia="sk-SK"/>
              </w:rPr>
              <w:t xml:space="preserve"> ostatných zložiek verejnej správy</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717</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884</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957</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1 042</w:t>
            </w:r>
          </w:p>
        </w:tc>
        <w:tc>
          <w:tcPr>
            <w:tcW w:w="88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1 115</w:t>
            </w:r>
          </w:p>
        </w:tc>
      </w:tr>
      <w:tr>
        <w:tblPrEx>
          <w:tblW w:w="9300" w:type="dxa"/>
          <w:jc w:val="center"/>
          <w:tblInd w:w="58" w:type="dxa"/>
          <w:tblCellMar>
            <w:left w:w="70" w:type="dxa"/>
            <w:right w:w="70" w:type="dxa"/>
          </w:tblCellMar>
        </w:tblPrEx>
        <w:trPr>
          <w:trHeight w:val="360"/>
          <w:jc w:val="center"/>
        </w:trPr>
        <w:tc>
          <w:tcPr>
            <w:tcW w:w="485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rPr>
                <w:rFonts w:ascii="Arial Narrow" w:hAnsi="Arial Narrow" w:cs="Times New Roman"/>
                <w:b/>
                <w:bCs/>
                <w:sz w:val="20"/>
                <w:lang w:eastAsia="sk-SK"/>
              </w:rPr>
            </w:pPr>
            <w:r w:rsidRPr="00467928">
              <w:rPr>
                <w:rFonts w:ascii="Arial Narrow" w:hAnsi="Arial Narrow" w:cs="Times New Roman"/>
                <w:b/>
                <w:bCs/>
                <w:sz w:val="20"/>
                <w:lang w:eastAsia="sk-SK"/>
              </w:rPr>
              <w:t>Hrubý dlh verejnej správy (% HDP)</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29,4</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28,</w:t>
            </w:r>
            <w:r>
              <w:rPr>
                <w:rFonts w:ascii="Arial Narrow" w:hAnsi="Arial Narrow" w:cs="Times New Roman"/>
                <w:b/>
                <w:bCs/>
                <w:sz w:val="20"/>
                <w:lang w:eastAsia="sk-SK"/>
              </w:rPr>
              <w:t>7</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28,2</w:t>
            </w:r>
          </w:p>
        </w:tc>
        <w:tc>
          <w:tcPr>
            <w:tcW w:w="88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27,2</w:t>
            </w:r>
          </w:p>
        </w:tc>
        <w:tc>
          <w:tcPr>
            <w:tcW w:w="88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25,2</w:t>
            </w:r>
          </w:p>
        </w:tc>
      </w:tr>
    </w:tbl>
    <w:p w:rsidR="00F105AC" w:rsidRPr="00A60B0D" w:rsidP="00F105AC">
      <w:pPr>
        <w:tabs>
          <w:tab w:val="left" w:pos="4773"/>
        </w:tabs>
        <w:rPr>
          <w:rFonts w:ascii="Arial Narrow" w:hAnsi="Arial Narrow" w:cs="Times New Roman"/>
          <w:bCs/>
          <w:i/>
          <w:sz w:val="16"/>
          <w:szCs w:val="16"/>
        </w:rPr>
      </w:pPr>
      <w:r>
        <w:rPr>
          <w:rFonts w:ascii="Arial Narrow" w:hAnsi="Arial Narrow" w:cs="Times New Roman"/>
          <w:bCs/>
          <w:i/>
          <w:sz w:val="16"/>
          <w:szCs w:val="16"/>
        </w:rPr>
        <w:t xml:space="preserve">Pozn.: * </w:t>
      </w:r>
      <w:r w:rsidRPr="00A60B0D">
        <w:rPr>
          <w:rFonts w:ascii="Arial Narrow" w:hAnsi="Arial Narrow" w:cs="Times New Roman"/>
          <w:bCs/>
          <w:i/>
          <w:sz w:val="16"/>
          <w:szCs w:val="16"/>
        </w:rPr>
        <w:t>V priebehu roku 2007 boli všetky rizikové štátne záruky prevzaté do štátneho dlhu. Do budúcnosti sa neuvažuje s poskytovaním ta</w:t>
      </w:r>
      <w:r w:rsidRPr="00A60B0D">
        <w:rPr>
          <w:rFonts w:ascii="Arial Narrow" w:hAnsi="Arial Narrow" w:cs="Times New Roman"/>
          <w:bCs/>
          <w:i/>
          <w:sz w:val="16"/>
          <w:szCs w:val="16"/>
        </w:rPr>
        <w:t xml:space="preserve">kýchto záruk. </w:t>
      </w:r>
    </w:p>
    <w:p w:rsidR="00F105AC" w:rsidP="00F105AC">
      <w:pPr>
        <w:ind w:firstLine="708"/>
        <w:jc w:val="both"/>
        <w:rPr>
          <w:rFonts w:ascii="Arial Narrow" w:hAnsi="Arial Narrow" w:cs="Times New Roman"/>
          <w:sz w:val="22"/>
          <w:szCs w:val="22"/>
        </w:rPr>
      </w:pPr>
    </w:p>
    <w:p w:rsidR="00F105AC" w:rsidRPr="00E62913" w:rsidP="00F105AC">
      <w:pPr>
        <w:ind w:firstLine="708"/>
        <w:jc w:val="both"/>
        <w:rPr>
          <w:rFonts w:ascii="Arial Narrow" w:hAnsi="Arial Narrow" w:cs="Times New Roman"/>
          <w:sz w:val="22"/>
          <w:szCs w:val="22"/>
        </w:rPr>
      </w:pPr>
      <w:r w:rsidRPr="00D47C41">
        <w:rPr>
          <w:rFonts w:ascii="Arial Narrow" w:hAnsi="Arial Narrow" w:cs="Times New Roman"/>
          <w:sz w:val="22"/>
          <w:szCs w:val="22"/>
        </w:rPr>
        <w:t>Pokračujúca fiškálna konsolidácia a zdravý ekonomický rast sú dôležitými ekonomickými faktormi poklesu dlhu. Odhad výšky verejného dlhu na roky 2008 až 2011 však ovplyvňuje hlavne predpokladaný vývoj vo verejných financiách.</w:t>
      </w:r>
      <w:r w:rsidRPr="00E62913">
        <w:rPr>
          <w:rFonts w:ascii="Arial Narrow" w:hAnsi="Arial Narrow" w:cs="Times New Roman"/>
          <w:sz w:val="22"/>
          <w:szCs w:val="22"/>
        </w:rPr>
        <w:t xml:space="preserve"> </w:t>
      </w:r>
    </w:p>
    <w:p w:rsidR="00F105AC" w:rsidP="00F105AC">
      <w:pPr>
        <w:jc w:val="both"/>
        <w:rPr>
          <w:rFonts w:ascii="Arial Narrow" w:hAnsi="Arial Narrow" w:cs="Times New Roman"/>
          <w:sz w:val="22"/>
          <w:szCs w:val="22"/>
          <w:highlight w:val="yellow"/>
        </w:rPr>
      </w:pPr>
    </w:p>
    <w:tbl>
      <w:tblPr>
        <w:tblW w:w="930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820"/>
        <w:gridCol w:w="1120"/>
        <w:gridCol w:w="1120"/>
        <w:gridCol w:w="1120"/>
        <w:gridCol w:w="1120"/>
      </w:tblGrid>
      <w:tr>
        <w:tblPrEx>
          <w:tblW w:w="930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9300"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F105AC" w:rsidRPr="00467928" w:rsidP="00F105AC">
            <w:pPr>
              <w:rPr>
                <w:rFonts w:ascii="Arial Narrow" w:hAnsi="Arial Narrow" w:cs="Times New Roman"/>
                <w:b/>
                <w:bCs/>
                <w:color w:val="FFFFFF"/>
                <w:sz w:val="20"/>
                <w:lang w:eastAsia="sk-SK"/>
              </w:rPr>
            </w:pPr>
            <w:r w:rsidRPr="00467928">
              <w:rPr>
                <w:rFonts w:ascii="Arial Narrow" w:hAnsi="Arial Narrow" w:cs="Times New Roman"/>
                <w:b/>
                <w:bCs/>
                <w:color w:val="FFFFFF"/>
                <w:sz w:val="20"/>
                <w:lang w:eastAsia="sk-SK"/>
              </w:rPr>
              <w:t>Vplyvy na zme</w:t>
            </w:r>
            <w:r w:rsidRPr="00467928">
              <w:rPr>
                <w:rFonts w:ascii="Arial Narrow" w:hAnsi="Arial Narrow" w:cs="Times New Roman"/>
                <w:b/>
                <w:bCs/>
                <w:color w:val="FFFFFF"/>
                <w:sz w:val="20"/>
                <w:lang w:eastAsia="sk-SK"/>
              </w:rPr>
              <w:t>nu hrubého dlhu verejnej správy (mil. eur)</w:t>
            </w:r>
          </w:p>
        </w:tc>
      </w:tr>
      <w:tr>
        <w:tblPrEx>
          <w:tblW w:w="9300" w:type="dxa"/>
          <w:jc w:val="center"/>
          <w:tblInd w:w="58" w:type="dxa"/>
          <w:tblCellMar>
            <w:left w:w="70" w:type="dxa"/>
            <w:right w:w="70" w:type="dxa"/>
          </w:tblCellMar>
        </w:tblPrEx>
        <w:trPr>
          <w:trHeight w:val="360"/>
          <w:jc w:val="center"/>
        </w:trPr>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467928" w:rsidP="00F105AC">
            <w:pPr>
              <w:jc w:val="both"/>
              <w:rPr>
                <w:rFonts w:ascii="Arial Narrow" w:hAnsi="Arial Narrow" w:cs="Times New Roman"/>
                <w:b/>
                <w:bCs/>
                <w:sz w:val="20"/>
                <w:lang w:eastAsia="sk-SK"/>
              </w:rPr>
            </w:pPr>
            <w:r w:rsidRPr="00467928">
              <w:rPr>
                <w:rFonts w:ascii="Arial Narrow" w:hAnsi="Arial Narrow" w:cs="Times New Roman"/>
                <w:b/>
                <w:bCs/>
                <w:sz w:val="20"/>
                <w:lang w:eastAsia="sk-SK"/>
              </w:rPr>
              <w:t> </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2008E*</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2009F</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2010F</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105AC" w:rsidRPr="00467928" w:rsidP="00F105AC">
            <w:pPr>
              <w:jc w:val="center"/>
              <w:rPr>
                <w:rFonts w:ascii="Arial Narrow" w:hAnsi="Arial Narrow" w:cs="Times New Roman"/>
                <w:b/>
                <w:bCs/>
                <w:sz w:val="20"/>
                <w:lang w:eastAsia="sk-SK"/>
              </w:rPr>
            </w:pPr>
            <w:r w:rsidRPr="00467928">
              <w:rPr>
                <w:rFonts w:ascii="Arial Narrow" w:hAnsi="Arial Narrow" w:cs="Times New Roman"/>
                <w:b/>
                <w:bCs/>
                <w:sz w:val="20"/>
                <w:lang w:eastAsia="sk-SK"/>
              </w:rPr>
              <w:t>2011F</w:t>
            </w:r>
          </w:p>
        </w:tc>
      </w:tr>
      <w:tr>
        <w:tblPrEx>
          <w:tblW w:w="9300" w:type="dxa"/>
          <w:jc w:val="center"/>
          <w:tblInd w:w="58" w:type="dxa"/>
          <w:tblCellMar>
            <w:left w:w="70" w:type="dxa"/>
            <w:right w:w="70" w:type="dxa"/>
          </w:tblCellMar>
        </w:tblPrEx>
        <w:trPr>
          <w:trHeight w:val="360"/>
          <w:jc w:val="center"/>
        </w:trPr>
        <w:tc>
          <w:tcPr>
            <w:tcW w:w="48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Saldo ŠR na hotovostnom princípe</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886</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887</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465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134</w:t>
            </w:r>
          </w:p>
        </w:tc>
      </w:tr>
      <w:tr>
        <w:tblPrEx>
          <w:tblW w:w="9300" w:type="dxa"/>
          <w:jc w:val="center"/>
          <w:tblInd w:w="58" w:type="dxa"/>
          <w:tblCellMar>
            <w:left w:w="70" w:type="dxa"/>
            <w:right w:w="70" w:type="dxa"/>
          </w:tblCellMar>
        </w:tblPrEx>
        <w:trPr>
          <w:trHeight w:val="360"/>
          <w:jc w:val="center"/>
        </w:trPr>
        <w:tc>
          <w:tcPr>
            <w:tcW w:w="48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Úvery obcí, VÚC</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167</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73</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85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73</w:t>
            </w:r>
          </w:p>
        </w:tc>
      </w:tr>
      <w:tr>
        <w:tblPrEx>
          <w:tblW w:w="9300" w:type="dxa"/>
          <w:jc w:val="center"/>
          <w:tblInd w:w="58" w:type="dxa"/>
          <w:tblCellMar>
            <w:left w:w="70" w:type="dxa"/>
            <w:right w:w="70" w:type="dxa"/>
          </w:tblCellMar>
        </w:tblPrEx>
        <w:trPr>
          <w:trHeight w:val="480"/>
          <w:jc w:val="center"/>
        </w:trPr>
        <w:tc>
          <w:tcPr>
            <w:tcW w:w="48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rPr>
                <w:rFonts w:ascii="Arial Narrow" w:hAnsi="Arial Narrow" w:cs="Times New Roman"/>
                <w:sz w:val="20"/>
                <w:lang w:eastAsia="sk-SK"/>
              </w:rPr>
            </w:pPr>
            <w:r w:rsidRPr="00467928">
              <w:rPr>
                <w:rFonts w:ascii="Arial Narrow" w:hAnsi="Arial Narrow" w:cs="Times New Roman"/>
                <w:sz w:val="20"/>
                <w:lang w:eastAsia="sk-SK"/>
              </w:rPr>
              <w:t>Pokles výpožičiek zo Štátnej pokladnice (II. pilier dôch. systému)</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568</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505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446</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sz w:val="20"/>
                <w:lang w:eastAsia="sk-SK"/>
              </w:rPr>
            </w:pPr>
            <w:r w:rsidRPr="00467928">
              <w:rPr>
                <w:rFonts w:ascii="Arial Narrow" w:hAnsi="Arial Narrow" w:cs="Times New Roman"/>
                <w:sz w:val="20"/>
                <w:lang w:eastAsia="sk-SK"/>
              </w:rPr>
              <w:t>0</w:t>
            </w:r>
          </w:p>
        </w:tc>
      </w:tr>
      <w:tr>
        <w:tblPrEx>
          <w:tblW w:w="9300" w:type="dxa"/>
          <w:jc w:val="center"/>
          <w:tblInd w:w="58" w:type="dxa"/>
          <w:tblCellMar>
            <w:left w:w="70" w:type="dxa"/>
            <w:right w:w="70" w:type="dxa"/>
          </w:tblCellMar>
        </w:tblPrEx>
        <w:trPr>
          <w:trHeight w:val="360"/>
          <w:jc w:val="center"/>
        </w:trPr>
        <w:tc>
          <w:tcPr>
            <w:tcW w:w="48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both"/>
              <w:rPr>
                <w:rFonts w:ascii="Arial Narrow" w:hAnsi="Arial Narrow" w:cs="Times New Roman"/>
                <w:b/>
                <w:bCs/>
                <w:sz w:val="20"/>
                <w:lang w:eastAsia="sk-SK"/>
              </w:rPr>
            </w:pPr>
            <w:r w:rsidRPr="00467928">
              <w:rPr>
                <w:rFonts w:ascii="Arial Narrow" w:hAnsi="Arial Narrow" w:cs="Times New Roman"/>
                <w:b/>
                <w:bCs/>
                <w:sz w:val="20"/>
                <w:lang w:eastAsia="sk-SK"/>
              </w:rPr>
              <w:t>Spolu (medziročná zmen</w:t>
            </w:r>
            <w:r w:rsidRPr="00467928">
              <w:rPr>
                <w:rFonts w:ascii="Arial Narrow" w:hAnsi="Arial Narrow" w:cs="Times New Roman"/>
                <w:b/>
                <w:bCs/>
                <w:sz w:val="20"/>
                <w:lang w:eastAsia="sk-SK"/>
              </w:rPr>
              <w:t>a hrubého dlhu VS)</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1 621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1 46</w:t>
            </w:r>
            <w:r>
              <w:rPr>
                <w:rFonts w:ascii="Arial Narrow" w:hAnsi="Arial Narrow" w:cs="Times New Roman"/>
                <w:b/>
                <w:bCs/>
                <w:sz w:val="20"/>
                <w:lang w:eastAsia="sk-SK"/>
              </w:rPr>
              <w:t>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996</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105AC" w:rsidRPr="00467928" w:rsidP="00F105AC">
            <w:pPr>
              <w:jc w:val="right"/>
              <w:rPr>
                <w:rFonts w:ascii="Arial Narrow" w:hAnsi="Arial Narrow" w:cs="Times New Roman"/>
                <w:b/>
                <w:bCs/>
                <w:sz w:val="20"/>
                <w:lang w:eastAsia="sk-SK"/>
              </w:rPr>
            </w:pPr>
            <w:r w:rsidRPr="00467928">
              <w:rPr>
                <w:rFonts w:ascii="Arial Narrow" w:hAnsi="Arial Narrow" w:cs="Times New Roman"/>
                <w:b/>
                <w:bCs/>
                <w:sz w:val="20"/>
                <w:lang w:eastAsia="sk-SK"/>
              </w:rPr>
              <w:t>207</w:t>
            </w:r>
          </w:p>
        </w:tc>
      </w:tr>
    </w:tbl>
    <w:p w:rsidR="00F105AC" w:rsidP="00F105AC">
      <w:pPr>
        <w:tabs>
          <w:tab w:val="left" w:pos="4773"/>
        </w:tabs>
        <w:rPr>
          <w:rFonts w:ascii="Arial Narrow" w:hAnsi="Arial Narrow" w:cs="Times New Roman"/>
          <w:bCs/>
          <w:i/>
          <w:sz w:val="16"/>
          <w:szCs w:val="16"/>
        </w:rPr>
      </w:pPr>
      <w:r>
        <w:rPr>
          <w:rFonts w:ascii="Arial Narrow" w:hAnsi="Arial Narrow" w:cs="Times New Roman"/>
          <w:bCs/>
          <w:i/>
          <w:sz w:val="16"/>
          <w:szCs w:val="16"/>
        </w:rPr>
        <w:t xml:space="preserve">Pozn.: </w:t>
      </w:r>
      <w:r w:rsidRPr="00F50F3C">
        <w:rPr>
          <w:rFonts w:ascii="Arial Narrow" w:hAnsi="Arial Narrow" w:cs="Times New Roman"/>
          <w:bCs/>
          <w:i/>
          <w:sz w:val="16"/>
          <w:szCs w:val="16"/>
        </w:rPr>
        <w:t>Plusové položky zvyšujú verejný dlh  k 31.12. príslušného roku, mínusové položky znižujú dlh.</w:t>
      </w:r>
    </w:p>
    <w:p w:rsidR="00F105AC" w:rsidP="00F105AC">
      <w:pPr>
        <w:tabs>
          <w:tab w:val="left" w:pos="4773"/>
        </w:tabs>
        <w:rPr>
          <w:rFonts w:ascii="Arial Narrow" w:hAnsi="Arial Narrow" w:cs="Times New Roman"/>
          <w:bCs/>
          <w:sz w:val="16"/>
          <w:szCs w:val="16"/>
        </w:rPr>
      </w:pPr>
      <w:r>
        <w:rPr>
          <w:rFonts w:ascii="Arial Narrow" w:hAnsi="Arial Narrow" w:cs="Times New Roman"/>
          <w:bCs/>
          <w:i/>
          <w:sz w:val="16"/>
          <w:szCs w:val="16"/>
        </w:rPr>
        <w:t xml:space="preserve">          * Údaje za rok 2008 sú aktualizované na základe S</w:t>
      </w:r>
      <w:r w:rsidRPr="008D522F">
        <w:rPr>
          <w:rFonts w:ascii="Arial Narrow" w:hAnsi="Arial Narrow" w:cs="Times New Roman"/>
          <w:bCs/>
          <w:sz w:val="16"/>
          <w:szCs w:val="16"/>
        </w:rPr>
        <w:t>práv</w:t>
      </w:r>
      <w:r>
        <w:rPr>
          <w:rFonts w:ascii="Arial Narrow" w:hAnsi="Arial Narrow" w:cs="Times New Roman"/>
          <w:bCs/>
          <w:sz w:val="16"/>
          <w:szCs w:val="16"/>
        </w:rPr>
        <w:t>y</w:t>
      </w:r>
      <w:r w:rsidRPr="008D522F">
        <w:rPr>
          <w:rFonts w:ascii="Arial Narrow" w:hAnsi="Arial Narrow" w:cs="Times New Roman"/>
          <w:bCs/>
          <w:sz w:val="16"/>
          <w:szCs w:val="16"/>
        </w:rPr>
        <w:t xml:space="preserve"> o makroekonomickom prostredí a vývoji verejných fi</w:t>
      </w:r>
      <w:r w:rsidRPr="008D522F">
        <w:rPr>
          <w:rFonts w:ascii="Arial Narrow" w:hAnsi="Arial Narrow" w:cs="Times New Roman"/>
          <w:bCs/>
          <w:sz w:val="16"/>
          <w:szCs w:val="16"/>
        </w:rPr>
        <w:t xml:space="preserve">nancií SR za I. polrok 2008 a predikcii </w:t>
      </w:r>
      <w:r>
        <w:rPr>
          <w:rFonts w:ascii="Arial Narrow" w:hAnsi="Arial Narrow" w:cs="Times New Roman"/>
          <w:bCs/>
          <w:sz w:val="16"/>
          <w:szCs w:val="16"/>
        </w:rPr>
        <w:t xml:space="preserve"> </w:t>
      </w:r>
    </w:p>
    <w:p w:rsidR="00F105AC" w:rsidRPr="008D522F" w:rsidP="00F105AC">
      <w:pPr>
        <w:tabs>
          <w:tab w:val="left" w:pos="4773"/>
        </w:tabs>
        <w:rPr>
          <w:rFonts w:ascii="Arial Narrow" w:hAnsi="Arial Narrow" w:cs="Times New Roman"/>
          <w:bCs/>
          <w:sz w:val="16"/>
          <w:szCs w:val="16"/>
        </w:rPr>
      </w:pPr>
      <w:r>
        <w:rPr>
          <w:rFonts w:ascii="Arial Narrow" w:hAnsi="Arial Narrow" w:cs="Times New Roman"/>
          <w:bCs/>
          <w:sz w:val="16"/>
          <w:szCs w:val="16"/>
        </w:rPr>
        <w:t xml:space="preserve">            </w:t>
      </w:r>
      <w:r w:rsidRPr="008D522F">
        <w:rPr>
          <w:rFonts w:ascii="Arial Narrow" w:hAnsi="Arial Narrow" w:cs="Times New Roman"/>
          <w:bCs/>
          <w:sz w:val="16"/>
          <w:szCs w:val="16"/>
        </w:rPr>
        <w:t>vývoja do konca roka</w:t>
      </w:r>
    </w:p>
    <w:p w:rsidR="00F105AC" w:rsidRPr="00962FEB" w:rsidP="00F105AC">
      <w:pPr>
        <w:ind w:firstLine="708"/>
        <w:jc w:val="both"/>
        <w:rPr>
          <w:rFonts w:ascii="Arial Narrow" w:hAnsi="Arial Narrow" w:cs="Times New Roman"/>
          <w:sz w:val="22"/>
          <w:szCs w:val="22"/>
          <w:highlight w:val="yellow"/>
        </w:rPr>
      </w:pPr>
    </w:p>
    <w:p w:rsidR="00F105AC" w:rsidP="00F105AC">
      <w:pPr>
        <w:ind w:firstLine="708"/>
        <w:jc w:val="both"/>
        <w:rPr>
          <w:rFonts w:ascii="Arial Narrow" w:hAnsi="Arial Narrow" w:cs="Times New Roman"/>
          <w:sz w:val="22"/>
          <w:szCs w:val="22"/>
        </w:rPr>
      </w:pPr>
      <w:r w:rsidRPr="007F0804">
        <w:rPr>
          <w:rFonts w:ascii="Arial Narrow" w:hAnsi="Arial Narrow" w:cs="Times New Roman"/>
          <w:sz w:val="22"/>
          <w:szCs w:val="22"/>
        </w:rPr>
        <w:t>Vývoj dlhu verejnej správy bude ovplyv</w:t>
      </w:r>
      <w:r>
        <w:rPr>
          <w:rFonts w:ascii="Arial Narrow" w:hAnsi="Arial Narrow" w:cs="Times New Roman"/>
          <w:sz w:val="22"/>
          <w:szCs w:val="22"/>
        </w:rPr>
        <w:t>ne</w:t>
      </w:r>
      <w:r w:rsidRPr="007F0804">
        <w:rPr>
          <w:rFonts w:ascii="Arial Narrow" w:hAnsi="Arial Narrow" w:cs="Times New Roman"/>
          <w:sz w:val="22"/>
          <w:szCs w:val="22"/>
        </w:rPr>
        <w:t xml:space="preserve">ný </w:t>
      </w:r>
      <w:r>
        <w:rPr>
          <w:rFonts w:ascii="Arial Narrow" w:hAnsi="Arial Narrow" w:cs="Times New Roman"/>
          <w:b/>
          <w:bCs/>
          <w:sz w:val="22"/>
          <w:szCs w:val="22"/>
        </w:rPr>
        <w:t xml:space="preserve">schodkom </w:t>
      </w:r>
      <w:r w:rsidRPr="007F0804">
        <w:rPr>
          <w:rFonts w:ascii="Arial Narrow" w:hAnsi="Arial Narrow" w:cs="Times New Roman"/>
          <w:b/>
          <w:bCs/>
          <w:sz w:val="22"/>
          <w:szCs w:val="22"/>
        </w:rPr>
        <w:t>štátneho rozpočtu</w:t>
      </w:r>
      <w:r>
        <w:rPr>
          <w:rFonts w:ascii="Arial Narrow" w:hAnsi="Arial Narrow" w:cs="Times New Roman"/>
          <w:b/>
          <w:bCs/>
          <w:sz w:val="22"/>
          <w:szCs w:val="22"/>
        </w:rPr>
        <w:t>,</w:t>
      </w:r>
      <w:r w:rsidRPr="007F0804">
        <w:rPr>
          <w:rFonts w:ascii="Arial Narrow" w:hAnsi="Arial Narrow" w:cs="Times New Roman"/>
          <w:b/>
          <w:bCs/>
          <w:sz w:val="22"/>
          <w:szCs w:val="22"/>
        </w:rPr>
        <w:t> </w:t>
      </w:r>
      <w:r>
        <w:rPr>
          <w:rFonts w:ascii="Arial Narrow" w:hAnsi="Arial Narrow" w:cs="Times New Roman"/>
          <w:b/>
          <w:bCs/>
          <w:sz w:val="22"/>
          <w:szCs w:val="22"/>
        </w:rPr>
        <w:t>prijatými úvermi obcí a VÚC</w:t>
      </w:r>
      <w:r w:rsidRPr="007F0804">
        <w:rPr>
          <w:rFonts w:ascii="Arial Narrow" w:hAnsi="Arial Narrow" w:cs="Times New Roman"/>
          <w:b/>
          <w:bCs/>
          <w:sz w:val="22"/>
          <w:szCs w:val="22"/>
        </w:rPr>
        <w:t xml:space="preserve"> </w:t>
      </w:r>
      <w:r w:rsidRPr="007A5004">
        <w:rPr>
          <w:rFonts w:ascii="Arial Narrow" w:hAnsi="Arial Narrow" w:cs="Times New Roman"/>
          <w:bCs/>
          <w:sz w:val="22"/>
          <w:szCs w:val="22"/>
        </w:rPr>
        <w:t xml:space="preserve">a </w:t>
      </w:r>
      <w:r w:rsidRPr="007F0804">
        <w:rPr>
          <w:rFonts w:ascii="Arial Narrow" w:hAnsi="Arial Narrow" w:cs="Times New Roman"/>
          <w:b/>
          <w:bCs/>
          <w:sz w:val="22"/>
          <w:szCs w:val="22"/>
        </w:rPr>
        <w:t>výpožičkami zo Štátnej pokladnice</w:t>
      </w:r>
      <w:r w:rsidRPr="007F0804">
        <w:rPr>
          <w:rFonts w:ascii="Arial Narrow" w:hAnsi="Arial Narrow" w:cs="Times New Roman"/>
          <w:sz w:val="22"/>
          <w:szCs w:val="22"/>
        </w:rPr>
        <w:t xml:space="preserve">. </w:t>
      </w:r>
      <w:r>
        <w:rPr>
          <w:rFonts w:ascii="Arial Narrow" w:hAnsi="Arial Narrow" w:cs="Times New Roman"/>
          <w:sz w:val="22"/>
          <w:szCs w:val="22"/>
        </w:rPr>
        <w:t xml:space="preserve">V prognózovanom období sa predpokladá postupné znižovanie hotovostného schodku štátneho rozpočtu, </w:t>
      </w:r>
      <w:r w:rsidR="002046EB">
        <w:rPr>
          <w:rFonts w:ascii="Arial Narrow" w:hAnsi="Arial Narrow" w:cs="Times New Roman"/>
          <w:sz w:val="22"/>
          <w:szCs w:val="22"/>
        </w:rPr>
        <w:t>čím dochádza aj k znižovaniu jeho negatívneho vplyvu na rast dlhu.</w:t>
      </w:r>
      <w:r>
        <w:rPr>
          <w:rFonts w:ascii="Arial Narrow" w:hAnsi="Arial Narrow" w:cs="Times New Roman"/>
          <w:sz w:val="22"/>
          <w:szCs w:val="22"/>
        </w:rPr>
        <w:t xml:space="preserve"> V prípade úverov sa očakáva, že výška prijatých úverov obcí a VÚC presiahne splátky istín, čo znamená, že táto položka bude prispievať </w:t>
      </w:r>
      <w:r>
        <w:rPr>
          <w:rFonts w:ascii="Arial Narrow" w:hAnsi="Arial Narrow" w:cs="Times New Roman"/>
          <w:sz w:val="22"/>
          <w:szCs w:val="22"/>
        </w:rPr>
        <w:t>k nárastu dlhu.</w:t>
      </w:r>
    </w:p>
    <w:p w:rsidR="00F105AC" w:rsidRPr="00962FEB" w:rsidP="00F105AC">
      <w:pPr>
        <w:ind w:firstLine="708"/>
        <w:jc w:val="both"/>
        <w:rPr>
          <w:rFonts w:ascii="Arial Narrow" w:hAnsi="Arial Narrow" w:cs="Times New Roman"/>
          <w:sz w:val="22"/>
          <w:szCs w:val="22"/>
          <w:highlight w:val="yellow"/>
        </w:rPr>
      </w:pPr>
    </w:p>
    <w:p w:rsidR="00F105AC" w:rsidRPr="00443038" w:rsidP="00F105AC">
      <w:pPr>
        <w:ind w:firstLine="708"/>
        <w:jc w:val="both"/>
        <w:rPr>
          <w:rFonts w:ascii="Arial Narrow" w:hAnsi="Arial Narrow" w:cs="Times New Roman"/>
          <w:sz w:val="22"/>
          <w:szCs w:val="22"/>
        </w:rPr>
      </w:pPr>
      <w:r w:rsidRPr="00443038">
        <w:rPr>
          <w:rFonts w:ascii="Arial Narrow" w:hAnsi="Arial Narrow" w:cs="Times New Roman"/>
          <w:sz w:val="22"/>
          <w:szCs w:val="22"/>
        </w:rPr>
        <w:t xml:space="preserve">Prognóza výšky dlhu </w:t>
      </w:r>
      <w:r>
        <w:rPr>
          <w:rFonts w:ascii="Arial Narrow" w:hAnsi="Arial Narrow" w:cs="Times New Roman"/>
          <w:sz w:val="22"/>
          <w:szCs w:val="22"/>
        </w:rPr>
        <w:t xml:space="preserve">verejnej správy </w:t>
      </w:r>
      <w:r w:rsidRPr="00443038">
        <w:rPr>
          <w:rFonts w:ascii="Arial Narrow" w:hAnsi="Arial Narrow" w:cs="Times New Roman"/>
          <w:sz w:val="22"/>
          <w:szCs w:val="22"/>
        </w:rPr>
        <w:t xml:space="preserve">na roky 2008 až 2011 je </w:t>
      </w:r>
      <w:r>
        <w:rPr>
          <w:rFonts w:ascii="Arial Narrow" w:hAnsi="Arial Narrow" w:cs="Times New Roman"/>
          <w:sz w:val="22"/>
          <w:szCs w:val="22"/>
        </w:rPr>
        <w:t>založ</w:t>
      </w:r>
      <w:r w:rsidRPr="00443038">
        <w:rPr>
          <w:rFonts w:ascii="Arial Narrow" w:hAnsi="Arial Narrow" w:cs="Times New Roman"/>
          <w:sz w:val="22"/>
          <w:szCs w:val="22"/>
        </w:rPr>
        <w:t xml:space="preserve">ená na predpoklade, že </w:t>
      </w:r>
      <w:r w:rsidRPr="00443038">
        <w:rPr>
          <w:rFonts w:ascii="Arial Narrow" w:hAnsi="Arial Narrow" w:cs="Times New Roman"/>
          <w:b/>
          <w:sz w:val="22"/>
          <w:szCs w:val="22"/>
        </w:rPr>
        <w:t>výška zdrojov používaných zo Štátnej pokladnice na krytie štátneho dlhu sa bude v prognózovanom období postupne znižovať</w:t>
      </w:r>
      <w:r w:rsidRPr="00443038">
        <w:rPr>
          <w:rFonts w:ascii="Arial Narrow" w:hAnsi="Arial Narrow" w:cs="Times New Roman"/>
          <w:sz w:val="22"/>
          <w:szCs w:val="22"/>
        </w:rPr>
        <w:t xml:space="preserve"> o výšku plánovaného čerpania prostriedkov určených na financovanie transformačných nákladov dôchodkovej reformy</w:t>
      </w:r>
      <w:r>
        <w:rPr>
          <w:rFonts w:ascii="Arial Narrow" w:hAnsi="Arial Narrow" w:cs="Times New Roman"/>
          <w:sz w:val="22"/>
          <w:szCs w:val="22"/>
        </w:rPr>
        <w:t xml:space="preserve"> </w:t>
      </w:r>
      <w:r w:rsidRPr="00443038">
        <w:rPr>
          <w:rFonts w:ascii="Arial Narrow" w:hAnsi="Arial Narrow" w:cs="Times New Roman"/>
          <w:sz w:val="22"/>
          <w:szCs w:val="22"/>
        </w:rPr>
        <w:t>(</w:t>
      </w:r>
      <w:r w:rsidRPr="005B4F27">
        <w:rPr>
          <w:rFonts w:ascii="Arial Narrow" w:hAnsi="Arial Narrow" w:cs="Times New Roman"/>
          <w:sz w:val="22"/>
          <w:szCs w:val="22"/>
        </w:rPr>
        <w:t xml:space="preserve">financovanie nákladov na dôchodkovú reformu je v roku 2010 čiastočne a v roku 2011 </w:t>
      </w:r>
      <w:r>
        <w:rPr>
          <w:rFonts w:ascii="Arial Narrow" w:hAnsi="Arial Narrow" w:cs="Times New Roman"/>
          <w:sz w:val="22"/>
          <w:szCs w:val="22"/>
        </w:rPr>
        <w:t>už v plnej miere</w:t>
      </w:r>
      <w:r w:rsidRPr="005B4F27">
        <w:rPr>
          <w:rFonts w:ascii="Arial Narrow" w:hAnsi="Arial Narrow" w:cs="Times New Roman"/>
          <w:sz w:val="22"/>
          <w:szCs w:val="22"/>
        </w:rPr>
        <w:t xml:space="preserve"> zohľadnené v </w:t>
      </w:r>
      <w:r>
        <w:rPr>
          <w:rFonts w:ascii="Arial Narrow" w:hAnsi="Arial Narrow" w:cs="Times New Roman"/>
          <w:sz w:val="22"/>
          <w:szCs w:val="22"/>
        </w:rPr>
        <w:t>schodku</w:t>
      </w:r>
      <w:r w:rsidRPr="005B4F27">
        <w:rPr>
          <w:rFonts w:ascii="Arial Narrow" w:hAnsi="Arial Narrow" w:cs="Times New Roman"/>
          <w:sz w:val="22"/>
          <w:szCs w:val="22"/>
        </w:rPr>
        <w:t xml:space="preserve"> štátneho rozpočtu</w:t>
      </w:r>
      <w:r w:rsidRPr="00443038">
        <w:rPr>
          <w:rFonts w:ascii="Arial Narrow" w:hAnsi="Arial Narrow" w:cs="Times New Roman"/>
          <w:sz w:val="22"/>
          <w:szCs w:val="22"/>
        </w:rPr>
        <w:t>). To znamená, že ARDAL bude musieť nahradiť tieto zdroje financovania štátneho dlhu emitovaním nových dlhopisov</w:t>
      </w:r>
      <w:r>
        <w:rPr>
          <w:rFonts w:ascii="Arial Narrow" w:hAnsi="Arial Narrow" w:cs="Times New Roman"/>
          <w:sz w:val="22"/>
          <w:szCs w:val="22"/>
        </w:rPr>
        <w:t>.</w:t>
      </w:r>
      <w:r w:rsidRPr="00443038">
        <w:rPr>
          <w:rFonts w:ascii="Arial Narrow" w:hAnsi="Arial Narrow" w:cs="Times New Roman"/>
          <w:sz w:val="22"/>
          <w:szCs w:val="22"/>
        </w:rPr>
        <w:t xml:space="preserve"> V skutočnosti však tento vplyv </w:t>
      </w:r>
      <w:r>
        <w:rPr>
          <w:rFonts w:ascii="Arial Narrow" w:hAnsi="Arial Narrow" w:cs="Times New Roman"/>
          <w:sz w:val="22"/>
          <w:szCs w:val="22"/>
        </w:rPr>
        <w:t>môže byť odlišný</w:t>
      </w:r>
      <w:r w:rsidRPr="00443038">
        <w:rPr>
          <w:rFonts w:ascii="Arial Narrow" w:hAnsi="Arial Narrow" w:cs="Times New Roman"/>
          <w:sz w:val="22"/>
          <w:szCs w:val="22"/>
        </w:rPr>
        <w:t>, pretože zdroje v Štátnej pokladnici môžu byť ovplyvnené pozitívne alebo negatívne jednorazovými opatreniami.</w:t>
      </w:r>
      <w:r>
        <w:rPr>
          <w:rFonts w:ascii="Arial Narrow" w:hAnsi="Arial Narrow" w:cs="Times New Roman"/>
          <w:sz w:val="22"/>
          <w:szCs w:val="22"/>
        </w:rPr>
        <w:t xml:space="preserve"> </w:t>
      </w:r>
    </w:p>
    <w:p w:rsidR="00F105AC" w:rsidRPr="00962FEB" w:rsidP="00F105AC">
      <w:pPr>
        <w:jc w:val="both"/>
        <w:rPr>
          <w:rFonts w:ascii="Arial Narrow" w:hAnsi="Arial Narrow" w:cs="Times New Roman"/>
          <w:sz w:val="22"/>
          <w:szCs w:val="22"/>
          <w:highlight w:val="yellow"/>
        </w:rPr>
      </w:pPr>
    </w:p>
    <w:p w:rsidR="00F105AC" w:rsidP="00F105AC">
      <w:pPr>
        <w:ind w:firstLine="708"/>
        <w:jc w:val="both"/>
        <w:rPr>
          <w:rFonts w:ascii="Arial Narrow" w:hAnsi="Arial Narrow" w:cs="Times New Roman"/>
          <w:sz w:val="22"/>
          <w:szCs w:val="22"/>
        </w:rPr>
      </w:pPr>
      <w:r>
        <w:rPr>
          <w:rFonts w:ascii="Arial Narrow" w:hAnsi="Arial Narrow" w:cs="Times New Roman"/>
          <w:sz w:val="22"/>
          <w:szCs w:val="22"/>
        </w:rPr>
        <w:t>Z hľadiska elimin</w:t>
      </w:r>
      <w:r>
        <w:rPr>
          <w:rFonts w:ascii="Arial Narrow" w:hAnsi="Arial Narrow" w:cs="Times New Roman"/>
          <w:sz w:val="22"/>
          <w:szCs w:val="22"/>
        </w:rPr>
        <w:t xml:space="preserve">ácie potenciálnych rizík pre vývoj dlhu verejnej správy zohrá významnú úlohu vstup Slovenska do eurozóny k 1. 1. 2009. </w:t>
      </w:r>
      <w:r w:rsidRPr="006A4251">
        <w:rPr>
          <w:rFonts w:ascii="Arial Narrow" w:hAnsi="Arial Narrow" w:cs="Times New Roman"/>
          <w:sz w:val="22"/>
          <w:szCs w:val="22"/>
        </w:rPr>
        <w:t>Keďže k 31.</w:t>
      </w:r>
      <w:r>
        <w:rPr>
          <w:rFonts w:ascii="Arial Narrow" w:hAnsi="Arial Narrow" w:cs="Times New Roman"/>
          <w:sz w:val="22"/>
          <w:szCs w:val="22"/>
        </w:rPr>
        <w:t xml:space="preserve"> </w:t>
      </w:r>
      <w:r w:rsidRPr="006A4251">
        <w:rPr>
          <w:rFonts w:ascii="Arial Narrow" w:hAnsi="Arial Narrow" w:cs="Times New Roman"/>
          <w:sz w:val="22"/>
          <w:szCs w:val="22"/>
        </w:rPr>
        <w:t>12.</w:t>
      </w:r>
      <w:r>
        <w:rPr>
          <w:rFonts w:ascii="Arial Narrow" w:hAnsi="Arial Narrow" w:cs="Times New Roman"/>
          <w:sz w:val="22"/>
          <w:szCs w:val="22"/>
        </w:rPr>
        <w:t xml:space="preserve"> </w:t>
      </w:r>
      <w:r w:rsidRPr="006A4251">
        <w:rPr>
          <w:rFonts w:ascii="Arial Narrow" w:hAnsi="Arial Narrow" w:cs="Times New Roman"/>
          <w:sz w:val="22"/>
          <w:szCs w:val="22"/>
        </w:rPr>
        <w:t>2007 bolo približne 27</w:t>
      </w:r>
      <w:r>
        <w:rPr>
          <w:rFonts w:ascii="Arial Narrow" w:hAnsi="Arial Narrow" w:cs="Times New Roman"/>
          <w:sz w:val="22"/>
          <w:szCs w:val="22"/>
        </w:rPr>
        <w:t xml:space="preserve"> </w:t>
      </w:r>
      <w:r w:rsidRPr="006A4251">
        <w:rPr>
          <w:rFonts w:ascii="Arial Narrow" w:hAnsi="Arial Narrow" w:cs="Times New Roman"/>
          <w:sz w:val="22"/>
          <w:szCs w:val="22"/>
        </w:rPr>
        <w:t xml:space="preserve">% hrubého dlhu </w:t>
      </w:r>
      <w:r>
        <w:rPr>
          <w:rFonts w:ascii="Arial Narrow" w:hAnsi="Arial Narrow" w:cs="Times New Roman"/>
          <w:sz w:val="22"/>
          <w:szCs w:val="22"/>
        </w:rPr>
        <w:t>verejnej správy denominovaných</w:t>
      </w:r>
      <w:r w:rsidRPr="006A4251">
        <w:rPr>
          <w:rFonts w:ascii="Arial Narrow" w:hAnsi="Arial Narrow" w:cs="Times New Roman"/>
          <w:sz w:val="22"/>
          <w:szCs w:val="22"/>
        </w:rPr>
        <w:t xml:space="preserve"> v eurách, pričom </w:t>
      </w:r>
      <w:r>
        <w:rPr>
          <w:rFonts w:ascii="Arial Narrow" w:hAnsi="Arial Narrow" w:cs="Times New Roman"/>
          <w:sz w:val="22"/>
          <w:szCs w:val="22"/>
        </w:rPr>
        <w:t>tento dlh</w:t>
      </w:r>
      <w:r w:rsidRPr="006A4251">
        <w:rPr>
          <w:rFonts w:ascii="Arial Narrow" w:hAnsi="Arial Narrow" w:cs="Times New Roman"/>
          <w:sz w:val="22"/>
          <w:szCs w:val="22"/>
        </w:rPr>
        <w:t xml:space="preserve"> tvorí prevažnú časť dlhu v zahraničných menách (asi 98</w:t>
      </w:r>
      <w:r>
        <w:rPr>
          <w:rFonts w:ascii="Arial Narrow" w:hAnsi="Arial Narrow" w:cs="Times New Roman"/>
          <w:sz w:val="22"/>
          <w:szCs w:val="22"/>
        </w:rPr>
        <w:t xml:space="preserve"> </w:t>
      </w:r>
      <w:r w:rsidRPr="006A4251">
        <w:rPr>
          <w:rFonts w:ascii="Arial Narrow" w:hAnsi="Arial Narrow" w:cs="Times New Roman"/>
          <w:sz w:val="22"/>
          <w:szCs w:val="22"/>
        </w:rPr>
        <w:t>%), výrazne sa tým</w:t>
      </w:r>
      <w:r>
        <w:rPr>
          <w:rFonts w:ascii="Arial Narrow" w:hAnsi="Arial Narrow" w:cs="Times New Roman"/>
          <w:sz w:val="22"/>
          <w:szCs w:val="22"/>
        </w:rPr>
        <w:t xml:space="preserve">to krokom </w:t>
      </w:r>
      <w:r w:rsidRPr="006A4251">
        <w:rPr>
          <w:rFonts w:ascii="Arial Narrow" w:hAnsi="Arial Narrow" w:cs="Times New Roman"/>
          <w:sz w:val="22"/>
          <w:szCs w:val="22"/>
        </w:rPr>
        <w:t xml:space="preserve">obmedzí vplyv kurzových zmien na </w:t>
      </w:r>
      <w:r>
        <w:rPr>
          <w:rFonts w:ascii="Arial Narrow" w:hAnsi="Arial Narrow" w:cs="Times New Roman"/>
          <w:sz w:val="22"/>
          <w:szCs w:val="22"/>
        </w:rPr>
        <w:t>vývoj salda a dlhu verejnej správy</w:t>
      </w:r>
      <w:r w:rsidRPr="006A4251">
        <w:rPr>
          <w:rFonts w:ascii="Arial Narrow" w:hAnsi="Arial Narrow" w:cs="Times New Roman"/>
          <w:sz w:val="22"/>
          <w:szCs w:val="22"/>
        </w:rPr>
        <w:t xml:space="preserve">. </w:t>
      </w:r>
      <w:r>
        <w:rPr>
          <w:rFonts w:ascii="Arial Narrow" w:hAnsi="Arial Narrow" w:cs="Times New Roman"/>
          <w:sz w:val="22"/>
          <w:szCs w:val="22"/>
        </w:rPr>
        <w:t>V nasledujúcom období preto bude potenciálne riziko vznikať najmä z</w:t>
      </w:r>
      <w:r w:rsidRPr="006A4251">
        <w:rPr>
          <w:rFonts w:ascii="Arial Narrow" w:hAnsi="Arial Narrow" w:cs="Times New Roman"/>
          <w:sz w:val="22"/>
          <w:szCs w:val="22"/>
        </w:rPr>
        <w:t xml:space="preserve"> vývoj</w:t>
      </w:r>
      <w:r>
        <w:rPr>
          <w:rFonts w:ascii="Arial Narrow" w:hAnsi="Arial Narrow" w:cs="Times New Roman"/>
          <w:sz w:val="22"/>
          <w:szCs w:val="22"/>
        </w:rPr>
        <w:t>a</w:t>
      </w:r>
      <w:r w:rsidRPr="006A4251">
        <w:rPr>
          <w:rFonts w:ascii="Arial Narrow" w:hAnsi="Arial Narrow" w:cs="Times New Roman"/>
          <w:sz w:val="22"/>
          <w:szCs w:val="22"/>
        </w:rPr>
        <w:t xml:space="preserve"> úrokových sadzieb</w:t>
      </w:r>
      <w:r>
        <w:rPr>
          <w:rFonts w:ascii="Arial Narrow" w:hAnsi="Arial Narrow" w:cs="Times New Roman"/>
          <w:sz w:val="22"/>
          <w:szCs w:val="22"/>
        </w:rPr>
        <w:t xml:space="preserve"> v eurozóne</w:t>
      </w:r>
      <w:r w:rsidRPr="006A4251">
        <w:rPr>
          <w:rFonts w:ascii="Arial Narrow" w:hAnsi="Arial Narrow" w:cs="Times New Roman"/>
          <w:sz w:val="22"/>
          <w:szCs w:val="22"/>
        </w:rPr>
        <w:t xml:space="preserve">. </w:t>
      </w:r>
    </w:p>
    <w:p w:rsidR="000E060D" w:rsidRPr="00656C18" w:rsidP="000E060D">
      <w:pPr>
        <w:pStyle w:val="Heading1"/>
        <w:rPr>
          <w:rFonts w:ascii="Arial Narrow" w:hAnsi="Arial Narrow"/>
          <w:sz w:val="28"/>
          <w:szCs w:val="28"/>
        </w:rPr>
      </w:pPr>
      <w:bookmarkStart w:id="36" w:name="_Toc211592394"/>
      <w:r>
        <w:rPr>
          <w:rFonts w:ascii="Arial Narrow" w:hAnsi="Arial Narrow"/>
          <w:sz w:val="28"/>
          <w:szCs w:val="28"/>
        </w:rPr>
        <w:t xml:space="preserve">3. </w:t>
      </w:r>
      <w:r w:rsidRPr="00656C18">
        <w:rPr>
          <w:rFonts w:ascii="Arial Narrow" w:hAnsi="Arial Narrow"/>
          <w:sz w:val="28"/>
          <w:szCs w:val="28"/>
        </w:rPr>
        <w:t>Rozpočtovanie príjmov štátneho rozpočtu</w:t>
      </w:r>
      <w:bookmarkEnd w:id="36"/>
    </w:p>
    <w:p w:rsidR="00782712" w:rsidRPr="002C5BB7" w:rsidP="00782712">
      <w:pPr>
        <w:pStyle w:val="Heading2"/>
        <w:spacing w:before="360" w:after="240"/>
        <w:rPr>
          <w:rFonts w:ascii="Arial Narrow" w:hAnsi="Arial Narrow"/>
          <w:i w:val="0"/>
          <w:iCs w:val="0"/>
          <w:sz w:val="24"/>
          <w:szCs w:val="24"/>
        </w:rPr>
      </w:pPr>
      <w:bookmarkStart w:id="37" w:name="_Toc211592395"/>
      <w:r w:rsidRPr="002C5BB7" w:rsidR="000E060D">
        <w:rPr>
          <w:rFonts w:ascii="Arial Narrow" w:hAnsi="Arial Narrow"/>
          <w:i w:val="0"/>
          <w:sz w:val="24"/>
          <w:szCs w:val="24"/>
        </w:rPr>
        <w:t>3.1. Rozpočtovanie daňových príjmov</w:t>
      </w:r>
      <w:bookmarkEnd w:id="37"/>
    </w:p>
    <w:p w:rsidR="00782712" w:rsidRPr="00DF45EC" w:rsidP="00CC0A61">
      <w:pPr>
        <w:jc w:val="both"/>
        <w:rPr>
          <w:rFonts w:ascii="Arial Narrow" w:hAnsi="Arial Narrow" w:cs="Times New Roman"/>
          <w:b/>
          <w:bCs/>
        </w:rPr>
      </w:pPr>
      <w:r w:rsidRPr="00DF45EC">
        <w:rPr>
          <w:rFonts w:ascii="Arial Narrow" w:hAnsi="Arial Narrow" w:cs="Times New Roman"/>
          <w:b/>
          <w:bCs/>
        </w:rPr>
        <w:t>Legislatívne predpoklady</w:t>
      </w:r>
    </w:p>
    <w:p w:rsidR="00782712" w:rsidRPr="00DF45EC" w:rsidP="00782712">
      <w:pPr>
        <w:ind w:firstLine="708"/>
        <w:jc w:val="both"/>
        <w:rPr>
          <w:rFonts w:ascii="Arial Narrow" w:hAnsi="Arial Narrow" w:cs="Times New Roman"/>
          <w:highlight w:val="yellow"/>
        </w:rPr>
      </w:pPr>
    </w:p>
    <w:p w:rsidR="00782712" w:rsidP="00782712">
      <w:pPr>
        <w:ind w:firstLine="720"/>
        <w:jc w:val="both"/>
        <w:rPr>
          <w:rFonts w:ascii="Arial Narrow" w:hAnsi="Arial Narrow" w:cs="Times New Roman"/>
          <w:sz w:val="22"/>
          <w:szCs w:val="22"/>
        </w:rPr>
      </w:pPr>
      <w:r w:rsidRPr="00DF45EC">
        <w:rPr>
          <w:rFonts w:ascii="Arial Narrow" w:hAnsi="Arial Narrow" w:cs="Times New Roman"/>
          <w:sz w:val="22"/>
          <w:szCs w:val="22"/>
        </w:rPr>
        <w:t>Makroekonomické predpoklady uvedené v predchádzajúcej časti tohto dokumentu boli základom pre vypracovanie aktuálnych prognóz daňových príjmov verejnej správy na roky 200</w:t>
      </w:r>
      <w:r>
        <w:rPr>
          <w:rFonts w:ascii="Arial Narrow" w:hAnsi="Arial Narrow" w:cs="Times New Roman"/>
          <w:sz w:val="22"/>
          <w:szCs w:val="22"/>
        </w:rPr>
        <w:t>9</w:t>
      </w:r>
      <w:r w:rsidR="00D51771">
        <w:rPr>
          <w:rFonts w:ascii="Arial Narrow" w:hAnsi="Arial Narrow" w:cs="Times New Roman"/>
          <w:sz w:val="22"/>
          <w:szCs w:val="22"/>
        </w:rPr>
        <w:t xml:space="preserve"> až</w:t>
      </w:r>
      <w:r w:rsidR="00D51771">
        <w:rPr>
          <w:rFonts w:ascii="Arial Narrow" w:hAnsi="Arial Narrow" w:cs="Times New Roman"/>
          <w:sz w:val="22"/>
          <w:szCs w:val="22"/>
        </w:rPr>
        <w:t xml:space="preserve"> </w:t>
      </w:r>
      <w:r w:rsidRPr="00DF45EC">
        <w:rPr>
          <w:rFonts w:ascii="Arial Narrow" w:hAnsi="Arial Narrow" w:cs="Times New Roman"/>
          <w:sz w:val="22"/>
          <w:szCs w:val="22"/>
        </w:rPr>
        <w:t>20</w:t>
      </w:r>
      <w:r>
        <w:rPr>
          <w:rFonts w:ascii="Arial Narrow" w:hAnsi="Arial Narrow" w:cs="Times New Roman"/>
          <w:sz w:val="22"/>
          <w:szCs w:val="22"/>
        </w:rPr>
        <w:t>11</w:t>
      </w:r>
      <w:r w:rsidRPr="00DF45EC">
        <w:rPr>
          <w:rFonts w:ascii="Arial Narrow" w:hAnsi="Arial Narrow" w:cs="Times New Roman"/>
          <w:sz w:val="22"/>
          <w:szCs w:val="22"/>
        </w:rPr>
        <w:t xml:space="preserve">. Prognózy vychádzajú z platnej legislatívy, ako aj z legislatívy, ktorej účinnosť sa predpokladá od </w:t>
      </w:r>
      <w:r>
        <w:rPr>
          <w:rFonts w:ascii="Arial Narrow" w:hAnsi="Arial Narrow" w:cs="Times New Roman"/>
          <w:sz w:val="22"/>
          <w:szCs w:val="22"/>
        </w:rPr>
        <w:t>1.</w:t>
      </w:r>
      <w:r w:rsidR="00D51771">
        <w:rPr>
          <w:rFonts w:ascii="Arial Narrow" w:hAnsi="Arial Narrow" w:cs="Times New Roman"/>
          <w:sz w:val="22"/>
          <w:szCs w:val="22"/>
        </w:rPr>
        <w:t xml:space="preserve"> </w:t>
      </w:r>
      <w:r>
        <w:rPr>
          <w:rFonts w:ascii="Arial Narrow" w:hAnsi="Arial Narrow" w:cs="Times New Roman"/>
          <w:sz w:val="22"/>
          <w:szCs w:val="22"/>
        </w:rPr>
        <w:t>1.</w:t>
      </w:r>
      <w:r w:rsidR="00D51771">
        <w:rPr>
          <w:rFonts w:ascii="Arial Narrow" w:hAnsi="Arial Narrow" w:cs="Times New Roman"/>
          <w:sz w:val="22"/>
          <w:szCs w:val="22"/>
        </w:rPr>
        <w:t xml:space="preserve"> </w:t>
      </w:r>
      <w:r>
        <w:rPr>
          <w:rFonts w:ascii="Arial Narrow" w:hAnsi="Arial Narrow" w:cs="Times New Roman"/>
          <w:sz w:val="22"/>
          <w:szCs w:val="22"/>
        </w:rPr>
        <w:t>2009, resp. od 1.</w:t>
      </w:r>
      <w:r w:rsidR="00D51771">
        <w:rPr>
          <w:rFonts w:ascii="Arial Narrow" w:hAnsi="Arial Narrow" w:cs="Times New Roman"/>
          <w:sz w:val="22"/>
          <w:szCs w:val="22"/>
        </w:rPr>
        <w:t xml:space="preserve"> </w:t>
      </w:r>
      <w:r>
        <w:rPr>
          <w:rFonts w:ascii="Arial Narrow" w:hAnsi="Arial Narrow" w:cs="Times New Roman"/>
          <w:sz w:val="22"/>
          <w:szCs w:val="22"/>
        </w:rPr>
        <w:t>12.</w:t>
      </w:r>
      <w:r w:rsidR="00D51771">
        <w:rPr>
          <w:rFonts w:ascii="Arial Narrow" w:hAnsi="Arial Narrow" w:cs="Times New Roman"/>
          <w:sz w:val="22"/>
          <w:szCs w:val="22"/>
        </w:rPr>
        <w:t xml:space="preserve"> </w:t>
      </w:r>
      <w:r>
        <w:rPr>
          <w:rFonts w:ascii="Arial Narrow" w:hAnsi="Arial Narrow" w:cs="Times New Roman"/>
          <w:sz w:val="22"/>
          <w:szCs w:val="22"/>
        </w:rPr>
        <w:t>2008</w:t>
      </w:r>
      <w:r w:rsidRPr="00DF45EC">
        <w:rPr>
          <w:rFonts w:ascii="Arial Narrow" w:hAnsi="Arial Narrow" w:cs="Times New Roman"/>
          <w:sz w:val="22"/>
          <w:szCs w:val="22"/>
        </w:rPr>
        <w:t>. Oproti schválenému rozpočtu verejnej správy na roky 200</w:t>
      </w:r>
      <w:r>
        <w:rPr>
          <w:rFonts w:ascii="Arial Narrow" w:hAnsi="Arial Narrow" w:cs="Times New Roman"/>
          <w:sz w:val="22"/>
          <w:szCs w:val="22"/>
        </w:rPr>
        <w:t>8</w:t>
      </w:r>
      <w:r w:rsidR="00D51771">
        <w:rPr>
          <w:rFonts w:ascii="Arial Narrow" w:hAnsi="Arial Narrow" w:cs="Times New Roman"/>
          <w:sz w:val="22"/>
          <w:szCs w:val="22"/>
        </w:rPr>
        <w:t xml:space="preserve"> až </w:t>
      </w:r>
      <w:r w:rsidRPr="00DF45EC">
        <w:rPr>
          <w:rFonts w:ascii="Arial Narrow" w:hAnsi="Arial Narrow" w:cs="Times New Roman"/>
          <w:sz w:val="22"/>
          <w:szCs w:val="22"/>
        </w:rPr>
        <w:t>20</w:t>
      </w:r>
      <w:r>
        <w:rPr>
          <w:rFonts w:ascii="Arial Narrow" w:hAnsi="Arial Narrow" w:cs="Times New Roman"/>
          <w:sz w:val="22"/>
          <w:szCs w:val="22"/>
        </w:rPr>
        <w:t>10</w:t>
      </w:r>
      <w:r w:rsidRPr="00DF45EC">
        <w:rPr>
          <w:rFonts w:ascii="Arial Narrow" w:hAnsi="Arial Narrow" w:cs="Times New Roman"/>
          <w:sz w:val="22"/>
          <w:szCs w:val="22"/>
        </w:rPr>
        <w:t xml:space="preserve"> dochádza k zmene legislatívnych predpokladov </w:t>
      </w:r>
      <w:r w:rsidR="00D51771">
        <w:rPr>
          <w:rFonts w:ascii="Arial Narrow" w:hAnsi="Arial Narrow" w:cs="Times New Roman"/>
          <w:sz w:val="22"/>
          <w:szCs w:val="22"/>
        </w:rPr>
        <w:t>pri</w:t>
      </w:r>
      <w:r>
        <w:rPr>
          <w:rFonts w:ascii="Arial Narrow" w:hAnsi="Arial Narrow" w:cs="Times New Roman"/>
          <w:sz w:val="22"/>
          <w:szCs w:val="22"/>
        </w:rPr>
        <w:t> da</w:t>
      </w:r>
      <w:r>
        <w:rPr>
          <w:rFonts w:ascii="Arial Narrow" w:hAnsi="Arial Narrow" w:cs="Times New Roman"/>
          <w:sz w:val="22"/>
          <w:szCs w:val="22"/>
        </w:rPr>
        <w:t xml:space="preserve">ni z príjmov, </w:t>
      </w:r>
      <w:r w:rsidR="00D51771">
        <w:rPr>
          <w:rFonts w:ascii="Arial Narrow" w:hAnsi="Arial Narrow" w:cs="Times New Roman"/>
          <w:sz w:val="22"/>
          <w:szCs w:val="22"/>
        </w:rPr>
        <w:t>pri</w:t>
      </w:r>
      <w:r>
        <w:rPr>
          <w:rFonts w:ascii="Arial Narrow" w:hAnsi="Arial Narrow" w:cs="Times New Roman"/>
          <w:sz w:val="22"/>
          <w:szCs w:val="22"/>
        </w:rPr>
        <w:t> dani z pridanej hodnoty a </w:t>
      </w:r>
      <w:r w:rsidR="00D51771">
        <w:rPr>
          <w:rFonts w:ascii="Arial Narrow" w:hAnsi="Arial Narrow" w:cs="Times New Roman"/>
          <w:sz w:val="22"/>
          <w:szCs w:val="22"/>
        </w:rPr>
        <w:t>pri</w:t>
      </w:r>
      <w:r>
        <w:rPr>
          <w:rFonts w:ascii="Arial Narrow" w:hAnsi="Arial Narrow" w:cs="Times New Roman"/>
          <w:sz w:val="22"/>
          <w:szCs w:val="22"/>
        </w:rPr>
        <w:t> spotrebných dan</w:t>
      </w:r>
      <w:r w:rsidR="00D51771">
        <w:rPr>
          <w:rFonts w:ascii="Arial Narrow" w:hAnsi="Arial Narrow" w:cs="Times New Roman"/>
          <w:sz w:val="22"/>
          <w:szCs w:val="22"/>
        </w:rPr>
        <w:t>iach</w:t>
      </w:r>
      <w:r>
        <w:rPr>
          <w:rFonts w:ascii="Arial Narrow" w:hAnsi="Arial Narrow" w:cs="Times New Roman"/>
          <w:sz w:val="22"/>
          <w:szCs w:val="22"/>
        </w:rPr>
        <w:t>. Na výnosy daní budú mať vplyv aj novely zákonov súvisiace so zavedením meny euro od 1.</w:t>
      </w:r>
      <w:r w:rsidR="00D51771">
        <w:rPr>
          <w:rFonts w:ascii="Arial Narrow" w:hAnsi="Arial Narrow" w:cs="Times New Roman"/>
          <w:sz w:val="22"/>
          <w:szCs w:val="22"/>
        </w:rPr>
        <w:t xml:space="preserve"> </w:t>
      </w:r>
      <w:r>
        <w:rPr>
          <w:rFonts w:ascii="Arial Narrow" w:hAnsi="Arial Narrow" w:cs="Times New Roman"/>
          <w:sz w:val="22"/>
          <w:szCs w:val="22"/>
        </w:rPr>
        <w:t>1.</w:t>
      </w:r>
      <w:r w:rsidR="00D51771">
        <w:rPr>
          <w:rFonts w:ascii="Arial Narrow" w:hAnsi="Arial Narrow" w:cs="Times New Roman"/>
          <w:sz w:val="22"/>
          <w:szCs w:val="22"/>
        </w:rPr>
        <w:t xml:space="preserve"> </w:t>
      </w:r>
      <w:r>
        <w:rPr>
          <w:rFonts w:ascii="Arial Narrow" w:hAnsi="Arial Narrow" w:cs="Times New Roman"/>
          <w:sz w:val="22"/>
          <w:szCs w:val="22"/>
        </w:rPr>
        <w:t>2009.</w:t>
      </w:r>
    </w:p>
    <w:p w:rsidR="00782712" w:rsidP="00782712">
      <w:pPr>
        <w:ind w:firstLine="720"/>
        <w:jc w:val="both"/>
        <w:rPr>
          <w:rFonts w:ascii="Arial Narrow" w:hAnsi="Arial Narrow" w:cs="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5078"/>
        <w:gridCol w:w="998"/>
        <w:gridCol w:w="999"/>
        <w:gridCol w:w="998"/>
        <w:gridCol w:w="999"/>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RPr="001A652B" w:rsidP="00782712">
            <w:pPr>
              <w:rPr>
                <w:rFonts w:ascii="Arial Narrow" w:hAnsi="Arial Narrow" w:cs="Arial"/>
                <w:b/>
                <w:bCs/>
                <w:color w:val="FFFFFF"/>
                <w:sz w:val="20"/>
              </w:rPr>
            </w:pPr>
            <w:r w:rsidRPr="001A652B">
              <w:rPr>
                <w:rFonts w:ascii="Arial Narrow" w:hAnsi="Arial Narrow" w:cs="Arial"/>
                <w:b/>
                <w:bCs/>
                <w:color w:val="FFFFFF"/>
                <w:sz w:val="20"/>
              </w:rPr>
              <w:t>Kvantifikácia dopadu legislatívnych zmien na rozpočet verejnej správy (ESA</w:t>
            </w:r>
            <w:r w:rsidR="00D51771">
              <w:rPr>
                <w:rFonts w:ascii="Arial Narrow" w:hAnsi="Arial Narrow" w:cs="Arial"/>
                <w:b/>
                <w:bCs/>
                <w:color w:val="FFFFFF"/>
                <w:sz w:val="20"/>
              </w:rPr>
              <w:t xml:space="preserve"> </w:t>
            </w:r>
            <w:r w:rsidRPr="001A652B">
              <w:rPr>
                <w:rFonts w:ascii="Arial Narrow" w:hAnsi="Arial Narrow" w:cs="Arial"/>
                <w:b/>
                <w:bCs/>
                <w:color w:val="FFFFFF"/>
                <w:sz w:val="20"/>
              </w:rPr>
              <w:t>95, tis. eur)</w:t>
            </w:r>
          </w:p>
        </w:tc>
      </w:tr>
      <w:tr>
        <w:tblPrEx>
          <w:tblW w:w="9072" w:type="dxa"/>
          <w:jc w:val="center"/>
          <w:tblLayout w:type="fixed"/>
          <w:tblCellMar>
            <w:left w:w="70" w:type="dxa"/>
            <w:right w:w="70" w:type="dxa"/>
          </w:tblCellMar>
        </w:tblPrEx>
        <w:trPr>
          <w:trHeight w:val="270"/>
          <w:jc w:val="center"/>
        </w:trPr>
        <w:tc>
          <w:tcPr>
            <w:tcW w:w="507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1A652B" w:rsidP="00782712">
            <w:pPr>
              <w:jc w:val="center"/>
              <w:rPr>
                <w:rFonts w:ascii="Arial Narrow" w:hAnsi="Arial Narrow" w:cs="Arial"/>
                <w:sz w:val="18"/>
                <w:szCs w:val="18"/>
              </w:rPr>
            </w:pPr>
          </w:p>
        </w:tc>
        <w:tc>
          <w:tcPr>
            <w:tcW w:w="99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1A652B" w:rsidP="00782712">
            <w:pPr>
              <w:jc w:val="center"/>
              <w:rPr>
                <w:rFonts w:ascii="Arial Narrow" w:hAnsi="Arial Narrow" w:cs="Arial"/>
                <w:b/>
                <w:bCs/>
                <w:sz w:val="18"/>
                <w:szCs w:val="18"/>
              </w:rPr>
            </w:pPr>
            <w:r w:rsidRPr="001A652B">
              <w:rPr>
                <w:rFonts w:ascii="Arial Narrow" w:hAnsi="Arial Narrow" w:cs="Arial"/>
                <w:b/>
                <w:bCs/>
                <w:sz w:val="18"/>
                <w:szCs w:val="18"/>
              </w:rPr>
              <w:t>2008</w:t>
            </w:r>
          </w:p>
        </w:tc>
        <w:tc>
          <w:tcPr>
            <w:tcW w:w="999"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1A652B" w:rsidP="00782712">
            <w:pPr>
              <w:jc w:val="center"/>
              <w:rPr>
                <w:rFonts w:ascii="Arial Narrow" w:hAnsi="Arial Narrow" w:cs="Arial"/>
                <w:b/>
                <w:bCs/>
                <w:sz w:val="18"/>
                <w:szCs w:val="18"/>
              </w:rPr>
            </w:pPr>
            <w:r w:rsidRPr="001A652B">
              <w:rPr>
                <w:rFonts w:ascii="Arial Narrow" w:hAnsi="Arial Narrow" w:cs="Arial"/>
                <w:b/>
                <w:bCs/>
                <w:sz w:val="18"/>
                <w:szCs w:val="18"/>
              </w:rPr>
              <w:t>2009</w:t>
            </w:r>
          </w:p>
        </w:tc>
        <w:tc>
          <w:tcPr>
            <w:tcW w:w="99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1A652B" w:rsidP="00782712">
            <w:pPr>
              <w:jc w:val="center"/>
              <w:rPr>
                <w:rFonts w:ascii="Arial Narrow" w:hAnsi="Arial Narrow" w:cs="Arial"/>
                <w:b/>
                <w:bCs/>
                <w:sz w:val="18"/>
                <w:szCs w:val="18"/>
              </w:rPr>
            </w:pPr>
            <w:r w:rsidRPr="001A652B">
              <w:rPr>
                <w:rFonts w:ascii="Arial Narrow" w:hAnsi="Arial Narrow" w:cs="Arial"/>
                <w:b/>
                <w:bCs/>
                <w:sz w:val="18"/>
                <w:szCs w:val="18"/>
              </w:rPr>
              <w:t>2010</w:t>
            </w:r>
          </w:p>
        </w:tc>
        <w:tc>
          <w:tcPr>
            <w:tcW w:w="999"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1A652B" w:rsidP="00782712">
            <w:pPr>
              <w:jc w:val="center"/>
              <w:rPr>
                <w:rFonts w:ascii="Arial Narrow" w:hAnsi="Arial Narrow" w:cs="Arial"/>
                <w:b/>
                <w:bCs/>
                <w:sz w:val="18"/>
                <w:szCs w:val="18"/>
              </w:rPr>
            </w:pPr>
            <w:r w:rsidRPr="001A652B">
              <w:rPr>
                <w:rFonts w:ascii="Arial Narrow" w:hAnsi="Arial Narrow" w:cs="Arial"/>
                <w:b/>
                <w:bCs/>
                <w:sz w:val="18"/>
                <w:szCs w:val="18"/>
              </w:rPr>
              <w:t>2011</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1A652B" w:rsidP="00782712">
            <w:pPr>
              <w:rPr>
                <w:rFonts w:ascii="Arial Narrow" w:hAnsi="Arial Narrow" w:cs="Arial"/>
                <w:b/>
                <w:sz w:val="18"/>
                <w:szCs w:val="18"/>
              </w:rPr>
            </w:pPr>
            <w:r w:rsidRPr="001A652B">
              <w:rPr>
                <w:rFonts w:ascii="Arial Narrow" w:hAnsi="Arial Narrow" w:cs="Arial"/>
                <w:b/>
                <w:sz w:val="18"/>
                <w:szCs w:val="18"/>
              </w:rPr>
              <w:t>DOPAD NA DAŇOVÉ PRÍJMY VEREJNEJ SPRÁVY SPOLU*</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-89 789</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226 823</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74 664</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76 834</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1A652B" w:rsidP="00782712">
            <w:pPr>
              <w:ind w:left="708"/>
              <w:rPr>
                <w:rFonts w:ascii="Arial Narrow" w:hAnsi="Arial Narrow" w:cs="Arial"/>
                <w:sz w:val="18"/>
                <w:szCs w:val="18"/>
              </w:rPr>
            </w:pPr>
            <w:r w:rsidRPr="001A652B">
              <w:rPr>
                <w:rFonts w:ascii="Arial Narrow" w:hAnsi="Arial Narrow" w:cs="Arial"/>
                <w:sz w:val="18"/>
                <w:szCs w:val="18"/>
              </w:rPr>
              <w:t>Daň z príjmov</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-3 220</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-11 651</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-10 024</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1416"/>
              <w:rPr>
                <w:rFonts w:ascii="Arial Narrow" w:hAnsi="Arial Narrow" w:cs="Arial"/>
                <w:bCs/>
                <w:sz w:val="18"/>
                <w:szCs w:val="18"/>
              </w:rPr>
            </w:pPr>
            <w:r w:rsidRPr="001A652B">
              <w:rPr>
                <w:rFonts w:ascii="Arial Narrow" w:hAnsi="Arial Narrow" w:cs="Arial"/>
                <w:bCs/>
                <w:sz w:val="18"/>
                <w:szCs w:val="18"/>
              </w:rPr>
              <w:t>- DPFO zo závislej činnosti</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-332</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-8 465</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-6 539</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1416"/>
              <w:rPr>
                <w:rFonts w:ascii="Arial Narrow" w:hAnsi="Arial Narrow" w:cs="Arial"/>
                <w:bCs/>
                <w:sz w:val="18"/>
                <w:szCs w:val="18"/>
              </w:rPr>
            </w:pPr>
            <w:r w:rsidRPr="001A652B">
              <w:rPr>
                <w:rFonts w:ascii="Arial Narrow" w:hAnsi="Arial Narrow" w:cs="Arial"/>
                <w:bCs/>
                <w:sz w:val="18"/>
                <w:szCs w:val="18"/>
              </w:rPr>
              <w:t xml:space="preserve">- DPFO </w:t>
            </w:r>
            <w:r>
              <w:rPr>
                <w:rFonts w:ascii="Arial Narrow" w:hAnsi="Arial Narrow" w:cs="Arial"/>
                <w:bCs/>
                <w:sz w:val="18"/>
                <w:szCs w:val="18"/>
              </w:rPr>
              <w:t>z podnikania</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-4 050</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-4 348</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-4 647</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1416"/>
              <w:rPr>
                <w:rFonts w:ascii="Arial Narrow" w:hAnsi="Arial Narrow" w:cs="Arial"/>
                <w:bCs/>
                <w:sz w:val="18"/>
                <w:szCs w:val="18"/>
              </w:rPr>
            </w:pPr>
            <w:r w:rsidRPr="001A652B">
              <w:rPr>
                <w:rFonts w:ascii="Arial Narrow" w:hAnsi="Arial Narrow" w:cs="Arial"/>
                <w:bCs/>
                <w:sz w:val="18"/>
                <w:szCs w:val="18"/>
              </w:rPr>
              <w:t>- DP vyberaná zrážkou</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1 162</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1 162</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1 162</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708"/>
              <w:rPr>
                <w:rFonts w:ascii="Arial Narrow" w:hAnsi="Arial Narrow" w:cs="Arial"/>
                <w:bCs/>
                <w:sz w:val="18"/>
                <w:szCs w:val="18"/>
              </w:rPr>
            </w:pPr>
            <w:r w:rsidRPr="001A652B">
              <w:rPr>
                <w:rFonts w:ascii="Arial Narrow" w:hAnsi="Arial Narrow" w:cs="Arial"/>
                <w:bCs/>
                <w:sz w:val="18"/>
                <w:szCs w:val="18"/>
              </w:rPr>
              <w:t>DPH</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166</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-9 195</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7 502</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7 967</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708"/>
              <w:rPr>
                <w:rFonts w:ascii="Arial Narrow" w:hAnsi="Arial Narrow" w:cs="Arial"/>
                <w:bCs/>
                <w:sz w:val="18"/>
                <w:szCs w:val="18"/>
              </w:rPr>
            </w:pPr>
            <w:r w:rsidRPr="001A652B">
              <w:rPr>
                <w:rFonts w:ascii="Arial Narrow" w:hAnsi="Arial Narrow" w:cs="Arial"/>
                <w:bCs/>
                <w:sz w:val="18"/>
                <w:szCs w:val="18"/>
              </w:rPr>
              <w:t>Spotrebné dane</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-168 990</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148 344</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-16 166</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-16 929</w:t>
            </w:r>
          </w:p>
        </w:tc>
      </w:tr>
      <w:tr>
        <w:tblPrEx>
          <w:tblW w:w="9072" w:type="dxa"/>
          <w:jc w:val="center"/>
          <w:tblLayout w:type="fixed"/>
          <w:tblCellMar>
            <w:left w:w="70" w:type="dxa"/>
            <w:right w:w="70" w:type="dxa"/>
          </w:tblCellMar>
        </w:tblPrEx>
        <w:trPr>
          <w:trHeight w:val="284"/>
          <w:jc w:val="center"/>
        </w:trPr>
        <w:tc>
          <w:tcPr>
            <w:tcW w:w="507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1A652B" w:rsidP="00782712">
            <w:pPr>
              <w:ind w:left="708"/>
              <w:rPr>
                <w:rFonts w:ascii="Arial Narrow" w:hAnsi="Arial Narrow" w:cs="Arial"/>
                <w:bCs/>
                <w:sz w:val="18"/>
                <w:szCs w:val="18"/>
              </w:rPr>
            </w:pPr>
            <w:r w:rsidRPr="001A652B">
              <w:rPr>
                <w:rFonts w:ascii="Arial Narrow" w:hAnsi="Arial Narrow" w:cs="Arial"/>
                <w:bCs/>
                <w:sz w:val="18"/>
                <w:szCs w:val="18"/>
              </w:rPr>
              <w:t>Úhrada za služby verejnosti poskytované STV a SRo</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79 035</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90 894</w:t>
            </w:r>
          </w:p>
        </w:tc>
        <w:tc>
          <w:tcPr>
            <w:tcW w:w="99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94 979</w:t>
            </w:r>
          </w:p>
        </w:tc>
        <w:tc>
          <w:tcPr>
            <w:tcW w:w="99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95 820</w:t>
            </w:r>
          </w:p>
        </w:tc>
      </w:tr>
    </w:tbl>
    <w:p w:rsidR="00782712" w:rsidP="00782712">
      <w:pPr>
        <w:jc w:val="both"/>
        <w:rPr>
          <w:rFonts w:ascii="Arial Narrow" w:hAnsi="Arial Narrow" w:cs="Times New Roman"/>
          <w:sz w:val="16"/>
          <w:szCs w:val="16"/>
        </w:rPr>
      </w:pPr>
      <w:r w:rsidRPr="00A76C1C">
        <w:rPr>
          <w:rFonts w:ascii="Arial Narrow" w:hAnsi="Arial Narrow" w:cs="Times New Roman"/>
          <w:sz w:val="16"/>
          <w:szCs w:val="16"/>
        </w:rPr>
        <w:t xml:space="preserve">* znamienko (-) znamená </w:t>
      </w:r>
      <w:r>
        <w:rPr>
          <w:rFonts w:ascii="Arial Narrow" w:hAnsi="Arial Narrow" w:cs="Times New Roman"/>
          <w:sz w:val="16"/>
          <w:szCs w:val="16"/>
        </w:rPr>
        <w:t xml:space="preserve">zníženie daňových príjmov </w:t>
      </w:r>
      <w:r w:rsidRPr="00A76C1C">
        <w:rPr>
          <w:rFonts w:ascii="Arial Narrow" w:hAnsi="Arial Narrow" w:cs="Times New Roman"/>
          <w:sz w:val="16"/>
          <w:szCs w:val="16"/>
        </w:rPr>
        <w:t>verejnej správy</w:t>
      </w:r>
    </w:p>
    <w:p w:rsidR="00782712" w:rsidRPr="00A76C1C" w:rsidP="00782712">
      <w:pPr>
        <w:jc w:val="both"/>
        <w:rPr>
          <w:rFonts w:ascii="Arial Narrow" w:hAnsi="Arial Narrow" w:cs="Times New Roman"/>
          <w:sz w:val="16"/>
          <w:szCs w:val="16"/>
        </w:rPr>
      </w:pPr>
      <w:r>
        <w:rPr>
          <w:rFonts w:ascii="Arial Narrow" w:hAnsi="Arial Narrow" w:cs="Times New Roman"/>
          <w:sz w:val="16"/>
          <w:szCs w:val="16"/>
        </w:rPr>
        <w:t>Vo všetkých tabuľkách a za všetky roky boli údaje prepočítané zo slovenských korún na eurá konverzným kurzom 1 euro = 30,1260 Sk.</w:t>
      </w:r>
    </w:p>
    <w:p w:rsidR="00782712" w:rsidP="00782712">
      <w:pPr>
        <w:jc w:val="both"/>
        <w:rPr>
          <w:rFonts w:ascii="Arial Narrow" w:hAnsi="Arial Narrow" w:cs="Times New Roman"/>
          <w:sz w:val="22"/>
          <w:szCs w:val="22"/>
        </w:rPr>
      </w:pPr>
    </w:p>
    <w:p w:rsidR="00782712" w:rsidP="00782712">
      <w:pPr>
        <w:ind w:firstLine="720"/>
        <w:jc w:val="both"/>
        <w:rPr>
          <w:rFonts w:ascii="Arial Narrow" w:hAnsi="Arial Narrow" w:cs="Times New Roman"/>
          <w:sz w:val="22"/>
          <w:szCs w:val="22"/>
        </w:rPr>
      </w:pPr>
      <w:r w:rsidRPr="00C41E76">
        <w:rPr>
          <w:rFonts w:ascii="Arial Narrow" w:hAnsi="Arial Narrow" w:cs="Times New Roman"/>
          <w:sz w:val="22"/>
          <w:szCs w:val="22"/>
        </w:rPr>
        <w:t xml:space="preserve">Prognóza výnosov </w:t>
      </w:r>
      <w:r w:rsidRPr="00C41E76">
        <w:rPr>
          <w:rFonts w:ascii="Arial Narrow" w:hAnsi="Arial Narrow" w:cs="Times New Roman"/>
          <w:b/>
          <w:sz w:val="22"/>
          <w:szCs w:val="22"/>
        </w:rPr>
        <w:t>dane z príjm</w:t>
      </w:r>
      <w:r w:rsidR="00D51771">
        <w:rPr>
          <w:rFonts w:ascii="Arial Narrow" w:hAnsi="Arial Narrow" w:cs="Times New Roman"/>
          <w:b/>
          <w:sz w:val="22"/>
          <w:szCs w:val="22"/>
        </w:rPr>
        <w:t>ov</w:t>
      </w:r>
      <w:r w:rsidRPr="00C41E76">
        <w:rPr>
          <w:rFonts w:ascii="Arial Narrow" w:hAnsi="Arial Narrow" w:cs="Times New Roman"/>
          <w:sz w:val="22"/>
          <w:szCs w:val="22"/>
        </w:rPr>
        <w:t xml:space="preserve"> zohľadňuje schválené novely zákona o dani z príjm</w:t>
      </w:r>
      <w:r w:rsidR="00D51771">
        <w:rPr>
          <w:rFonts w:ascii="Arial Narrow" w:hAnsi="Arial Narrow" w:cs="Times New Roman"/>
          <w:sz w:val="22"/>
          <w:szCs w:val="22"/>
        </w:rPr>
        <w:t>ov</w:t>
      </w:r>
      <w:r w:rsidRPr="00C41E76">
        <w:rPr>
          <w:rFonts w:ascii="Arial Narrow" w:hAnsi="Arial Narrow" w:cs="Times New Roman"/>
          <w:sz w:val="22"/>
          <w:szCs w:val="22"/>
        </w:rPr>
        <w:t>, ktoré sa týkajú predovšetkým úpravy výpočtu základu da</w:t>
      </w:r>
      <w:r w:rsidRPr="00C41E76">
        <w:rPr>
          <w:rFonts w:ascii="Arial Narrow" w:hAnsi="Arial Narrow" w:cs="Times New Roman"/>
          <w:sz w:val="22"/>
          <w:szCs w:val="22"/>
        </w:rPr>
        <w:t>ne u zamestnancov vykonávajúcich zdravotnícke povolanie a oslobodenia doktorandského štipendia od dane z</w:t>
      </w:r>
      <w:r>
        <w:rPr>
          <w:rFonts w:ascii="Arial Narrow" w:hAnsi="Arial Narrow" w:cs="Times New Roman"/>
          <w:sz w:val="22"/>
          <w:szCs w:val="22"/>
        </w:rPr>
        <w:t> </w:t>
      </w:r>
      <w:r w:rsidRPr="00872CE5">
        <w:rPr>
          <w:rFonts w:ascii="Arial Narrow" w:hAnsi="Arial Narrow" w:cs="Times New Roman"/>
          <w:sz w:val="22"/>
          <w:szCs w:val="22"/>
        </w:rPr>
        <w:t>príjmu a zavedenia zamestnaneckej prémie. Podľa</w:t>
      </w:r>
      <w:r w:rsidRPr="00C41E76">
        <w:rPr>
          <w:rFonts w:ascii="Arial Narrow" w:hAnsi="Arial Narrow" w:cs="Times New Roman"/>
          <w:sz w:val="22"/>
          <w:szCs w:val="22"/>
        </w:rPr>
        <w:t xml:space="preserve"> zákona č. 653/2007</w:t>
      </w:r>
      <w:r>
        <w:rPr>
          <w:rFonts w:ascii="Arial Narrow" w:hAnsi="Arial Narrow" w:cs="Times New Roman"/>
          <w:sz w:val="22"/>
          <w:szCs w:val="22"/>
        </w:rPr>
        <w:t xml:space="preserve"> Z. z.</w:t>
      </w:r>
      <w:r w:rsidRPr="00C41E76">
        <w:rPr>
          <w:rFonts w:ascii="Arial Narrow" w:hAnsi="Arial Narrow" w:cs="Times New Roman"/>
          <w:sz w:val="22"/>
          <w:szCs w:val="22"/>
        </w:rPr>
        <w:t xml:space="preserve">, ktorým sa novelizoval zákon č. 595/2003 </w:t>
      </w:r>
      <w:r>
        <w:rPr>
          <w:rFonts w:ascii="Arial Narrow" w:hAnsi="Arial Narrow" w:cs="Times New Roman"/>
          <w:sz w:val="22"/>
          <w:szCs w:val="22"/>
        </w:rPr>
        <w:t xml:space="preserve">Z. z. </w:t>
      </w:r>
      <w:r w:rsidRPr="00C41E76">
        <w:rPr>
          <w:rFonts w:ascii="Arial Narrow" w:hAnsi="Arial Narrow" w:cs="Times New Roman"/>
          <w:sz w:val="22"/>
          <w:szCs w:val="22"/>
        </w:rPr>
        <w:t>o dani z príjmov si zamestnanci vykonávajúci zdravotnícke povolanie lekára, zubného lekára, sestry alebo pôrodnej asistentky, budú môcť po odpočítaní zákonného poistného a zákonných príspevkov znížiť príjmy zo závislej činnosti o svoje úhrady za ďalšie vzdelávanie preukázateľne zaplatené v príslušnom zdaňovacom období vzdelávacej ustanovizni uskutočňujúcej študijný program akreditovaný Ministerstvom zdravotníctva SR</w:t>
      </w:r>
      <w:r>
        <w:rPr>
          <w:rFonts w:ascii="Arial Narrow" w:hAnsi="Arial Narrow" w:cs="Times New Roman"/>
          <w:sz w:val="22"/>
          <w:szCs w:val="22"/>
        </w:rPr>
        <w:t xml:space="preserve"> (lekári a zubní lekári </w:t>
      </w:r>
      <w:r w:rsidRPr="00526759">
        <w:rPr>
          <w:rFonts w:ascii="Arial Narrow" w:hAnsi="Arial Narrow" w:cs="Times New Roman"/>
          <w:sz w:val="22"/>
          <w:szCs w:val="22"/>
        </w:rPr>
        <w:t xml:space="preserve">najviac </w:t>
      </w:r>
      <w:r>
        <w:rPr>
          <w:rFonts w:ascii="Arial Narrow" w:hAnsi="Arial Narrow" w:cs="Times New Roman"/>
          <w:sz w:val="22"/>
          <w:szCs w:val="22"/>
        </w:rPr>
        <w:t>331,94</w:t>
      </w:r>
      <w:r w:rsidRPr="00526759">
        <w:rPr>
          <w:rFonts w:ascii="Arial Narrow" w:hAnsi="Arial Narrow" w:cs="Times New Roman"/>
          <w:sz w:val="22"/>
          <w:szCs w:val="22"/>
        </w:rPr>
        <w:t xml:space="preserve"> eur</w:t>
      </w:r>
      <w:r>
        <w:rPr>
          <w:rFonts w:ascii="Arial Narrow" w:hAnsi="Arial Narrow" w:cs="Times New Roman"/>
          <w:sz w:val="22"/>
          <w:szCs w:val="22"/>
        </w:rPr>
        <w:t xml:space="preserve"> za rok, zdravotné sestry a pôrodné asistentky najviac 116,18 eur za rok)</w:t>
      </w:r>
      <w:r w:rsidRPr="00C41E76">
        <w:rPr>
          <w:rFonts w:ascii="Arial Narrow" w:hAnsi="Arial Narrow" w:cs="Times New Roman"/>
          <w:sz w:val="22"/>
          <w:szCs w:val="22"/>
        </w:rPr>
        <w:t>. Zákon č</w:t>
      </w:r>
      <w:r w:rsidRPr="00C41E76">
        <w:rPr>
          <w:rFonts w:ascii="Arial Narrow" w:hAnsi="Arial Narrow" w:cs="Times New Roman"/>
          <w:sz w:val="22"/>
          <w:szCs w:val="22"/>
        </w:rPr>
        <w:t xml:space="preserve">. 621/2007 </w:t>
      </w:r>
      <w:r>
        <w:rPr>
          <w:rFonts w:ascii="Arial Narrow" w:hAnsi="Arial Narrow" w:cs="Times New Roman"/>
          <w:sz w:val="22"/>
          <w:szCs w:val="22"/>
        </w:rPr>
        <w:t xml:space="preserve">Z. z. </w:t>
      </w:r>
      <w:r w:rsidRPr="00C41E76">
        <w:rPr>
          <w:rFonts w:ascii="Arial Narrow" w:hAnsi="Arial Narrow" w:cs="Times New Roman"/>
          <w:sz w:val="22"/>
          <w:szCs w:val="22"/>
        </w:rPr>
        <w:t xml:space="preserve">ustanovil doktorandské štipendium za príjem, ktorý je oslobodený od dane z príjmu fyzických osôb. </w:t>
      </w:r>
    </w:p>
    <w:p w:rsidR="00D51771" w:rsidP="00782712">
      <w:pPr>
        <w:ind w:firstLine="720"/>
        <w:jc w:val="both"/>
        <w:rPr>
          <w:rFonts w:ascii="Arial Narrow" w:hAnsi="Arial Narrow" w:cs="Times New Roman"/>
          <w:sz w:val="22"/>
          <w:szCs w:val="22"/>
        </w:rPr>
      </w:pPr>
    </w:p>
    <w:p w:rsidR="00782712" w:rsidP="00782712">
      <w:pPr>
        <w:ind w:firstLine="720"/>
        <w:jc w:val="both"/>
        <w:rPr>
          <w:rFonts w:ascii="Arial Narrow" w:hAnsi="Arial Narrow" w:cs="Times New Roman"/>
          <w:bCs/>
          <w:sz w:val="22"/>
          <w:szCs w:val="22"/>
        </w:rPr>
      </w:pPr>
      <w:r>
        <w:rPr>
          <w:rFonts w:ascii="Arial Narrow" w:hAnsi="Arial Narrow" w:cs="Times New Roman"/>
          <w:bCs/>
          <w:sz w:val="22"/>
          <w:szCs w:val="22"/>
        </w:rPr>
        <w:t>N</w:t>
      </w:r>
      <w:r w:rsidRPr="002B0106">
        <w:rPr>
          <w:rFonts w:ascii="Arial Narrow" w:hAnsi="Arial Narrow" w:cs="Times New Roman"/>
          <w:bCs/>
          <w:sz w:val="22"/>
          <w:szCs w:val="22"/>
        </w:rPr>
        <w:t xml:space="preserve">ovela zákona č. 663/2007 </w:t>
      </w:r>
      <w:r w:rsidR="00D51771">
        <w:rPr>
          <w:rFonts w:ascii="Arial Narrow" w:hAnsi="Arial Narrow" w:cs="Times New Roman"/>
          <w:bCs/>
          <w:sz w:val="22"/>
          <w:szCs w:val="22"/>
        </w:rPr>
        <w:t xml:space="preserve">Z. z. </w:t>
      </w:r>
      <w:r w:rsidRPr="002B0106">
        <w:rPr>
          <w:rFonts w:ascii="Arial Narrow" w:hAnsi="Arial Narrow" w:cs="Times New Roman"/>
          <w:bCs/>
          <w:sz w:val="22"/>
          <w:szCs w:val="22"/>
        </w:rPr>
        <w:t>o minimálnej mzde upravila mechanizmus úpravy minimálnej mzdy, ktorá umožňuje vláde svojim nariadením stanoviť výšku minimálnej mzdy nad úrovňou vypočítanou pomocou medziročného rastu priemernej mzdy v roku T-2 (doteraz platné pravidlo používané v prípade nedohody sociálnych partnerov). V nadväznosti na prijatie tohto zákona sa do legislatívneho procesu priprav</w:t>
      </w:r>
      <w:r w:rsidRPr="002B0106">
        <w:rPr>
          <w:rFonts w:ascii="Arial Narrow" w:hAnsi="Arial Narrow" w:cs="Times New Roman"/>
          <w:bCs/>
          <w:sz w:val="22"/>
          <w:szCs w:val="22"/>
        </w:rPr>
        <w:t>ilo nariadenie vlády, ktoré stanovuje minimálnu mzdu</w:t>
      </w:r>
      <w:r>
        <w:rPr>
          <w:rFonts w:ascii="Arial Narrow" w:hAnsi="Arial Narrow" w:cs="Times New Roman"/>
          <w:bCs/>
          <w:sz w:val="22"/>
          <w:szCs w:val="22"/>
        </w:rPr>
        <w:t xml:space="preserve"> v roku 2009</w:t>
      </w:r>
      <w:r w:rsidRPr="002B0106">
        <w:rPr>
          <w:rFonts w:ascii="Arial Narrow" w:hAnsi="Arial Narrow" w:cs="Times New Roman"/>
          <w:bCs/>
          <w:sz w:val="22"/>
          <w:szCs w:val="22"/>
        </w:rPr>
        <w:t xml:space="preserve"> na úrovni</w:t>
      </w:r>
      <w:r w:rsidR="00D51771">
        <w:rPr>
          <w:rFonts w:ascii="Arial Narrow" w:hAnsi="Arial Narrow" w:cs="Times New Roman"/>
          <w:bCs/>
          <w:sz w:val="22"/>
          <w:szCs w:val="22"/>
        </w:rPr>
        <w:t xml:space="preserve"> </w:t>
      </w:r>
      <w:r>
        <w:rPr>
          <w:rFonts w:ascii="Arial Narrow" w:hAnsi="Arial Narrow" w:cs="Times New Roman"/>
          <w:bCs/>
          <w:sz w:val="22"/>
          <w:szCs w:val="22"/>
        </w:rPr>
        <w:t>295,43 eur</w:t>
      </w:r>
      <w:r w:rsidRPr="002B0106">
        <w:rPr>
          <w:rFonts w:ascii="Arial Narrow" w:hAnsi="Arial Narrow" w:cs="Times New Roman"/>
          <w:bCs/>
          <w:sz w:val="22"/>
          <w:szCs w:val="22"/>
        </w:rPr>
        <w:t>. V porovnaní s júnovým predpokladom, ktorý vychádzal z vtedy platného pravidla, minimálna mzda vzrastie o </w:t>
      </w:r>
      <w:r>
        <w:rPr>
          <w:rFonts w:ascii="Arial Narrow" w:hAnsi="Arial Narrow" w:cs="Times New Roman"/>
          <w:bCs/>
          <w:sz w:val="22"/>
          <w:szCs w:val="22"/>
        </w:rPr>
        <w:t>6,97 eur</w:t>
      </w:r>
      <w:r w:rsidRPr="002B0106">
        <w:rPr>
          <w:rFonts w:ascii="Arial Narrow" w:hAnsi="Arial Narrow" w:cs="Times New Roman"/>
          <w:bCs/>
          <w:sz w:val="22"/>
          <w:szCs w:val="22"/>
        </w:rPr>
        <w:t xml:space="preserve">. Z hľadiska medziročného rastu minimálna mzda vzrastie </w:t>
      </w:r>
      <w:r w:rsidRPr="002B0106">
        <w:rPr>
          <w:rFonts w:ascii="Arial Narrow" w:hAnsi="Arial Narrow" w:cs="Times New Roman"/>
          <w:bCs/>
          <w:sz w:val="22"/>
          <w:szCs w:val="22"/>
        </w:rPr>
        <w:t>o 9,9</w:t>
      </w:r>
      <w:r w:rsidR="00D51771">
        <w:rPr>
          <w:rFonts w:ascii="Arial Narrow" w:hAnsi="Arial Narrow" w:cs="Times New Roman"/>
          <w:bCs/>
          <w:sz w:val="22"/>
          <w:szCs w:val="22"/>
        </w:rPr>
        <w:t xml:space="preserve"> </w:t>
      </w:r>
      <w:r w:rsidRPr="002B0106">
        <w:rPr>
          <w:rFonts w:ascii="Arial Narrow" w:hAnsi="Arial Narrow" w:cs="Times New Roman"/>
          <w:bCs/>
          <w:sz w:val="22"/>
          <w:szCs w:val="22"/>
        </w:rPr>
        <w:t>%, čo je v porovnaní s pôvodným predpokladom o raste priemernej mzdy (7,2</w:t>
      </w:r>
      <w:r w:rsidR="00D51771">
        <w:rPr>
          <w:rFonts w:ascii="Arial Narrow" w:hAnsi="Arial Narrow" w:cs="Times New Roman"/>
          <w:bCs/>
          <w:sz w:val="22"/>
          <w:szCs w:val="22"/>
        </w:rPr>
        <w:t xml:space="preserve"> </w:t>
      </w:r>
      <w:r w:rsidRPr="002B0106">
        <w:rPr>
          <w:rFonts w:ascii="Arial Narrow" w:hAnsi="Arial Narrow" w:cs="Times New Roman"/>
          <w:bCs/>
          <w:sz w:val="22"/>
          <w:szCs w:val="22"/>
        </w:rPr>
        <w:t>% v roku 2007) viac o 2,7 p.</w:t>
      </w:r>
      <w:r w:rsidR="00D51771">
        <w:rPr>
          <w:rFonts w:ascii="Arial Narrow" w:hAnsi="Arial Narrow" w:cs="Times New Roman"/>
          <w:bCs/>
          <w:sz w:val="22"/>
          <w:szCs w:val="22"/>
        </w:rPr>
        <w:t xml:space="preserve"> </w:t>
      </w:r>
      <w:r w:rsidRPr="002B0106">
        <w:rPr>
          <w:rFonts w:ascii="Arial Narrow" w:hAnsi="Arial Narrow" w:cs="Times New Roman"/>
          <w:bCs/>
          <w:sz w:val="22"/>
          <w:szCs w:val="22"/>
        </w:rPr>
        <w:t>b.</w:t>
      </w:r>
      <w:r>
        <w:rPr>
          <w:rFonts w:ascii="Arial Narrow" w:hAnsi="Arial Narrow" w:cs="Times New Roman"/>
          <w:bCs/>
          <w:sz w:val="22"/>
          <w:szCs w:val="22"/>
        </w:rPr>
        <w:t xml:space="preserve"> </w:t>
      </w:r>
      <w:r w:rsidRPr="002B0106">
        <w:rPr>
          <w:rFonts w:ascii="Arial Narrow" w:hAnsi="Arial Narrow" w:cs="Times New Roman"/>
          <w:bCs/>
          <w:sz w:val="22"/>
          <w:szCs w:val="22"/>
        </w:rPr>
        <w:t>Vyššia úroveň minimálnej mzdy má viacero dopadov na výšku daňových príjmov. Keďže viac ako 80</w:t>
      </w:r>
      <w:r w:rsidR="00D51771">
        <w:rPr>
          <w:rFonts w:ascii="Arial Narrow" w:hAnsi="Arial Narrow" w:cs="Times New Roman"/>
          <w:bCs/>
          <w:sz w:val="22"/>
          <w:szCs w:val="22"/>
        </w:rPr>
        <w:t xml:space="preserve"> </w:t>
      </w:r>
      <w:r w:rsidRPr="002B0106">
        <w:rPr>
          <w:rFonts w:ascii="Arial Narrow" w:hAnsi="Arial Narrow" w:cs="Times New Roman"/>
          <w:bCs/>
          <w:sz w:val="22"/>
          <w:szCs w:val="22"/>
        </w:rPr>
        <w:t xml:space="preserve">% </w:t>
      </w:r>
      <w:r w:rsidR="00D51771">
        <w:rPr>
          <w:rFonts w:ascii="Arial Narrow" w:hAnsi="Arial Narrow" w:cs="Times New Roman"/>
          <w:bCs/>
          <w:sz w:val="22"/>
          <w:szCs w:val="22"/>
        </w:rPr>
        <w:t>samostatne zárobkov činných osôb</w:t>
      </w:r>
      <w:r w:rsidRPr="002B0106">
        <w:rPr>
          <w:rFonts w:ascii="Arial Narrow" w:hAnsi="Arial Narrow" w:cs="Times New Roman"/>
          <w:bCs/>
          <w:sz w:val="22"/>
          <w:szCs w:val="22"/>
        </w:rPr>
        <w:t xml:space="preserve"> platí odvody z minimálnej mzdy, jej zvýšenie sa premietne aj do vyšších odvodov. Na druhej strane, vyššie odvody znižujú základ dane z príjmov z fyzických osôb z podnikania, čo sa prejaví na nižšom výnose dane v sume </w:t>
      </w:r>
      <w:r>
        <w:rPr>
          <w:rFonts w:ascii="Arial Narrow" w:hAnsi="Arial Narrow" w:cs="Times New Roman"/>
          <w:bCs/>
          <w:sz w:val="22"/>
          <w:szCs w:val="22"/>
        </w:rPr>
        <w:t>približne 4 050</w:t>
      </w:r>
      <w:r w:rsidRPr="002B0106">
        <w:rPr>
          <w:rFonts w:ascii="Arial Narrow" w:hAnsi="Arial Narrow" w:cs="Times New Roman"/>
          <w:bCs/>
          <w:sz w:val="22"/>
          <w:szCs w:val="22"/>
        </w:rPr>
        <w:t xml:space="preserve"> </w:t>
      </w:r>
      <w:r>
        <w:rPr>
          <w:rFonts w:ascii="Arial Narrow" w:hAnsi="Arial Narrow" w:cs="Times New Roman"/>
          <w:bCs/>
          <w:sz w:val="22"/>
          <w:szCs w:val="22"/>
        </w:rPr>
        <w:t>tis. eur</w:t>
      </w:r>
      <w:r w:rsidRPr="002B0106">
        <w:rPr>
          <w:rFonts w:ascii="Arial Narrow" w:hAnsi="Arial Narrow" w:cs="Times New Roman"/>
          <w:bCs/>
          <w:sz w:val="22"/>
          <w:szCs w:val="22"/>
        </w:rPr>
        <w:t xml:space="preserve"> </w:t>
      </w:r>
      <w:r>
        <w:rPr>
          <w:rFonts w:ascii="Arial Narrow" w:hAnsi="Arial Narrow" w:cs="Times New Roman"/>
          <w:bCs/>
          <w:sz w:val="22"/>
          <w:szCs w:val="22"/>
        </w:rPr>
        <w:t>v roku 2009</w:t>
      </w:r>
      <w:r w:rsidRPr="002B0106">
        <w:rPr>
          <w:rFonts w:ascii="Arial Narrow" w:hAnsi="Arial Narrow" w:cs="Times New Roman"/>
          <w:bCs/>
          <w:sz w:val="22"/>
          <w:szCs w:val="22"/>
        </w:rPr>
        <w:t>. Vyššia minimálna mzda bude mať vplyv aj na parametre zamestnaneckej prémie</w:t>
      </w:r>
      <w:r>
        <w:rPr>
          <w:rFonts w:ascii="Arial Narrow" w:hAnsi="Arial Narrow" w:cs="Times New Roman"/>
          <w:bCs/>
          <w:sz w:val="22"/>
          <w:szCs w:val="22"/>
        </w:rPr>
        <w:t>.</w:t>
      </w:r>
      <w:r w:rsidR="00D51771">
        <w:rPr>
          <w:rFonts w:ascii="Arial Narrow" w:hAnsi="Arial Narrow" w:cs="Times New Roman"/>
          <w:bCs/>
          <w:sz w:val="22"/>
          <w:szCs w:val="22"/>
        </w:rPr>
        <w:t xml:space="preserve"> </w:t>
      </w:r>
    </w:p>
    <w:p w:rsidR="00D51771" w:rsidP="00782712">
      <w:pPr>
        <w:ind w:firstLine="720"/>
        <w:jc w:val="both"/>
        <w:rPr>
          <w:rFonts w:ascii="Arial Narrow" w:hAnsi="Arial Narrow" w:cs="Times New Roman"/>
          <w:bCs/>
          <w:sz w:val="22"/>
          <w:szCs w:val="22"/>
        </w:rPr>
      </w:pPr>
    </w:p>
    <w:p w:rsidR="00782712" w:rsidP="00782712">
      <w:pPr>
        <w:ind w:firstLine="720"/>
        <w:jc w:val="both"/>
        <w:rPr>
          <w:rFonts w:ascii="Arial Narrow" w:hAnsi="Arial Narrow" w:cs="Times New Roman"/>
          <w:bCs/>
          <w:sz w:val="22"/>
          <w:szCs w:val="22"/>
        </w:rPr>
      </w:pPr>
      <w:r w:rsidRPr="00872CE5">
        <w:rPr>
          <w:rFonts w:ascii="Arial Narrow" w:hAnsi="Arial Narrow" w:cs="Times New Roman"/>
          <w:sz w:val="22"/>
          <w:szCs w:val="22"/>
        </w:rPr>
        <w:t xml:space="preserve">Podľa navrhovanej novely zákona č. 595/2003 </w:t>
      </w:r>
      <w:r w:rsidR="003D611C">
        <w:rPr>
          <w:rFonts w:ascii="Arial Narrow" w:hAnsi="Arial Narrow" w:cs="Times New Roman"/>
          <w:sz w:val="22"/>
          <w:szCs w:val="22"/>
        </w:rPr>
        <w:t xml:space="preserve">Z. z. </w:t>
      </w:r>
      <w:r w:rsidRPr="00872CE5">
        <w:rPr>
          <w:rFonts w:ascii="Arial Narrow" w:hAnsi="Arial Narrow" w:cs="Times New Roman"/>
          <w:sz w:val="22"/>
          <w:szCs w:val="22"/>
        </w:rPr>
        <w:t>o dani z príjm</w:t>
      </w:r>
      <w:r w:rsidR="003D611C">
        <w:rPr>
          <w:rFonts w:ascii="Arial Narrow" w:hAnsi="Arial Narrow" w:cs="Times New Roman"/>
          <w:sz w:val="22"/>
          <w:szCs w:val="22"/>
        </w:rPr>
        <w:t>ov</w:t>
      </w:r>
      <w:r w:rsidRPr="00872CE5">
        <w:rPr>
          <w:rFonts w:ascii="Arial Narrow" w:hAnsi="Arial Narrow" w:cs="Times New Roman"/>
          <w:sz w:val="22"/>
          <w:szCs w:val="22"/>
        </w:rPr>
        <w:t xml:space="preserve"> sa od 1.</w:t>
      </w:r>
      <w:r w:rsidR="003D611C">
        <w:rPr>
          <w:rFonts w:ascii="Arial Narrow" w:hAnsi="Arial Narrow" w:cs="Times New Roman"/>
          <w:sz w:val="22"/>
          <w:szCs w:val="22"/>
        </w:rPr>
        <w:t xml:space="preserve"> </w:t>
      </w:r>
      <w:r w:rsidRPr="00872CE5">
        <w:rPr>
          <w:rFonts w:ascii="Arial Narrow" w:hAnsi="Arial Narrow" w:cs="Times New Roman"/>
          <w:sz w:val="22"/>
          <w:szCs w:val="22"/>
        </w:rPr>
        <w:t>1.</w:t>
      </w:r>
      <w:r w:rsidR="003D611C">
        <w:rPr>
          <w:rFonts w:ascii="Arial Narrow" w:hAnsi="Arial Narrow" w:cs="Times New Roman"/>
          <w:sz w:val="22"/>
          <w:szCs w:val="22"/>
        </w:rPr>
        <w:t xml:space="preserve"> </w:t>
      </w:r>
      <w:r w:rsidRPr="00872CE5">
        <w:rPr>
          <w:rFonts w:ascii="Arial Narrow" w:hAnsi="Arial Narrow" w:cs="Times New Roman"/>
          <w:sz w:val="22"/>
          <w:szCs w:val="22"/>
        </w:rPr>
        <w:t>2009 zavádza</w:t>
      </w:r>
      <w:r w:rsidRPr="00872CE5">
        <w:rPr>
          <w:rFonts w:ascii="Arial Narrow" w:hAnsi="Arial Narrow" w:cs="Times New Roman"/>
          <w:bCs/>
          <w:sz w:val="22"/>
          <w:szCs w:val="22"/>
        </w:rPr>
        <w:t xml:space="preserve"> zamestnanecká prémia. Jej výška sa určí ako 19</w:t>
      </w:r>
      <w:r w:rsidR="003D611C">
        <w:rPr>
          <w:rFonts w:ascii="Arial Narrow" w:hAnsi="Arial Narrow" w:cs="Times New Roman"/>
          <w:bCs/>
          <w:sz w:val="22"/>
          <w:szCs w:val="22"/>
        </w:rPr>
        <w:t xml:space="preserve"> </w:t>
      </w:r>
      <w:r w:rsidRPr="00872CE5">
        <w:rPr>
          <w:rFonts w:ascii="Arial Narrow" w:hAnsi="Arial Narrow" w:cs="Times New Roman"/>
          <w:bCs/>
          <w:sz w:val="22"/>
          <w:szCs w:val="22"/>
        </w:rPr>
        <w:t xml:space="preserve">% z tej časti nezdaniteľnej časti základu dane, ktorá prevyšuje základ dane. Takto vypočítaná suma bude predstavovať nárok zamestnanca na doplatok zo strany štátu. Najvyššiu zamestnaneckú prémiu vo výške 70 </w:t>
      </w:r>
      <w:r w:rsidR="003D611C">
        <w:rPr>
          <w:rFonts w:ascii="Arial Narrow" w:hAnsi="Arial Narrow" w:cs="Times New Roman"/>
          <w:bCs/>
          <w:sz w:val="22"/>
          <w:szCs w:val="22"/>
        </w:rPr>
        <w:t>eur</w:t>
      </w:r>
      <w:r w:rsidRPr="00872CE5">
        <w:rPr>
          <w:rFonts w:ascii="Arial Narrow" w:hAnsi="Arial Narrow" w:cs="Times New Roman"/>
          <w:bCs/>
          <w:sz w:val="22"/>
          <w:szCs w:val="22"/>
        </w:rPr>
        <w:t>/rok (v roku 2009) budú dostávať zamestnanci s príjmom v intervale od polovice minimálnej mzdy do min</w:t>
      </w:r>
      <w:r w:rsidRPr="00872CE5">
        <w:rPr>
          <w:rFonts w:ascii="Arial Narrow" w:hAnsi="Arial Narrow" w:cs="Times New Roman"/>
          <w:bCs/>
          <w:sz w:val="22"/>
          <w:szCs w:val="22"/>
        </w:rPr>
        <w:t xml:space="preserve">imálnej </w:t>
      </w:r>
      <w:r w:rsidRPr="00453D14">
        <w:rPr>
          <w:rFonts w:ascii="Arial Narrow" w:hAnsi="Arial Narrow" w:cs="Times New Roman"/>
          <w:bCs/>
          <w:sz w:val="22"/>
          <w:szCs w:val="22"/>
        </w:rPr>
        <w:t xml:space="preserve">mzdy (295,43 </w:t>
      </w:r>
      <w:r>
        <w:rPr>
          <w:rFonts w:ascii="Arial Narrow" w:hAnsi="Arial Narrow" w:cs="Times New Roman"/>
          <w:bCs/>
          <w:sz w:val="22"/>
          <w:szCs w:val="22"/>
        </w:rPr>
        <w:t>eur</w:t>
      </w:r>
      <w:r w:rsidRPr="00872CE5">
        <w:rPr>
          <w:rFonts w:ascii="Arial Narrow" w:hAnsi="Arial Narrow" w:cs="Times New Roman"/>
          <w:bCs/>
          <w:sz w:val="22"/>
          <w:szCs w:val="22"/>
        </w:rPr>
        <w:t xml:space="preserve"> v roku 2009) ak odpracujú 12 mesiacov. Zamestnanecká prémia sa prvýkrát vysporiada  v rámci ročného zúčtovania preddavkov na daň alebo podaním daňového priznania typu A v roku 2010 za zdaňovacie obdobie roku 2009.</w:t>
      </w:r>
      <w:r>
        <w:rPr>
          <w:rFonts w:ascii="Arial Narrow" w:hAnsi="Arial Narrow" w:cs="Times New Roman"/>
          <w:bCs/>
          <w:sz w:val="22"/>
          <w:szCs w:val="22"/>
        </w:rPr>
        <w:t xml:space="preserve"> </w:t>
      </w:r>
    </w:p>
    <w:p w:rsidR="00782712" w:rsidP="00782712">
      <w:pPr>
        <w:ind w:firstLine="720"/>
        <w:jc w:val="both"/>
        <w:rPr>
          <w:rFonts w:ascii="Arial Narrow" w:hAnsi="Arial Narrow" w:cs="Times New Roman"/>
          <w:bCs/>
          <w:sz w:val="22"/>
          <w:szCs w:val="22"/>
        </w:rPr>
      </w:pPr>
    </w:p>
    <w:p w:rsidR="00782712" w:rsidRPr="00C41E76" w:rsidP="00782712">
      <w:pPr>
        <w:ind w:firstLine="720"/>
        <w:jc w:val="both"/>
        <w:rPr>
          <w:rFonts w:ascii="Arial Narrow" w:hAnsi="Arial Narrow" w:cs="Times New Roman"/>
          <w:sz w:val="22"/>
          <w:szCs w:val="22"/>
        </w:rPr>
      </w:pPr>
      <w:r w:rsidRPr="00C41E76">
        <w:rPr>
          <w:rFonts w:ascii="Arial Narrow" w:hAnsi="Arial Narrow" w:cs="Times New Roman"/>
          <w:sz w:val="22"/>
          <w:szCs w:val="22"/>
        </w:rPr>
        <w:t>Z hľadiska výnosu daní je podstatné, že</w:t>
      </w:r>
      <w:r>
        <w:rPr>
          <w:rFonts w:ascii="Arial Narrow" w:hAnsi="Arial Narrow" w:cs="Times New Roman"/>
          <w:sz w:val="22"/>
          <w:szCs w:val="22"/>
        </w:rPr>
        <w:t xml:space="preserve"> tieto opatrenia majú len mierne</w:t>
      </w:r>
      <w:r w:rsidRPr="00C41E76">
        <w:rPr>
          <w:rFonts w:ascii="Arial Narrow" w:hAnsi="Arial Narrow" w:cs="Times New Roman"/>
          <w:sz w:val="22"/>
          <w:szCs w:val="22"/>
        </w:rPr>
        <w:t xml:space="preserve"> negatívny dopad na celkový výnos dane </w:t>
      </w:r>
      <w:r>
        <w:rPr>
          <w:rFonts w:ascii="Arial Narrow" w:hAnsi="Arial Narrow" w:cs="Times New Roman"/>
          <w:sz w:val="22"/>
          <w:szCs w:val="22"/>
        </w:rPr>
        <w:t>z príjm</w:t>
      </w:r>
      <w:r w:rsidR="003D611C">
        <w:rPr>
          <w:rFonts w:ascii="Arial Narrow" w:hAnsi="Arial Narrow" w:cs="Times New Roman"/>
          <w:sz w:val="22"/>
          <w:szCs w:val="22"/>
        </w:rPr>
        <w:t>ov</w:t>
      </w:r>
      <w:r>
        <w:rPr>
          <w:rFonts w:ascii="Arial Narrow" w:hAnsi="Arial Narrow" w:cs="Times New Roman"/>
          <w:sz w:val="22"/>
          <w:szCs w:val="22"/>
        </w:rPr>
        <w:t xml:space="preserve"> fyzických osôb.</w:t>
      </w:r>
    </w:p>
    <w:p w:rsidR="00782712" w:rsidP="00782712">
      <w:pPr>
        <w:jc w:val="both"/>
        <w:rPr>
          <w:rFonts w:ascii="Arial Narrow" w:hAnsi="Arial Narrow" w:cs="Arial Narrow"/>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5670"/>
        <w:gridCol w:w="1134"/>
        <w:gridCol w:w="1134"/>
        <w:gridCol w:w="1134"/>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4"/>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P="00782712">
            <w:pPr>
              <w:rPr>
                <w:rFonts w:ascii="Arial Narrow" w:hAnsi="Arial Narrow" w:cs="Arial"/>
                <w:b/>
                <w:bCs/>
                <w:color w:val="FFFFFF"/>
                <w:sz w:val="20"/>
              </w:rPr>
            </w:pPr>
            <w:r>
              <w:rPr>
                <w:rFonts w:ascii="Arial Narrow" w:hAnsi="Arial Narrow" w:cs="Arial"/>
                <w:b/>
                <w:bCs/>
                <w:color w:val="FFFFFF"/>
                <w:sz w:val="20"/>
              </w:rPr>
              <w:t>Dopad noviel zákona č. 595/2003</w:t>
            </w:r>
            <w:r w:rsidR="003D611C">
              <w:rPr>
                <w:rFonts w:ascii="Arial Narrow" w:hAnsi="Arial Narrow" w:cs="Arial"/>
                <w:b/>
                <w:bCs/>
                <w:color w:val="FFFFFF"/>
                <w:sz w:val="20"/>
              </w:rPr>
              <w:t xml:space="preserve"> Z. z. </w:t>
            </w:r>
            <w:r>
              <w:rPr>
                <w:rFonts w:ascii="Arial Narrow" w:hAnsi="Arial Narrow" w:cs="Arial"/>
                <w:b/>
                <w:bCs/>
                <w:color w:val="FFFFFF"/>
                <w:sz w:val="20"/>
              </w:rPr>
              <w:t>o dani z príjm</w:t>
            </w:r>
            <w:r w:rsidR="003D611C">
              <w:rPr>
                <w:rFonts w:ascii="Arial Narrow" w:hAnsi="Arial Narrow" w:cs="Arial"/>
                <w:b/>
                <w:bCs/>
                <w:color w:val="FFFFFF"/>
                <w:sz w:val="20"/>
              </w:rPr>
              <w:t>ov</w:t>
            </w:r>
            <w:r>
              <w:rPr>
                <w:rFonts w:ascii="Arial Narrow" w:hAnsi="Arial Narrow" w:cs="Arial"/>
                <w:b/>
                <w:bCs/>
                <w:color w:val="FFFFFF"/>
                <w:sz w:val="20"/>
              </w:rPr>
              <w:t xml:space="preserve"> (ESA</w:t>
            </w:r>
            <w:r w:rsidR="003D611C">
              <w:rPr>
                <w:rFonts w:ascii="Arial Narrow" w:hAnsi="Arial Narrow" w:cs="Arial"/>
                <w:b/>
                <w:bCs/>
                <w:color w:val="FFFFFF"/>
                <w:sz w:val="20"/>
              </w:rPr>
              <w:t xml:space="preserve"> </w:t>
            </w:r>
            <w:r>
              <w:rPr>
                <w:rFonts w:ascii="Arial Narrow" w:hAnsi="Arial Narrow" w:cs="Arial"/>
                <w:b/>
                <w:bCs/>
                <w:color w:val="FFFFFF"/>
                <w:sz w:val="20"/>
              </w:rPr>
              <w:t>95, tis. eur)</w:t>
            </w:r>
          </w:p>
        </w:tc>
      </w:tr>
      <w:tr>
        <w:tblPrEx>
          <w:tblW w:w="9072" w:type="dxa"/>
          <w:jc w:val="center"/>
          <w:tblCellMar>
            <w:left w:w="70" w:type="dxa"/>
            <w:right w:w="70" w:type="dxa"/>
          </w:tblCellMar>
        </w:tblPrEx>
        <w:trPr>
          <w:trHeight w:val="270"/>
          <w:jc w:val="center"/>
        </w:trPr>
        <w:tc>
          <w:tcPr>
            <w:tcW w:w="567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rPr>
                <w:rFonts w:ascii="Arial Narrow" w:hAnsi="Arial Narrow" w:cs="Arial"/>
                <w:sz w:val="18"/>
                <w:szCs w:val="18"/>
              </w:rPr>
            </w:pPr>
            <w:r w:rsidRPr="00E560E1">
              <w:rPr>
                <w:rFonts w:ascii="Arial Narrow" w:hAnsi="Arial Narrow" w:cs="Arial"/>
                <w:sz w:val="18"/>
                <w:szCs w:val="18"/>
              </w:rPr>
              <w:t> </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2009</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2010</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2011</w:t>
            </w:r>
          </w:p>
        </w:tc>
      </w:tr>
      <w:tr>
        <w:tblPrEx>
          <w:tblW w:w="9072" w:type="dxa"/>
          <w:jc w:val="center"/>
          <w:tblCellMar>
            <w:left w:w="70" w:type="dxa"/>
            <w:right w:w="70" w:type="dxa"/>
          </w:tblCellMar>
        </w:tblPrEx>
        <w:trPr>
          <w:trHeight w:val="435"/>
          <w:jc w:val="center"/>
        </w:trPr>
        <w:tc>
          <w:tcPr>
            <w:tcW w:w="56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F36CC2" w:rsidP="00782712">
            <w:pPr>
              <w:rPr>
                <w:rFonts w:ascii="Arial Narrow" w:hAnsi="Arial Narrow" w:cs="Arial"/>
                <w:sz w:val="18"/>
                <w:szCs w:val="18"/>
              </w:rPr>
            </w:pPr>
            <w:r w:rsidRPr="00F36CC2">
              <w:rPr>
                <w:rFonts w:ascii="Arial Narrow" w:hAnsi="Arial Narrow" w:cs="Arial"/>
                <w:sz w:val="18"/>
                <w:szCs w:val="18"/>
              </w:rPr>
              <w:t>Úprava čiastkového základu dane o náklady na ďalšie vzdelávanie lekárov, stomatológov, sestier a pôrodných asistentiek</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-133</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F36CC2" w:rsidP="00782712">
            <w:pPr>
              <w:rPr>
                <w:rFonts w:ascii="Arial Narrow" w:hAnsi="Arial Narrow" w:cs="Arial"/>
                <w:sz w:val="18"/>
                <w:szCs w:val="18"/>
              </w:rPr>
            </w:pPr>
            <w:r w:rsidRPr="00F36CC2">
              <w:rPr>
                <w:rFonts w:ascii="Arial Narrow" w:hAnsi="Arial Narrow" w:cs="Arial"/>
                <w:sz w:val="18"/>
                <w:szCs w:val="18"/>
              </w:rPr>
              <w:t>Oslobodenie doktorandského štipendia od dane z príjmu</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-166</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782712">
            <w:pPr>
              <w:rPr>
                <w:rFonts w:ascii="Arial Narrow" w:hAnsi="Arial Narrow" w:cs="Arial"/>
                <w:bCs/>
                <w:color w:val="000000"/>
                <w:sz w:val="18"/>
                <w:szCs w:val="18"/>
              </w:rPr>
            </w:pPr>
            <w:r w:rsidRPr="00F36CC2">
              <w:rPr>
                <w:rFonts w:ascii="Arial Narrow" w:hAnsi="Arial Narrow" w:cs="Arial"/>
                <w:bCs/>
                <w:color w:val="000000"/>
                <w:sz w:val="18"/>
                <w:szCs w:val="18"/>
              </w:rPr>
              <w:t>Úprava minimálnej mzdy v roku 2009</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-4 050</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-4 348</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-4 647</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782712">
            <w:pPr>
              <w:rPr>
                <w:rFonts w:ascii="Arial Narrow" w:hAnsi="Arial Narrow" w:cs="Arial"/>
                <w:bCs/>
                <w:color w:val="000000"/>
                <w:sz w:val="18"/>
                <w:szCs w:val="18"/>
                <w:highlight w:val="cyan"/>
              </w:rPr>
            </w:pPr>
            <w:r w:rsidRPr="00F36CC2">
              <w:rPr>
                <w:rFonts w:ascii="Arial Narrow" w:hAnsi="Arial Narrow" w:cs="Arial"/>
                <w:bCs/>
                <w:color w:val="000000"/>
                <w:sz w:val="18"/>
                <w:szCs w:val="18"/>
              </w:rPr>
              <w:t>Zavedenie zamestnaneckej prémie</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0</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w:t>
            </w:r>
            <w:r w:rsidRPr="00F36CC2">
              <w:rPr>
                <w:rFonts w:ascii="Arial Narrow" w:hAnsi="Arial Narrow" w:cs="Times New Roman"/>
                <w:sz w:val="18"/>
                <w:szCs w:val="18"/>
              </w:rPr>
              <w:t>8 133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sz w:val="18"/>
                <w:szCs w:val="18"/>
              </w:rPr>
            </w:pPr>
            <w:r w:rsidRPr="00F36CC2">
              <w:rPr>
                <w:rFonts w:ascii="Arial Narrow" w:hAnsi="Arial Narrow" w:cs="Times New Roman"/>
                <w:sz w:val="18"/>
                <w:szCs w:val="18"/>
              </w:rPr>
              <w:t>-6 174</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782712">
            <w:pPr>
              <w:rPr>
                <w:rFonts w:ascii="Arial Narrow" w:hAnsi="Arial Narrow" w:cs="Arial"/>
                <w:b/>
                <w:bCs/>
                <w:sz w:val="18"/>
                <w:szCs w:val="18"/>
              </w:rPr>
            </w:pPr>
            <w:r w:rsidRPr="00F36CC2">
              <w:rPr>
                <w:rFonts w:ascii="Arial Narrow" w:hAnsi="Arial Narrow" w:cs="Arial"/>
                <w:b/>
                <w:bCs/>
                <w:sz w:val="18"/>
                <w:szCs w:val="18"/>
              </w:rPr>
              <w:t>SPOLU</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b/>
                <w:bCs/>
                <w:sz w:val="18"/>
                <w:szCs w:val="18"/>
              </w:rPr>
            </w:pPr>
            <w:r w:rsidRPr="00F36CC2">
              <w:rPr>
                <w:rFonts w:ascii="Arial Narrow" w:hAnsi="Arial Narrow" w:cs="Times New Roman"/>
                <w:b/>
                <w:bCs/>
                <w:sz w:val="18"/>
                <w:szCs w:val="18"/>
              </w:rPr>
              <w:t>-4 316</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b/>
                <w:bCs/>
                <w:sz w:val="18"/>
                <w:szCs w:val="18"/>
              </w:rPr>
            </w:pPr>
            <w:r w:rsidRPr="00F36CC2">
              <w:rPr>
                <w:rFonts w:ascii="Arial Narrow" w:hAnsi="Arial Narrow" w:cs="Times New Roman"/>
                <w:b/>
                <w:bCs/>
                <w:sz w:val="18"/>
                <w:szCs w:val="18"/>
              </w:rPr>
              <w:t>-12 747</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F36CC2" w:rsidP="00694E16">
            <w:pPr>
              <w:jc w:val="right"/>
              <w:rPr>
                <w:rFonts w:ascii="Arial Narrow" w:hAnsi="Arial Narrow" w:cs="Times New Roman"/>
                <w:b/>
                <w:bCs/>
                <w:sz w:val="18"/>
                <w:szCs w:val="18"/>
              </w:rPr>
            </w:pPr>
            <w:r w:rsidRPr="00F36CC2">
              <w:rPr>
                <w:rFonts w:ascii="Arial Narrow" w:hAnsi="Arial Narrow" w:cs="Times New Roman"/>
                <w:b/>
                <w:bCs/>
                <w:sz w:val="18"/>
                <w:szCs w:val="18"/>
              </w:rPr>
              <w:t>-11 120</w:t>
            </w:r>
          </w:p>
        </w:tc>
      </w:tr>
    </w:tbl>
    <w:p w:rsidR="00782712" w:rsidP="00782712">
      <w:pPr>
        <w:jc w:val="both"/>
        <w:rPr>
          <w:rFonts w:ascii="Arial Narrow" w:hAnsi="Arial Narrow" w:cs="Arial Narrow"/>
          <w:sz w:val="22"/>
          <w:szCs w:val="22"/>
        </w:rPr>
      </w:pPr>
    </w:p>
    <w:p w:rsidR="00782712" w:rsidP="00782712">
      <w:pPr>
        <w:jc w:val="both"/>
        <w:rPr>
          <w:rFonts w:ascii="Arial Narrow" w:hAnsi="Arial Narrow" w:cs="Arial Narrow"/>
          <w:sz w:val="22"/>
          <w:szCs w:val="22"/>
        </w:rPr>
      </w:pPr>
      <w:r>
        <w:rPr>
          <w:rFonts w:ascii="Arial Narrow" w:hAnsi="Arial Narrow" w:cs="Arial Narrow"/>
          <w:sz w:val="22"/>
          <w:szCs w:val="22"/>
        </w:rPr>
        <w:tab/>
        <w:t xml:space="preserve">Výnos </w:t>
      </w:r>
      <w:r w:rsidRPr="00F237A2">
        <w:rPr>
          <w:rFonts w:ascii="Arial Narrow" w:hAnsi="Arial Narrow" w:cs="Arial Narrow"/>
          <w:b/>
          <w:sz w:val="22"/>
          <w:szCs w:val="22"/>
        </w:rPr>
        <w:t>dane z príjmov vyberanej zrážkou</w:t>
      </w:r>
      <w:r>
        <w:rPr>
          <w:rFonts w:ascii="Arial Narrow" w:hAnsi="Arial Narrow" w:cs="Arial Narrow"/>
          <w:sz w:val="22"/>
          <w:szCs w:val="22"/>
        </w:rPr>
        <w:t xml:space="preserve"> bude ovplyvnený zavedením zdaňovania vráteného poistného zo zaplateného poistného na verejné zdravotné poistenie s účinnosťou od 1.</w:t>
      </w:r>
      <w:r w:rsidR="00462247">
        <w:rPr>
          <w:rFonts w:ascii="Arial Narrow" w:hAnsi="Arial Narrow" w:cs="Arial Narrow"/>
          <w:sz w:val="22"/>
          <w:szCs w:val="22"/>
        </w:rPr>
        <w:t xml:space="preserve"> </w:t>
      </w:r>
      <w:r>
        <w:rPr>
          <w:rFonts w:ascii="Arial Narrow" w:hAnsi="Arial Narrow" w:cs="Arial Narrow"/>
          <w:sz w:val="22"/>
          <w:szCs w:val="22"/>
        </w:rPr>
        <w:t>1.</w:t>
      </w:r>
      <w:r w:rsidR="00462247">
        <w:rPr>
          <w:rFonts w:ascii="Arial Narrow" w:hAnsi="Arial Narrow" w:cs="Arial Narrow"/>
          <w:sz w:val="22"/>
          <w:szCs w:val="22"/>
        </w:rPr>
        <w:t xml:space="preserve"> </w:t>
      </w:r>
      <w:r>
        <w:rPr>
          <w:rFonts w:ascii="Arial Narrow" w:hAnsi="Arial Narrow" w:cs="Arial Narrow"/>
          <w:sz w:val="22"/>
          <w:szCs w:val="22"/>
        </w:rPr>
        <w:t>2009. Prvýkrát sa bude zdaňovanie týkať zúčtovania zdravotného poistenia za rok 2008. Táto legislatívna zmena zvýši výnos zrážkovej dane o 1 162 tis. eur ročne od roku 2009.</w:t>
      </w:r>
    </w:p>
    <w:p w:rsidR="00782712" w:rsidP="00782712">
      <w:pPr>
        <w:jc w:val="both"/>
        <w:rPr>
          <w:rFonts w:ascii="Arial Narrow" w:hAnsi="Arial Narrow" w:cs="Arial Narrow"/>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5670"/>
        <w:gridCol w:w="1134"/>
        <w:gridCol w:w="1134"/>
        <w:gridCol w:w="1134"/>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4"/>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P="00782712">
            <w:pPr>
              <w:rPr>
                <w:rFonts w:ascii="Arial Narrow" w:hAnsi="Arial Narrow" w:cs="Arial"/>
                <w:b/>
                <w:bCs/>
                <w:color w:val="FFFFFF"/>
                <w:sz w:val="20"/>
              </w:rPr>
            </w:pPr>
            <w:r>
              <w:rPr>
                <w:rFonts w:ascii="Arial Narrow" w:hAnsi="Arial Narrow" w:cs="Arial"/>
                <w:b/>
                <w:bCs/>
                <w:color w:val="FFFFFF"/>
                <w:sz w:val="20"/>
              </w:rPr>
              <w:t>Daň z príjmov vyberaná zrážkou (ESA</w:t>
            </w:r>
            <w:r w:rsidR="00462247">
              <w:rPr>
                <w:rFonts w:ascii="Arial Narrow" w:hAnsi="Arial Narrow" w:cs="Arial"/>
                <w:b/>
                <w:bCs/>
                <w:color w:val="FFFFFF"/>
                <w:sz w:val="20"/>
              </w:rPr>
              <w:t xml:space="preserve"> </w:t>
            </w:r>
            <w:r>
              <w:rPr>
                <w:rFonts w:ascii="Arial Narrow" w:hAnsi="Arial Narrow" w:cs="Arial"/>
                <w:b/>
                <w:bCs/>
                <w:color w:val="FFFFFF"/>
                <w:sz w:val="20"/>
              </w:rPr>
              <w:t>95, tis. eur)</w:t>
            </w:r>
          </w:p>
        </w:tc>
      </w:tr>
      <w:tr>
        <w:tblPrEx>
          <w:tblW w:w="9072" w:type="dxa"/>
          <w:jc w:val="center"/>
          <w:tblCellMar>
            <w:left w:w="70" w:type="dxa"/>
            <w:right w:w="70" w:type="dxa"/>
          </w:tblCellMar>
        </w:tblPrEx>
        <w:trPr>
          <w:trHeight w:val="270"/>
          <w:jc w:val="center"/>
        </w:trPr>
        <w:tc>
          <w:tcPr>
            <w:tcW w:w="567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rPr>
                <w:rFonts w:ascii="Arial Narrow" w:hAnsi="Arial Narrow" w:cs="Arial"/>
                <w:sz w:val="18"/>
                <w:szCs w:val="18"/>
              </w:rPr>
            </w:pPr>
            <w:r w:rsidRPr="00E560E1">
              <w:rPr>
                <w:rFonts w:ascii="Arial Narrow" w:hAnsi="Arial Narrow" w:cs="Arial"/>
                <w:sz w:val="18"/>
                <w:szCs w:val="18"/>
              </w:rPr>
              <w:t> </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2009</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2010</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2011</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782712">
            <w:pPr>
              <w:rPr>
                <w:rFonts w:ascii="Arial Narrow" w:hAnsi="Arial Narrow" w:cs="Arial"/>
                <w:bCs/>
                <w:sz w:val="18"/>
                <w:szCs w:val="18"/>
              </w:rPr>
            </w:pPr>
            <w:r w:rsidRPr="00AE4ACC">
              <w:rPr>
                <w:rFonts w:ascii="Arial Narrow" w:hAnsi="Arial Narrow" w:cs="Arial"/>
                <w:bCs/>
                <w:sz w:val="18"/>
                <w:szCs w:val="18"/>
              </w:rPr>
              <w:t xml:space="preserve">Zavedenie zdaňovania </w:t>
            </w:r>
            <w:r>
              <w:rPr>
                <w:rFonts w:ascii="Arial Narrow" w:hAnsi="Arial Narrow" w:cs="Arial"/>
                <w:bCs/>
                <w:sz w:val="18"/>
                <w:szCs w:val="18"/>
              </w:rPr>
              <w:t>vráteného poistného na vere</w:t>
            </w:r>
            <w:r>
              <w:rPr>
                <w:rFonts w:ascii="Arial Narrow" w:hAnsi="Arial Narrow" w:cs="Arial"/>
                <w:bCs/>
                <w:sz w:val="18"/>
                <w:szCs w:val="18"/>
              </w:rPr>
              <w:t>jné zdravotné poistenie</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1 162</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1 162</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1 162</w:t>
            </w:r>
          </w:p>
        </w:tc>
      </w:tr>
    </w:tbl>
    <w:p w:rsidR="00782712" w:rsidP="00782712">
      <w:pPr>
        <w:jc w:val="both"/>
        <w:rPr>
          <w:rFonts w:ascii="Arial Narrow" w:hAnsi="Arial Narrow" w:cs="Arial Narrow"/>
          <w:sz w:val="22"/>
          <w:szCs w:val="22"/>
        </w:rPr>
      </w:pPr>
    </w:p>
    <w:p w:rsidR="00782712" w:rsidP="00782712">
      <w:pPr>
        <w:jc w:val="both"/>
        <w:rPr>
          <w:rFonts w:ascii="Arial Narrow" w:hAnsi="Arial Narrow" w:cs="Arial Narrow"/>
          <w:sz w:val="22"/>
          <w:szCs w:val="22"/>
        </w:rPr>
      </w:pPr>
      <w:r>
        <w:rPr>
          <w:rFonts w:ascii="Arial Narrow" w:hAnsi="Arial Narrow" w:cs="Arial Narrow"/>
          <w:sz w:val="22"/>
          <w:szCs w:val="22"/>
        </w:rPr>
        <w:tab/>
        <w:t xml:space="preserve">V prípade </w:t>
      </w:r>
      <w:r w:rsidRPr="00A015F7">
        <w:rPr>
          <w:rFonts w:ascii="Arial Narrow" w:hAnsi="Arial Narrow" w:cs="Arial Narrow"/>
          <w:b/>
          <w:sz w:val="22"/>
          <w:szCs w:val="22"/>
        </w:rPr>
        <w:t>dane z pridanej hodnoty</w:t>
      </w:r>
      <w:r>
        <w:rPr>
          <w:rFonts w:ascii="Arial Narrow" w:hAnsi="Arial Narrow" w:cs="Arial Narrow"/>
          <w:sz w:val="22"/>
          <w:szCs w:val="22"/>
        </w:rPr>
        <w:t xml:space="preserve"> a </w:t>
      </w:r>
      <w:r w:rsidRPr="00A015F7">
        <w:rPr>
          <w:rFonts w:ascii="Arial Narrow" w:hAnsi="Arial Narrow" w:cs="Arial Narrow"/>
          <w:b/>
          <w:sz w:val="22"/>
          <w:szCs w:val="22"/>
        </w:rPr>
        <w:t>spotrebných daní</w:t>
      </w:r>
      <w:r>
        <w:rPr>
          <w:rFonts w:ascii="Arial Narrow" w:hAnsi="Arial Narrow" w:cs="Arial Narrow"/>
          <w:sz w:val="22"/>
          <w:szCs w:val="22"/>
        </w:rPr>
        <w:t xml:space="preserve"> dôjde k 1.</w:t>
      </w:r>
      <w:r w:rsidR="00462247">
        <w:rPr>
          <w:rFonts w:ascii="Arial Narrow" w:hAnsi="Arial Narrow" w:cs="Arial Narrow"/>
          <w:sz w:val="22"/>
          <w:szCs w:val="22"/>
        </w:rPr>
        <w:t xml:space="preserve"> </w:t>
      </w:r>
      <w:r>
        <w:rPr>
          <w:rFonts w:ascii="Arial Narrow" w:hAnsi="Arial Narrow" w:cs="Arial Narrow"/>
          <w:sz w:val="22"/>
          <w:szCs w:val="22"/>
        </w:rPr>
        <w:t>12.</w:t>
      </w:r>
      <w:r w:rsidR="00462247">
        <w:rPr>
          <w:rFonts w:ascii="Arial Narrow" w:hAnsi="Arial Narrow" w:cs="Arial Narrow"/>
          <w:sz w:val="22"/>
          <w:szCs w:val="22"/>
        </w:rPr>
        <w:t xml:space="preserve"> </w:t>
      </w:r>
      <w:r>
        <w:rPr>
          <w:rFonts w:ascii="Arial Narrow" w:hAnsi="Arial Narrow" w:cs="Arial Narrow"/>
          <w:sz w:val="22"/>
          <w:szCs w:val="22"/>
        </w:rPr>
        <w:t>2008 k transponovaniu Smernice Rady č. 2007/74/ES o oslobodení tovaru od DPH a spotrebnej dane pri dovoze tovaru z tretích krajín v osobnej batožine cestujúcich. Predpokladá sa, že najväčší vplyv na výnos daní bude mať zmena množstevného limitu pri dovoze cigariet inou ako leteckou dopravou z</w:t>
      </w:r>
      <w:r w:rsidR="00462247">
        <w:rPr>
          <w:rFonts w:ascii="Arial Narrow" w:hAnsi="Arial Narrow" w:cs="Arial Narrow"/>
          <w:sz w:val="22"/>
          <w:szCs w:val="22"/>
        </w:rPr>
        <w:t xml:space="preserve"> </w:t>
      </w:r>
      <w:r>
        <w:rPr>
          <w:rFonts w:ascii="Arial Narrow" w:hAnsi="Arial Narrow" w:cs="Arial Narrow"/>
          <w:sz w:val="22"/>
          <w:szCs w:val="22"/>
        </w:rPr>
        <w:t>200 ks na osobu na 40 ks na osobu. V dôsledku zapracovania smernice vzrastú príjmy štátneho rozpočtu o 9 327 tis. eur ročne.</w:t>
      </w:r>
    </w:p>
    <w:p w:rsidR="0047587E" w:rsidP="00782712">
      <w:pPr>
        <w:jc w:val="both"/>
        <w:rPr>
          <w:rFonts w:ascii="Arial Narrow" w:hAnsi="Arial Narrow" w:cs="Arial Narrow"/>
          <w:sz w:val="22"/>
          <w:szCs w:val="22"/>
        </w:rPr>
      </w:pPr>
    </w:p>
    <w:p w:rsidR="002C5BB7" w:rsidP="00782712">
      <w:pPr>
        <w:jc w:val="both"/>
        <w:rPr>
          <w:rFonts w:ascii="Arial Narrow" w:hAnsi="Arial Narrow" w:cs="Arial Narrow"/>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833"/>
        <w:gridCol w:w="1309"/>
        <w:gridCol w:w="1310"/>
        <w:gridCol w:w="1310"/>
        <w:gridCol w:w="1310"/>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P="00782712">
            <w:pPr>
              <w:rPr>
                <w:rFonts w:ascii="Arial Narrow" w:hAnsi="Arial Narrow" w:cs="Arial"/>
                <w:b/>
                <w:bCs/>
                <w:color w:val="FFFFFF"/>
                <w:sz w:val="20"/>
              </w:rPr>
            </w:pPr>
            <w:r>
              <w:rPr>
                <w:rFonts w:ascii="Arial Narrow" w:hAnsi="Arial Narrow" w:cs="Arial"/>
                <w:b/>
                <w:bCs/>
                <w:color w:val="FFFFFF"/>
                <w:sz w:val="20"/>
              </w:rPr>
              <w:t>Dopad transpozície Smernice Rady č. 2007/74/ES do zákonov o spotrebných daniach a o DPH (ESA</w:t>
            </w:r>
            <w:r w:rsidR="00462247">
              <w:rPr>
                <w:rFonts w:ascii="Arial Narrow" w:hAnsi="Arial Narrow" w:cs="Arial"/>
                <w:b/>
                <w:bCs/>
                <w:color w:val="FFFFFF"/>
                <w:sz w:val="20"/>
              </w:rPr>
              <w:t xml:space="preserve"> </w:t>
            </w:r>
            <w:r>
              <w:rPr>
                <w:rFonts w:ascii="Arial Narrow" w:hAnsi="Arial Narrow" w:cs="Arial"/>
                <w:b/>
                <w:bCs/>
                <w:color w:val="FFFFFF"/>
                <w:sz w:val="20"/>
              </w:rPr>
              <w:t>95, tis. eur)</w:t>
            </w:r>
          </w:p>
        </w:tc>
      </w:tr>
      <w:tr>
        <w:tblPrEx>
          <w:tblW w:w="9072" w:type="dxa"/>
          <w:jc w:val="center"/>
          <w:tblCellMar>
            <w:left w:w="70" w:type="dxa"/>
            <w:right w:w="70" w:type="dxa"/>
          </w:tblCellMar>
        </w:tblPrEx>
        <w:trPr>
          <w:trHeight w:val="270"/>
          <w:jc w:val="center"/>
        </w:trPr>
        <w:tc>
          <w:tcPr>
            <w:tcW w:w="3833"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rPr>
                <w:rFonts w:ascii="Arial Narrow" w:hAnsi="Arial Narrow" w:cs="Arial"/>
                <w:sz w:val="18"/>
                <w:szCs w:val="18"/>
              </w:rPr>
            </w:pPr>
            <w:r w:rsidRPr="00E560E1">
              <w:rPr>
                <w:rFonts w:ascii="Arial Narrow" w:hAnsi="Arial Narrow" w:cs="Arial"/>
                <w:sz w:val="18"/>
                <w:szCs w:val="18"/>
              </w:rPr>
              <w:t> </w:t>
            </w:r>
          </w:p>
        </w:tc>
        <w:tc>
          <w:tcPr>
            <w:tcW w:w="130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E560E1" w:rsidP="00782712">
            <w:pPr>
              <w:jc w:val="center"/>
              <w:rPr>
                <w:rFonts w:ascii="Arial Narrow" w:hAnsi="Arial Narrow" w:cs="Arial"/>
                <w:b/>
                <w:bCs/>
                <w:sz w:val="18"/>
                <w:szCs w:val="18"/>
              </w:rPr>
            </w:pPr>
            <w:r>
              <w:rPr>
                <w:rFonts w:ascii="Arial Narrow" w:hAnsi="Arial Narrow" w:cs="Arial"/>
                <w:b/>
                <w:bCs/>
                <w:sz w:val="18"/>
                <w:szCs w:val="18"/>
              </w:rPr>
              <w:t>2008</w:t>
            </w: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2009</w:t>
            </w: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2010</w:t>
            </w: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2011</w:t>
            </w:r>
          </w:p>
        </w:tc>
      </w:tr>
      <w:tr>
        <w:tblPrEx>
          <w:tblW w:w="9072" w:type="dxa"/>
          <w:jc w:val="center"/>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782712">
            <w:pPr>
              <w:rPr>
                <w:rFonts w:ascii="Arial Narrow" w:hAnsi="Arial Narrow" w:cs="Arial"/>
                <w:bCs/>
                <w:sz w:val="18"/>
                <w:szCs w:val="18"/>
              </w:rPr>
            </w:pPr>
            <w:r>
              <w:rPr>
                <w:rFonts w:ascii="Arial Narrow" w:hAnsi="Arial Narrow" w:cs="Arial"/>
                <w:bCs/>
                <w:sz w:val="18"/>
                <w:szCs w:val="18"/>
              </w:rPr>
              <w:t>DPH</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166</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1 792</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1 792</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1 792</w:t>
            </w:r>
          </w:p>
        </w:tc>
      </w:tr>
      <w:tr>
        <w:tblPrEx>
          <w:tblW w:w="9072" w:type="dxa"/>
          <w:jc w:val="center"/>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782712">
            <w:pPr>
              <w:rPr>
                <w:rFonts w:ascii="Arial Narrow" w:hAnsi="Arial Narrow" w:cs="Arial"/>
                <w:bCs/>
                <w:sz w:val="18"/>
                <w:szCs w:val="18"/>
              </w:rPr>
            </w:pPr>
            <w:r>
              <w:rPr>
                <w:rFonts w:ascii="Arial Narrow" w:hAnsi="Arial Narrow" w:cs="Arial"/>
                <w:bCs/>
                <w:sz w:val="18"/>
                <w:szCs w:val="18"/>
              </w:rPr>
              <w:t>Spotrebná daň z tabaku a tabakových výrobkov</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631</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7 535</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7 535</w:t>
            </w:r>
          </w:p>
        </w:tc>
        <w:tc>
          <w:tcPr>
            <w:tcW w:w="131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7 535</w:t>
            </w:r>
          </w:p>
        </w:tc>
      </w:tr>
    </w:tbl>
    <w:p w:rsidR="00782712" w:rsidP="00782712">
      <w:pPr>
        <w:jc w:val="both"/>
        <w:rPr>
          <w:rFonts w:ascii="Arial Narrow" w:hAnsi="Arial Narrow" w:cs="Arial Narrow"/>
          <w:sz w:val="22"/>
          <w:szCs w:val="22"/>
        </w:rPr>
      </w:pPr>
    </w:p>
    <w:p w:rsidR="00782712" w:rsidP="00782712">
      <w:pPr>
        <w:ind w:firstLine="708"/>
        <w:jc w:val="both"/>
        <w:rPr>
          <w:rFonts w:ascii="Arial Narrow" w:hAnsi="Arial Narrow" w:cs="Times New Roman"/>
          <w:sz w:val="22"/>
          <w:szCs w:val="22"/>
        </w:rPr>
      </w:pPr>
      <w:r w:rsidRPr="002C73C6">
        <w:rPr>
          <w:rFonts w:ascii="Arial Narrow" w:hAnsi="Arial Narrow" w:cs="Times New Roman"/>
          <w:sz w:val="22"/>
          <w:szCs w:val="22"/>
        </w:rPr>
        <w:t>V progn</w:t>
      </w:r>
      <w:r w:rsidRPr="002C73C6">
        <w:rPr>
          <w:rFonts w:ascii="Arial Narrow" w:hAnsi="Arial Narrow" w:cs="Times New Roman"/>
          <w:sz w:val="22"/>
          <w:szCs w:val="22"/>
        </w:rPr>
        <w:t xml:space="preserve">óze </w:t>
      </w:r>
      <w:r w:rsidRPr="002C73C6">
        <w:rPr>
          <w:rFonts w:ascii="Arial Narrow" w:hAnsi="Arial Narrow" w:cs="Times New Roman"/>
          <w:b/>
          <w:sz w:val="22"/>
          <w:szCs w:val="22"/>
        </w:rPr>
        <w:t>spotrebných daní</w:t>
      </w:r>
      <w:r w:rsidRPr="002C73C6">
        <w:rPr>
          <w:rFonts w:ascii="Arial Narrow" w:hAnsi="Arial Narrow" w:cs="Times New Roman"/>
          <w:sz w:val="22"/>
          <w:szCs w:val="22"/>
        </w:rPr>
        <w:t xml:space="preserve"> je zohľadnené plánované zvyšovanie sadzieb dane na cigarety od </w:t>
      </w:r>
      <w:r w:rsidR="00462247">
        <w:rPr>
          <w:rFonts w:ascii="Arial Narrow" w:hAnsi="Arial Narrow" w:cs="Times New Roman"/>
          <w:sz w:val="22"/>
          <w:szCs w:val="22"/>
        </w:rPr>
        <w:t xml:space="preserve">        </w:t>
      </w:r>
      <w:r w:rsidRPr="002C73C6">
        <w:rPr>
          <w:rFonts w:ascii="Arial Narrow" w:hAnsi="Arial Narrow" w:cs="Times New Roman"/>
          <w:sz w:val="22"/>
          <w:szCs w:val="22"/>
        </w:rPr>
        <w:t>1.</w:t>
      </w:r>
      <w:r w:rsidR="00462247">
        <w:rPr>
          <w:rFonts w:ascii="Arial Narrow" w:hAnsi="Arial Narrow" w:cs="Times New Roman"/>
          <w:sz w:val="22"/>
          <w:szCs w:val="22"/>
        </w:rPr>
        <w:t xml:space="preserve"> </w:t>
      </w:r>
      <w:r w:rsidRPr="002C73C6">
        <w:rPr>
          <w:rFonts w:ascii="Arial Narrow" w:hAnsi="Arial Narrow" w:cs="Times New Roman"/>
          <w:sz w:val="22"/>
          <w:szCs w:val="22"/>
        </w:rPr>
        <w:t>2.</w:t>
      </w:r>
      <w:r w:rsidR="00462247">
        <w:rPr>
          <w:rFonts w:ascii="Arial Narrow" w:hAnsi="Arial Narrow" w:cs="Times New Roman"/>
          <w:sz w:val="22"/>
          <w:szCs w:val="22"/>
        </w:rPr>
        <w:t xml:space="preserve"> </w:t>
      </w:r>
      <w:r w:rsidRPr="002C73C6">
        <w:rPr>
          <w:rFonts w:ascii="Arial Narrow" w:hAnsi="Arial Narrow" w:cs="Times New Roman"/>
          <w:sz w:val="22"/>
          <w:szCs w:val="22"/>
        </w:rPr>
        <w:t xml:space="preserve">2009, ktoré súvisí s harmonizáciou sadzieb dane v EÚ. So zvyšovaním sadzieb spotrebnej dane z tabakových výrobkov sa počítalo už v Rozpočte verejnej správy na roky 2008 až 2010, avšak ich presná výška bola predmetom rokovaní až v tomto roku. </w:t>
      </w:r>
      <w:r>
        <w:rPr>
          <w:rFonts w:ascii="Arial Narrow" w:hAnsi="Arial Narrow" w:cs="Times New Roman"/>
          <w:sz w:val="22"/>
          <w:szCs w:val="22"/>
        </w:rPr>
        <w:t xml:space="preserve">Navrhované sadzby daní sú mierne vyššie, najmä z dôvodu vyššej minimálnej sadzby dane, čo má pozitívny dopad na výnos spotrebnej dane. </w:t>
      </w:r>
      <w:r w:rsidRPr="002C73C6">
        <w:rPr>
          <w:rFonts w:ascii="Arial Narrow" w:hAnsi="Arial Narrow" w:cs="Times New Roman"/>
          <w:sz w:val="22"/>
          <w:szCs w:val="22"/>
        </w:rPr>
        <w:t>Zároveň došlo k posunutiu účinnosti n</w:t>
      </w:r>
      <w:r w:rsidRPr="002C73C6">
        <w:rPr>
          <w:rFonts w:ascii="Arial Narrow" w:hAnsi="Arial Narrow" w:cs="Times New Roman"/>
          <w:sz w:val="22"/>
          <w:szCs w:val="22"/>
        </w:rPr>
        <w:t>ových sadzie</w:t>
      </w:r>
      <w:r>
        <w:rPr>
          <w:rFonts w:ascii="Arial Narrow" w:hAnsi="Arial Narrow" w:cs="Times New Roman"/>
          <w:sz w:val="22"/>
          <w:szCs w:val="22"/>
        </w:rPr>
        <w:t>b</w:t>
      </w:r>
      <w:r w:rsidRPr="002C73C6">
        <w:rPr>
          <w:rFonts w:ascii="Arial Narrow" w:hAnsi="Arial Narrow" w:cs="Times New Roman"/>
          <w:sz w:val="22"/>
          <w:szCs w:val="22"/>
        </w:rPr>
        <w:t xml:space="preserve"> z 1. </w:t>
      </w:r>
      <w:r w:rsidR="00462247">
        <w:rPr>
          <w:rFonts w:ascii="Arial Narrow" w:hAnsi="Arial Narrow" w:cs="Times New Roman"/>
          <w:sz w:val="22"/>
          <w:szCs w:val="22"/>
        </w:rPr>
        <w:t>1.</w:t>
      </w:r>
      <w:r w:rsidRPr="002C73C6">
        <w:rPr>
          <w:rFonts w:ascii="Arial Narrow" w:hAnsi="Arial Narrow" w:cs="Times New Roman"/>
          <w:sz w:val="22"/>
          <w:szCs w:val="22"/>
        </w:rPr>
        <w:t xml:space="preserve"> 2009 na 1. </w:t>
      </w:r>
      <w:r w:rsidR="00462247">
        <w:rPr>
          <w:rFonts w:ascii="Arial Narrow" w:hAnsi="Arial Narrow" w:cs="Times New Roman"/>
          <w:sz w:val="22"/>
          <w:szCs w:val="22"/>
        </w:rPr>
        <w:t>2.</w:t>
      </w:r>
      <w:r w:rsidRPr="002C73C6">
        <w:rPr>
          <w:rFonts w:ascii="Arial Narrow" w:hAnsi="Arial Narrow" w:cs="Times New Roman"/>
          <w:sz w:val="22"/>
          <w:szCs w:val="22"/>
        </w:rPr>
        <w:t xml:space="preserve"> 2009. Dôsledkom tejto úpravy bude rozloženie predpokladaného efektu predzásobenia v celkovej sume </w:t>
      </w:r>
      <w:r>
        <w:rPr>
          <w:rFonts w:ascii="Arial Narrow" w:hAnsi="Arial Narrow" w:cs="Times New Roman"/>
          <w:sz w:val="22"/>
          <w:szCs w:val="22"/>
        </w:rPr>
        <w:t xml:space="preserve">315 342 tis. eur </w:t>
      </w:r>
      <w:r w:rsidRPr="002C73C6">
        <w:rPr>
          <w:rFonts w:ascii="Arial Narrow" w:hAnsi="Arial Narrow" w:cs="Times New Roman"/>
          <w:sz w:val="22"/>
          <w:szCs w:val="22"/>
        </w:rPr>
        <w:t xml:space="preserve">do roku 2008 a 2009. Očakáva sa, že do roku 2009 sa presunie </w:t>
      </w:r>
      <w:r>
        <w:rPr>
          <w:rFonts w:ascii="Arial Narrow" w:hAnsi="Arial Narrow" w:cs="Times New Roman"/>
          <w:sz w:val="22"/>
          <w:szCs w:val="22"/>
        </w:rPr>
        <w:t>165 970 tis. eur</w:t>
      </w:r>
      <w:r w:rsidRPr="002C73C6">
        <w:rPr>
          <w:rFonts w:ascii="Arial Narrow" w:hAnsi="Arial Narrow" w:cs="Times New Roman"/>
          <w:sz w:val="22"/>
          <w:szCs w:val="22"/>
        </w:rPr>
        <w:t>, čo bude mať negatívny dopad na rok 2008 ale pozitívny na rok 2009. Zároveň sa pre zvýšenie kontroly predzásobenia zaviedlo obmedzenie, podľa ktorého sa cigarety zdanené ešte pôvodnými sadzbami budú môcť predávať len do konca septembra 2009.</w:t>
      </w:r>
    </w:p>
    <w:p w:rsidR="00782712" w:rsidP="00782712">
      <w:pPr>
        <w:jc w:val="both"/>
        <w:rPr>
          <w:rFonts w:ascii="Arial Narrow" w:hAnsi="Arial Narrow" w:cs="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517"/>
        <w:gridCol w:w="1637"/>
        <w:gridCol w:w="1635"/>
        <w:gridCol w:w="1637"/>
        <w:gridCol w:w="1635"/>
        <w:gridCol w:w="11"/>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00" w:type="pct"/>
            <w:gridSpan w:val="6"/>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782712" w:rsidRPr="00A1250A" w:rsidP="00782712">
            <w:pPr>
              <w:rPr>
                <w:rFonts w:ascii="Arial Narrow" w:hAnsi="Arial Narrow" w:cs="Times New Roman"/>
                <w:b/>
                <w:sz w:val="20"/>
              </w:rPr>
            </w:pPr>
            <w:r w:rsidRPr="00A1250A">
              <w:rPr>
                <w:rFonts w:ascii="Arial Narrow" w:hAnsi="Arial Narrow" w:cs="Times New Roman"/>
                <w:b/>
                <w:sz w:val="20"/>
              </w:rPr>
              <w:t>Spotrebná daň z tabakových výrobkov (ESA</w:t>
            </w:r>
            <w:r w:rsidR="00462247">
              <w:rPr>
                <w:rFonts w:ascii="Arial Narrow" w:hAnsi="Arial Narrow" w:cs="Times New Roman"/>
                <w:b/>
                <w:sz w:val="20"/>
              </w:rPr>
              <w:t xml:space="preserve"> </w:t>
            </w:r>
            <w:r w:rsidRPr="00A1250A">
              <w:rPr>
                <w:rFonts w:ascii="Arial Narrow" w:hAnsi="Arial Narrow" w:cs="Times New Roman"/>
                <w:b/>
                <w:sz w:val="20"/>
              </w:rPr>
              <w:t xml:space="preserve">95, </w:t>
            </w:r>
            <w:r>
              <w:rPr>
                <w:rFonts w:ascii="Arial Narrow" w:hAnsi="Arial Narrow" w:cs="Times New Roman"/>
                <w:b/>
                <w:sz w:val="20"/>
              </w:rPr>
              <w:t>tis. eur</w:t>
            </w:r>
            <w:r w:rsidRPr="00A1250A">
              <w:rPr>
                <w:rFonts w:ascii="Arial Narrow" w:hAnsi="Arial Narrow" w:cs="Times New Roman"/>
                <w:b/>
                <w:sz w:val="20"/>
              </w:rPr>
              <w:t>)</w:t>
            </w:r>
          </w:p>
        </w:tc>
      </w:tr>
      <w:tr>
        <w:tblPrEx>
          <w:tblW w:w="9072" w:type="dxa"/>
          <w:jc w:val="center"/>
        </w:tblPrEx>
        <w:trPr>
          <w:gridAfter w:val="1"/>
          <w:trHeight w:val="284"/>
          <w:jc w:val="center"/>
        </w:trPr>
        <w:tc>
          <w:tcPr>
            <w:tcW w:w="1388"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A1250A" w:rsidP="00782712">
            <w:pPr>
              <w:rPr>
                <w:rFonts w:ascii="Arial Narrow" w:hAnsi="Arial Narrow" w:cs="Times New Roman"/>
                <w:sz w:val="18"/>
                <w:szCs w:val="18"/>
              </w:rPr>
            </w:pPr>
          </w:p>
        </w:tc>
        <w:tc>
          <w:tcPr>
            <w:tcW w:w="902"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1F1A64" w:rsidP="00782712">
            <w:pPr>
              <w:jc w:val="center"/>
              <w:rPr>
                <w:rFonts w:ascii="Arial Narrow" w:hAnsi="Arial Narrow" w:cs="Times New Roman"/>
                <w:b/>
                <w:sz w:val="18"/>
                <w:szCs w:val="18"/>
              </w:rPr>
            </w:pPr>
            <w:r>
              <w:rPr>
                <w:rFonts w:ascii="Arial Narrow" w:hAnsi="Arial Narrow" w:cs="Times New Roman"/>
                <w:b/>
                <w:sz w:val="18"/>
                <w:szCs w:val="18"/>
              </w:rPr>
              <w:t>2008</w:t>
            </w:r>
          </w:p>
        </w:tc>
        <w:tc>
          <w:tcPr>
            <w:tcW w:w="901"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1F1A64" w:rsidP="00782712">
            <w:pPr>
              <w:jc w:val="center"/>
              <w:rPr>
                <w:rFonts w:ascii="Arial Narrow" w:hAnsi="Arial Narrow" w:cs="Times New Roman"/>
                <w:b/>
                <w:sz w:val="18"/>
                <w:szCs w:val="18"/>
              </w:rPr>
            </w:pPr>
            <w:r w:rsidRPr="001F1A64">
              <w:rPr>
                <w:rFonts w:ascii="Arial Narrow" w:hAnsi="Arial Narrow" w:cs="Times New Roman"/>
                <w:b/>
                <w:sz w:val="18"/>
                <w:szCs w:val="18"/>
              </w:rPr>
              <w:t>2009</w:t>
            </w:r>
          </w:p>
        </w:tc>
        <w:tc>
          <w:tcPr>
            <w:tcW w:w="902"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1F1A64" w:rsidP="00782712">
            <w:pPr>
              <w:jc w:val="center"/>
              <w:rPr>
                <w:rFonts w:ascii="Arial Narrow" w:hAnsi="Arial Narrow" w:cs="Times New Roman"/>
                <w:b/>
                <w:sz w:val="18"/>
                <w:szCs w:val="18"/>
              </w:rPr>
            </w:pPr>
            <w:r w:rsidRPr="001F1A64">
              <w:rPr>
                <w:rFonts w:ascii="Arial Narrow" w:hAnsi="Arial Narrow" w:cs="Times New Roman"/>
                <w:b/>
                <w:sz w:val="18"/>
                <w:szCs w:val="18"/>
              </w:rPr>
              <w:t>2010</w:t>
            </w:r>
          </w:p>
        </w:tc>
        <w:tc>
          <w:tcPr>
            <w:tcW w:w="901"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1F1A64" w:rsidP="00782712">
            <w:pPr>
              <w:jc w:val="center"/>
              <w:rPr>
                <w:rFonts w:ascii="Arial Narrow" w:hAnsi="Arial Narrow" w:cs="Times New Roman"/>
                <w:b/>
                <w:sz w:val="18"/>
                <w:szCs w:val="18"/>
              </w:rPr>
            </w:pPr>
            <w:r w:rsidRPr="001F1A64">
              <w:rPr>
                <w:rFonts w:ascii="Arial Narrow" w:hAnsi="Arial Narrow" w:cs="Times New Roman"/>
                <w:b/>
                <w:sz w:val="18"/>
                <w:szCs w:val="18"/>
              </w:rPr>
              <w:t>2011</w:t>
            </w:r>
          </w:p>
        </w:tc>
      </w:tr>
      <w:tr>
        <w:tblPrEx>
          <w:tblW w:w="9072" w:type="dxa"/>
          <w:jc w:val="center"/>
        </w:tblPrEx>
        <w:trPr>
          <w:gridAfter w:val="1"/>
          <w:trHeight w:val="284"/>
          <w:jc w:val="center"/>
        </w:trPr>
        <w:tc>
          <w:tcPr>
            <w:tcW w:w="138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782712">
            <w:pPr>
              <w:rPr>
                <w:rFonts w:ascii="Arial Narrow" w:hAnsi="Arial Narrow" w:cs="Times New Roman"/>
                <w:sz w:val="18"/>
                <w:szCs w:val="18"/>
              </w:rPr>
            </w:pPr>
            <w:r w:rsidRPr="00A1250A">
              <w:rPr>
                <w:rFonts w:ascii="Arial Narrow" w:hAnsi="Arial Narrow" w:cs="Times New Roman"/>
                <w:sz w:val="18"/>
                <w:szCs w:val="18"/>
              </w:rPr>
              <w:t>Rozdelenie predzásobenia</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-165 970</w:t>
            </w:r>
          </w:p>
        </w:tc>
        <w:tc>
          <w:tcPr>
            <w:tcW w:w="901"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165 970</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sidRPr="00A1250A">
              <w:rPr>
                <w:rFonts w:ascii="Arial Narrow" w:hAnsi="Arial Narrow" w:cs="Times New Roman"/>
                <w:sz w:val="18"/>
                <w:szCs w:val="18"/>
              </w:rPr>
              <w:t>0</w:t>
            </w:r>
          </w:p>
        </w:tc>
        <w:tc>
          <w:tcPr>
            <w:tcW w:w="901"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sidRPr="00A1250A">
              <w:rPr>
                <w:rFonts w:ascii="Arial Narrow" w:hAnsi="Arial Narrow" w:cs="Times New Roman"/>
                <w:sz w:val="18"/>
                <w:szCs w:val="18"/>
              </w:rPr>
              <w:t>0</w:t>
            </w:r>
          </w:p>
        </w:tc>
      </w:tr>
      <w:tr>
        <w:tblPrEx>
          <w:tblW w:w="9072" w:type="dxa"/>
          <w:jc w:val="center"/>
        </w:tblPrEx>
        <w:trPr>
          <w:gridAfter w:val="1"/>
          <w:trHeight w:val="284"/>
          <w:jc w:val="center"/>
        </w:trPr>
        <w:tc>
          <w:tcPr>
            <w:tcW w:w="138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782712">
            <w:pPr>
              <w:rPr>
                <w:rFonts w:ascii="Arial Narrow" w:hAnsi="Arial Narrow" w:cs="Times New Roman"/>
                <w:sz w:val="18"/>
                <w:szCs w:val="18"/>
              </w:rPr>
            </w:pPr>
            <w:r>
              <w:rPr>
                <w:rFonts w:ascii="Arial Narrow" w:hAnsi="Arial Narrow" w:cs="Times New Roman"/>
                <w:sz w:val="18"/>
                <w:szCs w:val="18"/>
              </w:rPr>
              <w:t>Zvýšenie minimálnej sadzby dane</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w:t>
            </w:r>
          </w:p>
        </w:tc>
        <w:tc>
          <w:tcPr>
            <w:tcW w:w="901"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1 527</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3 817</w:t>
            </w:r>
          </w:p>
        </w:tc>
        <w:tc>
          <w:tcPr>
            <w:tcW w:w="901"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A1250A" w:rsidP="00694E16">
            <w:pPr>
              <w:jc w:val="right"/>
              <w:rPr>
                <w:rFonts w:ascii="Arial Narrow" w:hAnsi="Arial Narrow" w:cs="Times New Roman"/>
                <w:sz w:val="18"/>
                <w:szCs w:val="18"/>
              </w:rPr>
            </w:pPr>
            <w:r>
              <w:rPr>
                <w:rFonts w:ascii="Arial Narrow" w:hAnsi="Arial Narrow" w:cs="Times New Roman"/>
                <w:sz w:val="18"/>
                <w:szCs w:val="18"/>
              </w:rPr>
              <w:t>3 884</w:t>
            </w:r>
          </w:p>
        </w:tc>
      </w:tr>
    </w:tbl>
    <w:p w:rsidR="00782712" w:rsidP="00782712">
      <w:pPr>
        <w:jc w:val="both"/>
        <w:rPr>
          <w:rFonts w:cs="Times New Roman"/>
        </w:rPr>
      </w:pPr>
    </w:p>
    <w:p w:rsidR="00782712" w:rsidRPr="00E275CD" w:rsidP="00782712">
      <w:pPr>
        <w:ind w:firstLine="708"/>
        <w:jc w:val="both"/>
        <w:rPr>
          <w:rFonts w:ascii="Arial Narrow" w:hAnsi="Arial Narrow" w:cs="Times New Roman"/>
          <w:sz w:val="22"/>
          <w:szCs w:val="22"/>
        </w:rPr>
      </w:pPr>
      <w:r w:rsidRPr="00483480">
        <w:rPr>
          <w:rFonts w:ascii="Arial Narrow" w:hAnsi="Arial Narrow" w:cs="Times New Roman"/>
          <w:sz w:val="22"/>
          <w:szCs w:val="22"/>
        </w:rPr>
        <w:t xml:space="preserve">Výnos </w:t>
      </w:r>
      <w:r w:rsidRPr="00292A51">
        <w:rPr>
          <w:rFonts w:ascii="Arial Narrow" w:hAnsi="Arial Narrow" w:cs="Times New Roman"/>
          <w:b/>
          <w:sz w:val="22"/>
          <w:szCs w:val="22"/>
        </w:rPr>
        <w:t>spotrebnej dane z minerálnych olejov</w:t>
      </w:r>
      <w:r w:rsidRPr="00483480">
        <w:rPr>
          <w:rFonts w:ascii="Arial Narrow" w:hAnsi="Arial Narrow" w:cs="Times New Roman"/>
          <w:sz w:val="22"/>
          <w:szCs w:val="22"/>
        </w:rPr>
        <w:t xml:space="preserve"> bude negatívne ovplyvnený oslobodením LPG od dane, </w:t>
      </w:r>
      <w:r w:rsidRPr="009355AD">
        <w:rPr>
          <w:rFonts w:ascii="Arial Narrow" w:hAnsi="Arial Narrow" w:cs="Times New Roman"/>
          <w:sz w:val="22"/>
          <w:szCs w:val="22"/>
        </w:rPr>
        <w:t>ktoré vstúpilo do platn</w:t>
      </w:r>
      <w:r w:rsidRPr="009355AD">
        <w:rPr>
          <w:rFonts w:ascii="Arial Narrow" w:hAnsi="Arial Narrow" w:cs="Times New Roman"/>
          <w:sz w:val="22"/>
          <w:szCs w:val="22"/>
        </w:rPr>
        <w:t>osti počnúc 1.</w:t>
      </w:r>
      <w:r w:rsidR="00462247">
        <w:rPr>
          <w:rFonts w:ascii="Arial Narrow" w:hAnsi="Arial Narrow" w:cs="Times New Roman"/>
          <w:sz w:val="22"/>
          <w:szCs w:val="22"/>
        </w:rPr>
        <w:t xml:space="preserve"> </w:t>
      </w:r>
      <w:r w:rsidRPr="009355AD">
        <w:rPr>
          <w:rFonts w:ascii="Arial Narrow" w:hAnsi="Arial Narrow" w:cs="Times New Roman"/>
          <w:sz w:val="22"/>
          <w:szCs w:val="22"/>
        </w:rPr>
        <w:t>7.</w:t>
      </w:r>
      <w:r w:rsidR="00462247">
        <w:rPr>
          <w:rFonts w:ascii="Arial Narrow" w:hAnsi="Arial Narrow" w:cs="Times New Roman"/>
          <w:sz w:val="22"/>
          <w:szCs w:val="22"/>
        </w:rPr>
        <w:t xml:space="preserve"> </w:t>
      </w:r>
      <w:r w:rsidRPr="009355AD">
        <w:rPr>
          <w:rFonts w:ascii="Arial Narrow" w:hAnsi="Arial Narrow" w:cs="Times New Roman"/>
          <w:sz w:val="22"/>
          <w:szCs w:val="22"/>
        </w:rPr>
        <w:t>2008. Každoročný výpadok sa pohybuje na úrovni 7 303 tis. eur. Ďalej bude výnos tejto spotrebnej dane negatívne ovplyvnený predpokladaným zvýšením objemu biozložiek v pohonných hmotách od 1.</w:t>
      </w:r>
      <w:r w:rsidR="00462247">
        <w:rPr>
          <w:rFonts w:ascii="Arial Narrow" w:hAnsi="Arial Narrow" w:cs="Times New Roman"/>
          <w:sz w:val="22"/>
          <w:szCs w:val="22"/>
        </w:rPr>
        <w:t xml:space="preserve"> </w:t>
      </w:r>
      <w:r w:rsidRPr="009355AD">
        <w:rPr>
          <w:rFonts w:ascii="Arial Narrow" w:hAnsi="Arial Narrow" w:cs="Times New Roman"/>
          <w:sz w:val="22"/>
          <w:szCs w:val="22"/>
        </w:rPr>
        <w:t>1.</w:t>
      </w:r>
      <w:r w:rsidR="00462247">
        <w:rPr>
          <w:rFonts w:ascii="Arial Narrow" w:hAnsi="Arial Narrow" w:cs="Times New Roman"/>
          <w:sz w:val="22"/>
          <w:szCs w:val="22"/>
        </w:rPr>
        <w:t xml:space="preserve"> </w:t>
      </w:r>
      <w:r w:rsidRPr="009355AD">
        <w:rPr>
          <w:rFonts w:ascii="Arial Narrow" w:hAnsi="Arial Narrow" w:cs="Times New Roman"/>
          <w:sz w:val="22"/>
          <w:szCs w:val="22"/>
        </w:rPr>
        <w:t>2009, ktoré vyplýva z novely nariadenia vlád</w:t>
      </w:r>
      <w:r w:rsidRPr="009355AD">
        <w:rPr>
          <w:rFonts w:ascii="Arial Narrow" w:hAnsi="Arial Narrow" w:cs="Times New Roman"/>
          <w:sz w:val="22"/>
          <w:szCs w:val="22"/>
        </w:rPr>
        <w:t>y 246/2006 Z.</w:t>
      </w:r>
      <w:r w:rsidR="00462247">
        <w:rPr>
          <w:rFonts w:ascii="Arial Narrow" w:hAnsi="Arial Narrow" w:cs="Times New Roman"/>
          <w:sz w:val="22"/>
          <w:szCs w:val="22"/>
        </w:rPr>
        <w:t xml:space="preserve"> </w:t>
      </w:r>
      <w:r w:rsidRPr="009355AD">
        <w:rPr>
          <w:rFonts w:ascii="Arial Narrow" w:hAnsi="Arial Narrow" w:cs="Times New Roman"/>
          <w:sz w:val="22"/>
          <w:szCs w:val="22"/>
        </w:rPr>
        <w:t>z. Povinný minimálny podiel biozložiek z energetického obsahu celkového množstva motorových benzínov a motorovej nafty uvedených na trh v SR sa pre rok 2009 zvýšil z</w:t>
      </w:r>
      <w:r w:rsidR="00462247">
        <w:rPr>
          <w:rFonts w:ascii="Arial Narrow" w:hAnsi="Arial Narrow" w:cs="Times New Roman"/>
          <w:sz w:val="22"/>
          <w:szCs w:val="22"/>
        </w:rPr>
        <w:t> </w:t>
      </w:r>
      <w:r w:rsidRPr="009355AD">
        <w:rPr>
          <w:rFonts w:ascii="Arial Narrow" w:hAnsi="Arial Narrow" w:cs="Times New Roman"/>
          <w:sz w:val="22"/>
          <w:szCs w:val="22"/>
        </w:rPr>
        <w:t>2</w:t>
      </w:r>
      <w:r w:rsidR="00462247">
        <w:rPr>
          <w:rFonts w:ascii="Arial Narrow" w:hAnsi="Arial Narrow" w:cs="Times New Roman"/>
          <w:sz w:val="22"/>
          <w:szCs w:val="22"/>
        </w:rPr>
        <w:t xml:space="preserve"> </w:t>
      </w:r>
      <w:r w:rsidRPr="009355AD">
        <w:rPr>
          <w:rFonts w:ascii="Arial Narrow" w:hAnsi="Arial Narrow" w:cs="Times New Roman"/>
          <w:sz w:val="22"/>
          <w:szCs w:val="22"/>
        </w:rPr>
        <w:t>% na 3,4</w:t>
      </w:r>
      <w:r w:rsidR="00462247">
        <w:rPr>
          <w:rFonts w:ascii="Arial Narrow" w:hAnsi="Arial Narrow" w:cs="Times New Roman"/>
          <w:sz w:val="22"/>
          <w:szCs w:val="22"/>
        </w:rPr>
        <w:t xml:space="preserve"> </w:t>
      </w:r>
      <w:r w:rsidRPr="009355AD">
        <w:rPr>
          <w:rFonts w:ascii="Arial Narrow" w:hAnsi="Arial Narrow" w:cs="Times New Roman"/>
          <w:sz w:val="22"/>
          <w:szCs w:val="22"/>
        </w:rPr>
        <w:t>% a od roku 2010 zostáva oproti predošlému stavu nezmenený na úro</w:t>
      </w:r>
      <w:r w:rsidRPr="009355AD">
        <w:rPr>
          <w:rFonts w:ascii="Arial Narrow" w:hAnsi="Arial Narrow" w:cs="Times New Roman"/>
          <w:sz w:val="22"/>
          <w:szCs w:val="22"/>
        </w:rPr>
        <w:t>vni 5,75</w:t>
      </w:r>
      <w:r w:rsidR="00462247">
        <w:rPr>
          <w:rFonts w:ascii="Arial Narrow" w:hAnsi="Arial Narrow" w:cs="Times New Roman"/>
          <w:sz w:val="22"/>
          <w:szCs w:val="22"/>
        </w:rPr>
        <w:t xml:space="preserve"> </w:t>
      </w:r>
      <w:r w:rsidRPr="009355AD">
        <w:rPr>
          <w:rFonts w:ascii="Arial Narrow" w:hAnsi="Arial Narrow" w:cs="Times New Roman"/>
          <w:sz w:val="22"/>
          <w:szCs w:val="22"/>
        </w:rPr>
        <w:t>%. Zmena bude mať za následok zníženie každoročného výnosu o</w:t>
      </w:r>
      <w:r>
        <w:rPr>
          <w:rFonts w:ascii="Arial Narrow" w:hAnsi="Arial Narrow" w:cs="Times New Roman"/>
          <w:sz w:val="22"/>
          <w:szCs w:val="22"/>
        </w:rPr>
        <w:t xml:space="preserve"> približne </w:t>
      </w:r>
      <w:r w:rsidRPr="009355AD">
        <w:rPr>
          <w:rFonts w:ascii="Arial Narrow" w:hAnsi="Arial Narrow" w:cs="Times New Roman"/>
          <w:sz w:val="22"/>
          <w:szCs w:val="22"/>
        </w:rPr>
        <w:t>20 000 tis. eur.</w:t>
      </w:r>
    </w:p>
    <w:p w:rsidR="00782712" w:rsidRPr="00483480" w:rsidP="00782712">
      <w:pPr>
        <w:ind w:firstLine="708"/>
        <w:jc w:val="both"/>
        <w:rPr>
          <w:rFonts w:ascii="Arial Narrow" w:hAnsi="Arial Narrow" w:cs="Times New Roman"/>
          <w:sz w:val="22"/>
          <w:szCs w:val="22"/>
        </w:rPr>
      </w:pPr>
    </w:p>
    <w:p w:rsidR="00782712" w:rsidP="00782712">
      <w:pPr>
        <w:jc w:val="both"/>
        <w:rPr>
          <w:rFonts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521"/>
        <w:gridCol w:w="1638"/>
        <w:gridCol w:w="1638"/>
        <w:gridCol w:w="1638"/>
        <w:gridCol w:w="1637"/>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782712" w:rsidRPr="00292A51" w:rsidP="00782712">
            <w:pPr>
              <w:rPr>
                <w:rFonts w:ascii="Arial Narrow" w:hAnsi="Arial Narrow" w:cs="Times New Roman"/>
                <w:b/>
                <w:sz w:val="20"/>
              </w:rPr>
            </w:pPr>
            <w:r w:rsidRPr="00292A51">
              <w:rPr>
                <w:rFonts w:ascii="Arial Narrow" w:hAnsi="Arial Narrow" w:cs="Times New Roman"/>
                <w:b/>
                <w:sz w:val="20"/>
              </w:rPr>
              <w:t>Spotrebná daň z minerálnych olejov (ESA</w:t>
            </w:r>
            <w:r w:rsidR="00462247">
              <w:rPr>
                <w:rFonts w:ascii="Arial Narrow" w:hAnsi="Arial Narrow" w:cs="Times New Roman"/>
                <w:b/>
                <w:sz w:val="20"/>
              </w:rPr>
              <w:t xml:space="preserve"> </w:t>
            </w:r>
            <w:r w:rsidRPr="00292A51">
              <w:rPr>
                <w:rFonts w:ascii="Arial Narrow" w:hAnsi="Arial Narrow" w:cs="Times New Roman"/>
                <w:b/>
                <w:sz w:val="20"/>
              </w:rPr>
              <w:t xml:space="preserve">95, </w:t>
            </w:r>
            <w:r>
              <w:rPr>
                <w:rFonts w:ascii="Arial Narrow" w:hAnsi="Arial Narrow" w:cs="Times New Roman"/>
                <w:b/>
                <w:sz w:val="20"/>
              </w:rPr>
              <w:t>tis. eur</w:t>
            </w:r>
            <w:r w:rsidRPr="00292A51">
              <w:rPr>
                <w:rFonts w:ascii="Arial Narrow" w:hAnsi="Arial Narrow" w:cs="Times New Roman"/>
                <w:b/>
                <w:sz w:val="20"/>
              </w:rPr>
              <w:t>)</w:t>
            </w:r>
          </w:p>
        </w:tc>
      </w:tr>
      <w:tr>
        <w:tblPrEx>
          <w:tblW w:w="9072" w:type="dxa"/>
          <w:jc w:val="center"/>
        </w:tblPrEx>
        <w:trPr>
          <w:trHeight w:val="284"/>
          <w:jc w:val="center"/>
        </w:trPr>
        <w:tc>
          <w:tcPr>
            <w:tcW w:w="1389"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292A51" w:rsidP="00782712">
            <w:pPr>
              <w:rPr>
                <w:rFonts w:ascii="Arial Narrow" w:hAnsi="Arial Narrow" w:cs="Times New Roman"/>
                <w:sz w:val="18"/>
                <w:szCs w:val="18"/>
              </w:rPr>
            </w:pPr>
          </w:p>
        </w:tc>
        <w:tc>
          <w:tcPr>
            <w:tcW w:w="903"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292A51" w:rsidP="00782712">
            <w:pPr>
              <w:jc w:val="center"/>
              <w:rPr>
                <w:rFonts w:ascii="Arial Narrow" w:hAnsi="Arial Narrow" w:cs="Times New Roman"/>
                <w:b/>
                <w:sz w:val="18"/>
                <w:szCs w:val="18"/>
              </w:rPr>
            </w:pPr>
            <w:r>
              <w:rPr>
                <w:rFonts w:ascii="Arial Narrow" w:hAnsi="Arial Narrow" w:cs="Times New Roman"/>
                <w:b/>
                <w:sz w:val="18"/>
                <w:szCs w:val="18"/>
              </w:rPr>
              <w:t>2008</w:t>
            </w:r>
          </w:p>
        </w:tc>
        <w:tc>
          <w:tcPr>
            <w:tcW w:w="903"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292A51" w:rsidP="00782712">
            <w:pPr>
              <w:jc w:val="center"/>
              <w:rPr>
                <w:rFonts w:ascii="Arial Narrow" w:hAnsi="Arial Narrow" w:cs="Times New Roman"/>
                <w:b/>
                <w:sz w:val="18"/>
                <w:szCs w:val="18"/>
              </w:rPr>
            </w:pPr>
            <w:r w:rsidRPr="00292A51">
              <w:rPr>
                <w:rFonts w:ascii="Arial Narrow" w:hAnsi="Arial Narrow" w:cs="Times New Roman"/>
                <w:b/>
                <w:sz w:val="18"/>
                <w:szCs w:val="18"/>
              </w:rPr>
              <w:t>2009</w:t>
            </w:r>
          </w:p>
        </w:tc>
        <w:tc>
          <w:tcPr>
            <w:tcW w:w="903"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292A51" w:rsidP="00782712">
            <w:pPr>
              <w:jc w:val="center"/>
              <w:rPr>
                <w:rFonts w:ascii="Arial Narrow" w:hAnsi="Arial Narrow" w:cs="Times New Roman"/>
                <w:b/>
                <w:sz w:val="18"/>
                <w:szCs w:val="18"/>
              </w:rPr>
            </w:pPr>
            <w:r w:rsidRPr="00292A51">
              <w:rPr>
                <w:rFonts w:ascii="Arial Narrow" w:hAnsi="Arial Narrow" w:cs="Times New Roman"/>
                <w:b/>
                <w:sz w:val="18"/>
                <w:szCs w:val="18"/>
              </w:rPr>
              <w:t>2010</w:t>
            </w:r>
          </w:p>
        </w:tc>
        <w:tc>
          <w:tcPr>
            <w:tcW w:w="902"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292A51" w:rsidP="00782712">
            <w:pPr>
              <w:jc w:val="center"/>
              <w:rPr>
                <w:rFonts w:ascii="Arial Narrow" w:hAnsi="Arial Narrow" w:cs="Times New Roman"/>
                <w:b/>
                <w:sz w:val="18"/>
                <w:szCs w:val="18"/>
              </w:rPr>
            </w:pPr>
            <w:r w:rsidRPr="00292A51">
              <w:rPr>
                <w:rFonts w:ascii="Arial Narrow" w:hAnsi="Arial Narrow" w:cs="Times New Roman"/>
                <w:b/>
                <w:sz w:val="18"/>
                <w:szCs w:val="18"/>
              </w:rPr>
              <w:t>2011</w:t>
            </w:r>
          </w:p>
        </w:tc>
      </w:tr>
      <w:tr>
        <w:tblPrEx>
          <w:tblW w:w="9072" w:type="dxa"/>
          <w:jc w:val="center"/>
        </w:tblPrEx>
        <w:trPr>
          <w:trHeight w:val="284"/>
          <w:jc w:val="center"/>
        </w:trPr>
        <w:tc>
          <w:tcPr>
            <w:tcW w:w="1389"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782712">
            <w:pPr>
              <w:rPr>
                <w:rFonts w:ascii="Arial Narrow" w:hAnsi="Arial Narrow" w:cs="Times New Roman"/>
                <w:sz w:val="18"/>
                <w:szCs w:val="18"/>
              </w:rPr>
            </w:pPr>
            <w:r w:rsidRPr="00292A51">
              <w:rPr>
                <w:rFonts w:ascii="Arial Narrow" w:hAnsi="Arial Narrow" w:cs="Times New Roman"/>
                <w:sz w:val="18"/>
                <w:szCs w:val="18"/>
              </w:rPr>
              <w:t>Oslobodenie LPG</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694E16">
            <w:pPr>
              <w:jc w:val="right"/>
              <w:rPr>
                <w:rFonts w:ascii="Arial Narrow" w:hAnsi="Arial Narrow" w:cs="Times New Roman"/>
                <w:sz w:val="18"/>
                <w:szCs w:val="18"/>
              </w:rPr>
            </w:pPr>
            <w:r>
              <w:rPr>
                <w:rFonts w:ascii="Arial Narrow" w:hAnsi="Arial Narrow" w:cs="Times New Roman"/>
                <w:sz w:val="18"/>
                <w:szCs w:val="18"/>
              </w:rPr>
              <w:t>-3 651</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694E16">
            <w:pPr>
              <w:jc w:val="right"/>
              <w:rPr>
                <w:rFonts w:ascii="Arial Narrow" w:hAnsi="Arial Narrow" w:cs="Times New Roman"/>
                <w:sz w:val="18"/>
                <w:szCs w:val="18"/>
              </w:rPr>
            </w:pPr>
            <w:r>
              <w:rPr>
                <w:rFonts w:ascii="Arial Narrow" w:hAnsi="Arial Narrow" w:cs="Times New Roman"/>
                <w:sz w:val="18"/>
                <w:szCs w:val="18"/>
              </w:rPr>
              <w:t>-7 303</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694E16">
            <w:pPr>
              <w:jc w:val="right"/>
              <w:rPr>
                <w:rFonts w:ascii="Arial Narrow" w:hAnsi="Arial Narrow" w:cs="Times New Roman"/>
                <w:sz w:val="18"/>
                <w:szCs w:val="18"/>
              </w:rPr>
            </w:pPr>
            <w:r>
              <w:rPr>
                <w:rFonts w:ascii="Arial Narrow" w:hAnsi="Arial Narrow" w:cs="Times New Roman"/>
                <w:sz w:val="18"/>
                <w:szCs w:val="18"/>
              </w:rPr>
              <w:t>-7 303</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694E16">
            <w:pPr>
              <w:jc w:val="right"/>
              <w:rPr>
                <w:rFonts w:ascii="Arial Narrow" w:hAnsi="Arial Narrow" w:cs="Times New Roman"/>
                <w:sz w:val="18"/>
                <w:szCs w:val="18"/>
              </w:rPr>
            </w:pPr>
            <w:r>
              <w:rPr>
                <w:rFonts w:ascii="Arial Narrow" w:hAnsi="Arial Narrow" w:cs="Times New Roman"/>
                <w:sz w:val="18"/>
                <w:szCs w:val="18"/>
              </w:rPr>
              <w:t>-7 303</w:t>
            </w:r>
          </w:p>
        </w:tc>
      </w:tr>
      <w:tr>
        <w:tblPrEx>
          <w:tblW w:w="9072" w:type="dxa"/>
          <w:jc w:val="center"/>
        </w:tblPrEx>
        <w:trPr>
          <w:trHeight w:val="284"/>
          <w:jc w:val="center"/>
        </w:trPr>
        <w:tc>
          <w:tcPr>
            <w:tcW w:w="1389"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92A51" w:rsidP="00782712">
            <w:pPr>
              <w:rPr>
                <w:rFonts w:ascii="Arial Narrow" w:hAnsi="Arial Narrow" w:cs="Times New Roman"/>
                <w:sz w:val="18"/>
                <w:szCs w:val="18"/>
              </w:rPr>
            </w:pPr>
            <w:r>
              <w:rPr>
                <w:rFonts w:ascii="Arial Narrow" w:hAnsi="Arial Narrow" w:cs="Times New Roman"/>
                <w:sz w:val="18"/>
                <w:szCs w:val="18"/>
              </w:rPr>
              <w:t>Zvýšenie podielu biozložiek</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0</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-19 3</w:t>
            </w:r>
            <w:r w:rsidRPr="00453D14">
              <w:rPr>
                <w:rFonts w:ascii="Arial Narrow" w:hAnsi="Arial Narrow" w:cs="Times New Roman"/>
                <w:sz w:val="18"/>
                <w:szCs w:val="18"/>
              </w:rPr>
              <w:t>52</w:t>
            </w:r>
          </w:p>
        </w:tc>
        <w:tc>
          <w:tcPr>
            <w:tcW w:w="903"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-20 182</w:t>
            </w:r>
          </w:p>
        </w:tc>
        <w:tc>
          <w:tcPr>
            <w:tcW w:w="902"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-21 012</w:t>
            </w:r>
          </w:p>
        </w:tc>
      </w:tr>
    </w:tbl>
    <w:p w:rsidR="00782712" w:rsidP="00782712">
      <w:pPr>
        <w:rPr>
          <w:rFonts w:cs="Times New Roman"/>
        </w:rPr>
      </w:pPr>
    </w:p>
    <w:p w:rsidR="00782712" w:rsidP="00782712">
      <w:pPr>
        <w:ind w:firstLine="708"/>
        <w:jc w:val="both"/>
        <w:rPr>
          <w:rFonts w:ascii="Arial Narrow" w:hAnsi="Arial Narrow" w:cs="Times New Roman"/>
          <w:sz w:val="22"/>
          <w:szCs w:val="22"/>
        </w:rPr>
      </w:pPr>
      <w:r>
        <w:rPr>
          <w:rFonts w:ascii="Arial Narrow" w:hAnsi="Arial Narrow" w:cs="Times New Roman"/>
          <w:sz w:val="22"/>
          <w:szCs w:val="22"/>
        </w:rPr>
        <w:t xml:space="preserve">V súvislosti </w:t>
      </w:r>
      <w:r w:rsidRPr="007176EE">
        <w:rPr>
          <w:rFonts w:ascii="Arial Narrow" w:hAnsi="Arial Narrow" w:cs="Times New Roman"/>
          <w:b/>
          <w:sz w:val="22"/>
          <w:szCs w:val="22"/>
        </w:rPr>
        <w:t>so zavedením meny euro</w:t>
      </w:r>
      <w:r>
        <w:rPr>
          <w:rFonts w:ascii="Arial Narrow" w:hAnsi="Arial Narrow" w:cs="Times New Roman"/>
          <w:sz w:val="22"/>
          <w:szCs w:val="22"/>
        </w:rPr>
        <w:t xml:space="preserve"> v SR od 1.</w:t>
      </w:r>
      <w:r w:rsidR="00462247">
        <w:rPr>
          <w:rFonts w:ascii="Arial Narrow" w:hAnsi="Arial Narrow" w:cs="Times New Roman"/>
          <w:sz w:val="22"/>
          <w:szCs w:val="22"/>
        </w:rPr>
        <w:t xml:space="preserve"> </w:t>
      </w:r>
      <w:r>
        <w:rPr>
          <w:rFonts w:ascii="Arial Narrow" w:hAnsi="Arial Narrow" w:cs="Times New Roman"/>
          <w:sz w:val="22"/>
          <w:szCs w:val="22"/>
        </w:rPr>
        <w:t>1.</w:t>
      </w:r>
      <w:r w:rsidR="00462247">
        <w:rPr>
          <w:rFonts w:ascii="Arial Narrow" w:hAnsi="Arial Narrow" w:cs="Times New Roman"/>
          <w:sz w:val="22"/>
          <w:szCs w:val="22"/>
        </w:rPr>
        <w:t xml:space="preserve"> </w:t>
      </w:r>
      <w:r>
        <w:rPr>
          <w:rFonts w:ascii="Arial Narrow" w:hAnsi="Arial Narrow" w:cs="Times New Roman"/>
          <w:sz w:val="22"/>
          <w:szCs w:val="22"/>
        </w:rPr>
        <w:t>2009 nastala potreba novelizovať daňové zákony. V jednotlivých zákonoch sa zmena týka najmä zaokrúhľovania, avšak dopad je zanedbateľný. Pri DPH je najväčšou zmenou zmena výšky prahu registrácie pre daň z ročného obratu 49 791 eur</w:t>
      </w:r>
      <w:r w:rsidR="00462247">
        <w:rPr>
          <w:rFonts w:ascii="Arial Narrow" w:hAnsi="Arial Narrow" w:cs="Times New Roman"/>
          <w:sz w:val="22"/>
          <w:szCs w:val="22"/>
        </w:rPr>
        <w:t xml:space="preserve"> n</w:t>
      </w:r>
      <w:r>
        <w:rPr>
          <w:rFonts w:ascii="Arial Narrow" w:hAnsi="Arial Narrow" w:cs="Times New Roman"/>
          <w:sz w:val="22"/>
          <w:szCs w:val="22"/>
        </w:rPr>
        <w:t>a 35 000 eur, t.j. pokles o 14 791 eur. Táto zmena spôsobí v roku 2009 jednorazový výpadok na DPH z dôvodu možnosti odpočítania dane pri registrácii vo výške 16 298 tis. eur. Na druhej strane bude mať zvýšenie počtu platiteľov každoročne pozitívny efekt na výnos dane, približne 5 311 tis. eur.</w:t>
      </w:r>
    </w:p>
    <w:p w:rsidR="000F4890" w:rsidP="00782712">
      <w:pPr>
        <w:ind w:firstLine="708"/>
        <w:jc w:val="both"/>
        <w:rPr>
          <w:rFonts w:ascii="Arial Narrow" w:hAnsi="Arial Narrow" w:cs="Times New Roman"/>
          <w:sz w:val="22"/>
          <w:szCs w:val="22"/>
        </w:rPr>
      </w:pPr>
    </w:p>
    <w:p w:rsidR="000F4890" w:rsidP="00782712">
      <w:pPr>
        <w:ind w:firstLine="708"/>
        <w:jc w:val="both"/>
        <w:rPr>
          <w:rFonts w:ascii="Arial Narrow" w:hAnsi="Arial Narrow" w:cs="Times New Roman"/>
          <w:sz w:val="22"/>
          <w:szCs w:val="22"/>
        </w:rPr>
      </w:pPr>
    </w:p>
    <w:p w:rsidR="000F4890" w:rsidP="00782712">
      <w:pPr>
        <w:ind w:firstLine="708"/>
        <w:jc w:val="both"/>
        <w:rPr>
          <w:rFonts w:ascii="Arial Narrow" w:hAnsi="Arial Narrow" w:cs="Times New Roman"/>
          <w:sz w:val="22"/>
          <w:szCs w:val="22"/>
        </w:rPr>
      </w:pPr>
    </w:p>
    <w:p w:rsidR="00746CD5" w:rsidP="00782712">
      <w:pPr>
        <w:ind w:firstLine="708"/>
        <w:jc w:val="both"/>
        <w:rPr>
          <w:rFonts w:ascii="Arial Narrow" w:hAnsi="Arial Narrow" w:cs="Times New Roman"/>
          <w:sz w:val="22"/>
          <w:szCs w:val="22"/>
        </w:rPr>
      </w:pPr>
    </w:p>
    <w:p w:rsidR="00746CD5" w:rsidP="00782712">
      <w:pPr>
        <w:ind w:firstLine="708"/>
        <w:jc w:val="both"/>
        <w:rPr>
          <w:rFonts w:ascii="Arial Narrow" w:hAnsi="Arial Narrow" w:cs="Times New Roman"/>
          <w:sz w:val="22"/>
          <w:szCs w:val="22"/>
        </w:rPr>
      </w:pPr>
    </w:p>
    <w:p w:rsidR="00746CD5" w:rsidP="00782712">
      <w:pPr>
        <w:ind w:firstLine="708"/>
        <w:jc w:val="both"/>
        <w:rPr>
          <w:rFonts w:ascii="Arial Narrow" w:hAnsi="Arial Narrow" w:cs="Times New Roman"/>
          <w:sz w:val="22"/>
          <w:szCs w:val="22"/>
        </w:rPr>
      </w:pPr>
    </w:p>
    <w:p w:rsidR="000F4890" w:rsidP="00782712">
      <w:pPr>
        <w:ind w:firstLine="708"/>
        <w:jc w:val="both"/>
        <w:rPr>
          <w:rFonts w:ascii="Arial Narrow" w:hAnsi="Arial Narrow" w:cs="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5670"/>
        <w:gridCol w:w="1134"/>
        <w:gridCol w:w="1134"/>
        <w:gridCol w:w="1134"/>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4"/>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P="00782712">
            <w:pPr>
              <w:rPr>
                <w:rFonts w:ascii="Arial Narrow" w:hAnsi="Arial Narrow" w:cs="Arial"/>
                <w:b/>
                <w:bCs/>
                <w:color w:val="FFFFFF"/>
                <w:sz w:val="20"/>
              </w:rPr>
            </w:pPr>
            <w:r>
              <w:rPr>
                <w:rFonts w:ascii="Arial Narrow" w:hAnsi="Arial Narrow" w:cs="Arial"/>
                <w:b/>
                <w:bCs/>
                <w:color w:val="FFFFFF"/>
                <w:sz w:val="20"/>
              </w:rPr>
              <w:t>Dopad noviel daňových zákonov súvisiacich so zavedením meny euro na výnosy daní (ESA</w:t>
            </w:r>
            <w:r w:rsidR="00462247">
              <w:rPr>
                <w:rFonts w:ascii="Arial Narrow" w:hAnsi="Arial Narrow" w:cs="Arial"/>
                <w:b/>
                <w:bCs/>
                <w:color w:val="FFFFFF"/>
                <w:sz w:val="20"/>
              </w:rPr>
              <w:t xml:space="preserve"> </w:t>
            </w:r>
            <w:r>
              <w:rPr>
                <w:rFonts w:ascii="Arial Narrow" w:hAnsi="Arial Narrow" w:cs="Arial"/>
                <w:b/>
                <w:bCs/>
                <w:color w:val="FFFFFF"/>
                <w:sz w:val="20"/>
              </w:rPr>
              <w:t>95, tis. eur)</w:t>
            </w:r>
          </w:p>
        </w:tc>
      </w:tr>
      <w:tr>
        <w:tblPrEx>
          <w:tblW w:w="9072" w:type="dxa"/>
          <w:jc w:val="center"/>
          <w:tblCellMar>
            <w:left w:w="70" w:type="dxa"/>
            <w:right w:w="70" w:type="dxa"/>
          </w:tblCellMar>
        </w:tblPrEx>
        <w:trPr>
          <w:trHeight w:val="270"/>
          <w:jc w:val="center"/>
        </w:trPr>
        <w:tc>
          <w:tcPr>
            <w:tcW w:w="567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rPr>
                <w:rFonts w:ascii="Arial Narrow" w:hAnsi="Arial Narrow" w:cs="Arial"/>
                <w:sz w:val="18"/>
                <w:szCs w:val="18"/>
              </w:rPr>
            </w:pPr>
            <w:r w:rsidRPr="00E560E1">
              <w:rPr>
                <w:rFonts w:ascii="Arial Narrow" w:hAnsi="Arial Narrow" w:cs="Arial"/>
                <w:sz w:val="18"/>
                <w:szCs w:val="18"/>
              </w:rPr>
              <w:t> </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2009</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2010</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2011</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782712">
            <w:pPr>
              <w:rPr>
                <w:rFonts w:ascii="Arial Narrow" w:hAnsi="Arial Narrow" w:cs="Arial"/>
                <w:bCs/>
                <w:sz w:val="18"/>
                <w:szCs w:val="18"/>
              </w:rPr>
            </w:pPr>
            <w:r>
              <w:rPr>
                <w:rFonts w:ascii="Arial Narrow" w:hAnsi="Arial Narrow" w:cs="Arial"/>
                <w:bCs/>
                <w:sz w:val="18"/>
                <w:szCs w:val="18"/>
              </w:rPr>
              <w:t>Daň z príjmov FO zo závislej činnosti</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-66</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-66</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-66</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782712">
            <w:pPr>
              <w:rPr>
                <w:rFonts w:ascii="Arial Narrow" w:hAnsi="Arial Narrow" w:cs="Arial"/>
                <w:bCs/>
                <w:sz w:val="18"/>
                <w:szCs w:val="18"/>
              </w:rPr>
            </w:pPr>
            <w:r>
              <w:rPr>
                <w:rFonts w:ascii="Arial Narrow" w:hAnsi="Arial Narrow" w:cs="Arial"/>
                <w:bCs/>
                <w:sz w:val="18"/>
                <w:szCs w:val="18"/>
              </w:rPr>
              <w:t>DPH</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-10 987</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5 709</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6 174</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782712">
            <w:pPr>
              <w:ind w:left="708"/>
              <w:rPr>
                <w:rFonts w:ascii="Arial Narrow" w:hAnsi="Arial Narrow" w:cs="Arial"/>
                <w:bCs/>
                <w:sz w:val="18"/>
                <w:szCs w:val="18"/>
              </w:rPr>
            </w:pPr>
            <w:r>
              <w:rPr>
                <w:rFonts w:ascii="Arial Narrow" w:hAnsi="Arial Narrow" w:cs="Arial"/>
                <w:bCs/>
                <w:sz w:val="18"/>
                <w:szCs w:val="18"/>
              </w:rPr>
              <w:t>- odpočítanie dane pri registrácii</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-16 298</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782712">
            <w:pPr>
              <w:ind w:left="708"/>
              <w:rPr>
                <w:rFonts w:ascii="Arial Narrow" w:hAnsi="Arial Narrow" w:cs="Arial"/>
                <w:bCs/>
                <w:sz w:val="18"/>
                <w:szCs w:val="18"/>
              </w:rPr>
            </w:pPr>
            <w:r>
              <w:rPr>
                <w:rFonts w:ascii="Arial Narrow" w:hAnsi="Arial Narrow" w:cs="Arial"/>
                <w:bCs/>
                <w:sz w:val="18"/>
                <w:szCs w:val="18"/>
              </w:rPr>
              <w:t>- dodatočný výnos</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5 311</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5 709</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6 174</w:t>
            </w:r>
          </w:p>
        </w:tc>
      </w:tr>
      <w:tr>
        <w:tblPrEx>
          <w:tblW w:w="9072" w:type="dxa"/>
          <w:jc w:val="center"/>
          <w:tblCellMar>
            <w:left w:w="70" w:type="dxa"/>
            <w:right w:w="70" w:type="dxa"/>
          </w:tblCellMar>
        </w:tblPrEx>
        <w:trPr>
          <w:trHeight w:val="285"/>
          <w:jc w:val="center"/>
        </w:trPr>
        <w:tc>
          <w:tcPr>
            <w:tcW w:w="567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782712">
            <w:pPr>
              <w:rPr>
                <w:rFonts w:ascii="Arial Narrow" w:hAnsi="Arial Narrow" w:cs="Arial"/>
                <w:bCs/>
                <w:sz w:val="18"/>
                <w:szCs w:val="18"/>
              </w:rPr>
            </w:pPr>
            <w:r>
              <w:rPr>
                <w:rFonts w:ascii="Arial Narrow" w:hAnsi="Arial Narrow" w:cs="Arial"/>
                <w:bCs/>
                <w:sz w:val="18"/>
                <w:szCs w:val="18"/>
              </w:rPr>
              <w:t>Spotrebné dane</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-33</w:t>
            </w:r>
          </w:p>
        </w:tc>
        <w:tc>
          <w:tcPr>
            <w:tcW w:w="113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jc w:val="right"/>
              <w:rPr>
                <w:rFonts w:ascii="Arial Narrow" w:hAnsi="Arial Narrow" w:cs="Arial"/>
                <w:bCs/>
                <w:sz w:val="18"/>
                <w:szCs w:val="18"/>
              </w:rPr>
            </w:pPr>
            <w:r>
              <w:rPr>
                <w:rFonts w:ascii="Arial Narrow" w:hAnsi="Arial Narrow" w:cs="Arial"/>
                <w:bCs/>
                <w:sz w:val="18"/>
                <w:szCs w:val="18"/>
              </w:rPr>
              <w:t>-33</w:t>
            </w:r>
          </w:p>
        </w:tc>
      </w:tr>
    </w:tbl>
    <w:p w:rsidR="00782712" w:rsidP="00782712">
      <w:pPr>
        <w:jc w:val="both"/>
        <w:rPr>
          <w:rFonts w:ascii="Arial Narrow" w:hAnsi="Arial Narrow" w:cs="Times New Roman"/>
          <w:sz w:val="22"/>
          <w:szCs w:val="22"/>
          <w:highlight w:val="yellow"/>
        </w:rPr>
      </w:pPr>
    </w:p>
    <w:p w:rsidR="00782712" w:rsidRPr="00DB0886" w:rsidP="00782712">
      <w:pPr>
        <w:ind w:firstLine="708"/>
        <w:jc w:val="both"/>
        <w:rPr>
          <w:rFonts w:ascii="Arial Narrow" w:hAnsi="Arial Narrow" w:cs="Times New Roman"/>
          <w:sz w:val="22"/>
          <w:szCs w:val="22"/>
        </w:rPr>
      </w:pPr>
      <w:r>
        <w:rPr>
          <w:rFonts w:ascii="Arial Narrow" w:hAnsi="Arial Narrow" w:cs="Times New Roman"/>
          <w:sz w:val="22"/>
          <w:szCs w:val="22"/>
        </w:rPr>
        <w:t>Z</w:t>
      </w:r>
      <w:r w:rsidRPr="00DB0886">
        <w:rPr>
          <w:rFonts w:ascii="Arial Narrow" w:hAnsi="Arial Narrow" w:cs="Times New Roman"/>
          <w:sz w:val="22"/>
          <w:szCs w:val="22"/>
        </w:rPr>
        <w:t xml:space="preserve"> dôvodu rozhodnutia Eurostatu, ktorý posúdil koncesionárske poplatky ako dane, dochádza od</w:t>
      </w:r>
      <w:r w:rsidR="00462247">
        <w:rPr>
          <w:rFonts w:ascii="Arial Narrow" w:hAnsi="Arial Narrow" w:cs="Times New Roman"/>
          <w:sz w:val="22"/>
          <w:szCs w:val="22"/>
        </w:rPr>
        <w:t xml:space="preserve">           </w:t>
      </w:r>
      <w:r w:rsidRPr="00DB0886">
        <w:rPr>
          <w:rFonts w:ascii="Arial Narrow" w:hAnsi="Arial Narrow" w:cs="Times New Roman"/>
          <w:sz w:val="22"/>
          <w:szCs w:val="22"/>
        </w:rPr>
        <w:t xml:space="preserve"> 1.</w:t>
      </w:r>
      <w:r w:rsidR="00462247">
        <w:rPr>
          <w:rFonts w:ascii="Arial Narrow" w:hAnsi="Arial Narrow" w:cs="Times New Roman"/>
          <w:sz w:val="22"/>
          <w:szCs w:val="22"/>
        </w:rPr>
        <w:t xml:space="preserve"> </w:t>
      </w:r>
      <w:r w:rsidRPr="00DB0886">
        <w:rPr>
          <w:rFonts w:ascii="Arial Narrow" w:hAnsi="Arial Narrow" w:cs="Times New Roman"/>
          <w:sz w:val="22"/>
          <w:szCs w:val="22"/>
        </w:rPr>
        <w:t>1.</w:t>
      </w:r>
      <w:r w:rsidR="00462247">
        <w:rPr>
          <w:rFonts w:ascii="Arial Narrow" w:hAnsi="Arial Narrow" w:cs="Times New Roman"/>
          <w:sz w:val="22"/>
          <w:szCs w:val="22"/>
        </w:rPr>
        <w:t xml:space="preserve"> </w:t>
      </w:r>
      <w:r w:rsidRPr="00DB0886">
        <w:rPr>
          <w:rFonts w:ascii="Arial Narrow" w:hAnsi="Arial Narrow" w:cs="Times New Roman"/>
          <w:sz w:val="22"/>
          <w:szCs w:val="22"/>
        </w:rPr>
        <w:t>2009 k úprave ekonomickej klasifikácie rozpočtovej klasifikácie verejnej správy. Koncesionárske poplatky sa tak stali daňovými príjmami verejnej správy a</w:t>
      </w:r>
      <w:r w:rsidR="00462247">
        <w:rPr>
          <w:rFonts w:ascii="Arial Narrow" w:hAnsi="Arial Narrow" w:cs="Times New Roman"/>
          <w:sz w:val="22"/>
          <w:szCs w:val="22"/>
        </w:rPr>
        <w:t> Slovenská televízi</w:t>
      </w:r>
      <w:r w:rsidRPr="00DB0886">
        <w:rPr>
          <w:rFonts w:ascii="Arial Narrow" w:hAnsi="Arial Narrow" w:cs="Times New Roman"/>
          <w:sz w:val="22"/>
          <w:szCs w:val="22"/>
        </w:rPr>
        <w:t>a </w:t>
      </w:r>
      <w:r w:rsidR="00462247">
        <w:rPr>
          <w:rFonts w:ascii="Arial Narrow" w:hAnsi="Arial Narrow" w:cs="Times New Roman"/>
          <w:sz w:val="22"/>
          <w:szCs w:val="22"/>
        </w:rPr>
        <w:t xml:space="preserve">a Slovenský rozhlas </w:t>
      </w:r>
      <w:r w:rsidRPr="00DB0886">
        <w:rPr>
          <w:rFonts w:ascii="Arial Narrow" w:hAnsi="Arial Narrow" w:cs="Times New Roman"/>
          <w:sz w:val="22"/>
          <w:szCs w:val="22"/>
        </w:rPr>
        <w:t>súčasťou sektora verejnej správy.</w:t>
      </w:r>
    </w:p>
    <w:p w:rsidR="00782712" w:rsidRPr="00B05BD9" w:rsidP="00782712">
      <w:pPr>
        <w:ind w:firstLine="708"/>
        <w:jc w:val="both"/>
        <w:rPr>
          <w:rFonts w:ascii="Arial Narrow" w:hAnsi="Arial Narrow" w:cs="Times New Roman"/>
          <w:sz w:val="22"/>
          <w:szCs w:val="22"/>
        </w:rPr>
      </w:pPr>
    </w:p>
    <w:p w:rsidR="00782712" w:rsidRPr="00B05BD9" w:rsidP="00782712">
      <w:pPr>
        <w:ind w:firstLine="708"/>
        <w:jc w:val="both"/>
        <w:rPr>
          <w:rFonts w:ascii="Arial Narrow" w:hAnsi="Arial Narrow" w:cs="Arial Narrow"/>
          <w:sz w:val="22"/>
          <w:szCs w:val="22"/>
        </w:rPr>
      </w:pPr>
      <w:r w:rsidRPr="00B05BD9">
        <w:rPr>
          <w:rFonts w:ascii="Arial Narrow" w:hAnsi="Arial Narrow" w:cs="Arial Narrow"/>
          <w:sz w:val="22"/>
          <w:szCs w:val="22"/>
        </w:rPr>
        <w:t>Účelom tejto dane</w:t>
      </w:r>
      <w:r>
        <w:rPr>
          <w:rFonts w:ascii="Arial Narrow" w:hAnsi="Arial Narrow" w:cs="Arial Narrow"/>
          <w:sz w:val="22"/>
          <w:szCs w:val="22"/>
        </w:rPr>
        <w:t xml:space="preserve"> </w:t>
      </w:r>
      <w:r w:rsidRPr="00B05BD9">
        <w:rPr>
          <w:rFonts w:ascii="Arial Narrow" w:hAnsi="Arial Narrow" w:cs="Arial Narrow"/>
          <w:sz w:val="22"/>
          <w:szCs w:val="22"/>
        </w:rPr>
        <w:t xml:space="preserve">je finančné zabezpečenie služieb verejnosti v oblasti televízneho vysielania poskytovaných  </w:t>
      </w:r>
      <w:r w:rsidR="00F820DB">
        <w:rPr>
          <w:rFonts w:ascii="Arial Narrow" w:hAnsi="Arial Narrow" w:cs="Arial Narrow"/>
          <w:sz w:val="22"/>
          <w:szCs w:val="22"/>
        </w:rPr>
        <w:t xml:space="preserve">Slovenskou televíziou </w:t>
      </w:r>
      <w:r w:rsidRPr="00B05BD9">
        <w:rPr>
          <w:rFonts w:ascii="Arial Narrow" w:hAnsi="Arial Narrow" w:cs="Arial Narrow"/>
          <w:sz w:val="22"/>
          <w:szCs w:val="22"/>
        </w:rPr>
        <w:t xml:space="preserve">a v oblasti rozhlasového vysielania poskytovaných </w:t>
      </w:r>
      <w:r w:rsidR="00F820DB">
        <w:rPr>
          <w:rFonts w:ascii="Arial Narrow" w:hAnsi="Arial Narrow" w:cs="Arial Narrow"/>
          <w:sz w:val="22"/>
          <w:szCs w:val="22"/>
        </w:rPr>
        <w:t xml:space="preserve">Slovenským rozhlasom. </w:t>
      </w:r>
      <w:r w:rsidRPr="00B05BD9">
        <w:rPr>
          <w:rFonts w:ascii="Arial Narrow" w:hAnsi="Arial Narrow" w:cs="Arial Narrow"/>
          <w:sz w:val="22"/>
          <w:szCs w:val="22"/>
        </w:rPr>
        <w:t>Výber dane upravuje zákon č. 68/2008 Z. z. o úhrade za služby verejnosti poskytov</w:t>
      </w:r>
      <w:r w:rsidRPr="00B05BD9">
        <w:rPr>
          <w:rFonts w:ascii="Arial Narrow" w:hAnsi="Arial Narrow" w:cs="Arial Narrow"/>
          <w:sz w:val="22"/>
          <w:szCs w:val="22"/>
        </w:rPr>
        <w:t>ané Slovenskou televíziou a Slovenským rozhlasom a o zmene a doplnení niektorých zákonov.</w:t>
      </w:r>
      <w:r>
        <w:rPr>
          <w:rFonts w:ascii="Arial Narrow" w:hAnsi="Arial Narrow" w:cs="Arial Narrow"/>
          <w:sz w:val="22"/>
          <w:szCs w:val="22"/>
        </w:rPr>
        <w:t xml:space="preserve"> </w:t>
      </w:r>
      <w:r w:rsidRPr="00B05BD9">
        <w:rPr>
          <w:rFonts w:ascii="Arial Narrow" w:hAnsi="Arial Narrow" w:cs="Arial Narrow"/>
          <w:sz w:val="22"/>
          <w:szCs w:val="22"/>
        </w:rPr>
        <w:t>Platiteľom úhrady je fyzická osoba, ktorá je koncovým odberateľom elektriny v odbernom mieste a z</w:t>
      </w:r>
      <w:r w:rsidRPr="00B05BD9">
        <w:rPr>
          <w:rFonts w:ascii="Arial Narrow" w:hAnsi="Arial Narrow" w:cs="Times New Roman"/>
          <w:sz w:val="22"/>
          <w:szCs w:val="22"/>
        </w:rPr>
        <w:t>amestnávate</w:t>
      </w:r>
      <w:r w:rsidRPr="00B05BD9">
        <w:rPr>
          <w:rFonts w:ascii="Arial Narrow" w:hAnsi="Arial Narrow" w:cs="TimesNewRoman"/>
          <w:sz w:val="22"/>
          <w:szCs w:val="22"/>
        </w:rPr>
        <w:t>ľ</w:t>
      </w:r>
      <w:r w:rsidRPr="00B05BD9">
        <w:rPr>
          <w:rFonts w:ascii="Arial Narrow" w:hAnsi="Arial Narrow" w:cs="Times New Roman"/>
          <w:sz w:val="22"/>
          <w:szCs w:val="22"/>
        </w:rPr>
        <w:t>, ktorý v pracovnom pomere zamestnáva aspo</w:t>
      </w:r>
      <w:r w:rsidRPr="00B05BD9">
        <w:rPr>
          <w:rFonts w:ascii="Arial Narrow" w:hAnsi="Arial Narrow" w:cs="TimesNewRoman"/>
          <w:sz w:val="22"/>
          <w:szCs w:val="22"/>
        </w:rPr>
        <w:t xml:space="preserve">ň </w:t>
      </w:r>
      <w:r w:rsidRPr="00B05BD9">
        <w:rPr>
          <w:rFonts w:ascii="Arial Narrow" w:hAnsi="Arial Narrow" w:cs="Times New Roman"/>
          <w:sz w:val="22"/>
          <w:szCs w:val="22"/>
        </w:rPr>
        <w:t>troch zamestn</w:t>
      </w:r>
      <w:r w:rsidRPr="00B05BD9">
        <w:rPr>
          <w:rFonts w:ascii="Arial Narrow" w:hAnsi="Arial Narrow" w:cs="Times New Roman"/>
          <w:sz w:val="22"/>
          <w:szCs w:val="22"/>
        </w:rPr>
        <w:t>ancov.</w:t>
      </w:r>
      <w:r>
        <w:rPr>
          <w:rFonts w:ascii="Arial Narrow" w:hAnsi="Arial Narrow" w:cs="Times New Roman"/>
          <w:sz w:val="22"/>
          <w:szCs w:val="22"/>
        </w:rPr>
        <w:t xml:space="preserve"> </w:t>
      </w:r>
      <w:r w:rsidRPr="00B05BD9">
        <w:rPr>
          <w:rFonts w:ascii="Arial Narrow" w:hAnsi="Arial Narrow" w:cs="Arial Narrow"/>
          <w:sz w:val="22"/>
          <w:szCs w:val="22"/>
        </w:rPr>
        <w:t xml:space="preserve">Úhrada je vo </w:t>
      </w:r>
      <w:r w:rsidRPr="001430CD">
        <w:rPr>
          <w:rFonts w:ascii="Arial Narrow" w:hAnsi="Arial Narrow" w:cs="Arial Narrow"/>
          <w:sz w:val="22"/>
          <w:szCs w:val="22"/>
        </w:rPr>
        <w:t xml:space="preserve">výške </w:t>
      </w:r>
      <w:r>
        <w:rPr>
          <w:rFonts w:ascii="Arial Narrow" w:hAnsi="Arial Narrow" w:cs="Times New Roman"/>
          <w:sz w:val="22"/>
          <w:szCs w:val="22"/>
        </w:rPr>
        <w:t xml:space="preserve">4,64 eur </w:t>
      </w:r>
      <w:r w:rsidRPr="00B05BD9">
        <w:rPr>
          <w:rFonts w:ascii="Arial Narrow" w:hAnsi="Arial Narrow" w:cs="Times New Roman"/>
          <w:sz w:val="22"/>
          <w:szCs w:val="22"/>
        </w:rPr>
        <w:t>za každý aj za</w:t>
      </w:r>
      <w:r w:rsidRPr="00B05BD9">
        <w:rPr>
          <w:rFonts w:ascii="Arial Narrow" w:hAnsi="Arial Narrow" w:cs="TimesNewRoman"/>
          <w:sz w:val="22"/>
          <w:szCs w:val="22"/>
        </w:rPr>
        <w:t>č</w:t>
      </w:r>
      <w:r w:rsidRPr="00B05BD9">
        <w:rPr>
          <w:rFonts w:ascii="Arial Narrow" w:hAnsi="Arial Narrow" w:cs="Times New Roman"/>
          <w:sz w:val="22"/>
          <w:szCs w:val="22"/>
        </w:rPr>
        <w:t>atý kalendárny mesiac, ak je však platiteľ koncovým odberate</w:t>
      </w:r>
      <w:r w:rsidRPr="00B05BD9">
        <w:rPr>
          <w:rFonts w:ascii="Arial Narrow" w:hAnsi="Arial Narrow" w:cs="TimesNewRoman"/>
          <w:sz w:val="22"/>
          <w:szCs w:val="22"/>
        </w:rPr>
        <w:t>ľ</w:t>
      </w:r>
      <w:r w:rsidRPr="00B05BD9">
        <w:rPr>
          <w:rFonts w:ascii="Arial Narrow" w:hAnsi="Arial Narrow" w:cs="Times New Roman"/>
          <w:sz w:val="22"/>
          <w:szCs w:val="22"/>
        </w:rPr>
        <w:t>om elektriny vo viacerých odberných miestach, platí úhradu len za jedno odberné miesto. Ak je platite</w:t>
      </w:r>
      <w:r w:rsidRPr="00B05BD9">
        <w:rPr>
          <w:rFonts w:ascii="Arial Narrow" w:hAnsi="Arial Narrow" w:cs="TimesNewRoman"/>
          <w:sz w:val="22"/>
          <w:szCs w:val="22"/>
        </w:rPr>
        <w:t xml:space="preserve">ľ </w:t>
      </w:r>
      <w:r w:rsidRPr="00B05BD9">
        <w:rPr>
          <w:rFonts w:ascii="Arial Narrow" w:hAnsi="Arial Narrow" w:cs="Times New Roman"/>
          <w:sz w:val="22"/>
          <w:szCs w:val="22"/>
        </w:rPr>
        <w:t>poberate</w:t>
      </w:r>
      <w:r w:rsidRPr="00B05BD9">
        <w:rPr>
          <w:rFonts w:ascii="Arial Narrow" w:hAnsi="Arial Narrow" w:cs="TimesNewRoman"/>
          <w:sz w:val="22"/>
          <w:szCs w:val="22"/>
        </w:rPr>
        <w:t>ľ</w:t>
      </w:r>
      <w:r w:rsidRPr="00B05BD9">
        <w:rPr>
          <w:rFonts w:ascii="Arial Narrow" w:hAnsi="Arial Narrow" w:cs="Times New Roman"/>
          <w:sz w:val="22"/>
          <w:szCs w:val="22"/>
        </w:rPr>
        <w:t xml:space="preserve">om dôchodku úhrada sa znižuje na </w:t>
      </w:r>
      <w:r w:rsidRPr="00B05BD9">
        <w:rPr>
          <w:rFonts w:ascii="Arial Narrow" w:hAnsi="Arial Narrow" w:cs="Times New Roman"/>
          <w:sz w:val="22"/>
          <w:szCs w:val="22"/>
        </w:rPr>
        <w:t>polovicu.</w:t>
      </w:r>
      <w:r>
        <w:rPr>
          <w:rFonts w:ascii="Arial Narrow" w:hAnsi="Arial Narrow" w:cs="Times New Roman"/>
          <w:sz w:val="22"/>
          <w:szCs w:val="22"/>
        </w:rPr>
        <w:t xml:space="preserve"> </w:t>
      </w:r>
      <w:r w:rsidRPr="00B05BD9">
        <w:rPr>
          <w:rFonts w:ascii="Arial Narrow" w:hAnsi="Arial Narrow" w:cs="Times New Roman"/>
          <w:sz w:val="22"/>
          <w:szCs w:val="22"/>
        </w:rPr>
        <w:t>Platite</w:t>
      </w:r>
      <w:r w:rsidRPr="00B05BD9">
        <w:rPr>
          <w:rFonts w:ascii="Arial Narrow" w:hAnsi="Arial Narrow" w:cs="TimesNewRoman"/>
          <w:sz w:val="22"/>
          <w:szCs w:val="22"/>
        </w:rPr>
        <w:t>ľ (</w:t>
      </w:r>
      <w:r w:rsidRPr="00B05BD9">
        <w:rPr>
          <w:rFonts w:ascii="Arial Narrow" w:hAnsi="Arial Narrow" w:cs="Times New Roman"/>
          <w:sz w:val="22"/>
          <w:szCs w:val="22"/>
        </w:rPr>
        <w:t>zamestnávateľ) platí úhradu za každý aj za</w:t>
      </w:r>
      <w:r w:rsidRPr="00B05BD9">
        <w:rPr>
          <w:rFonts w:ascii="Arial Narrow" w:hAnsi="Arial Narrow" w:cs="TimesNewRoman"/>
          <w:sz w:val="22"/>
          <w:szCs w:val="22"/>
        </w:rPr>
        <w:t>č</w:t>
      </w:r>
      <w:r w:rsidRPr="00B05BD9">
        <w:rPr>
          <w:rFonts w:ascii="Arial Narrow" w:hAnsi="Arial Narrow" w:cs="Times New Roman"/>
          <w:sz w:val="22"/>
          <w:szCs w:val="22"/>
        </w:rPr>
        <w:t xml:space="preserve">atý kalendárny mesiac podľa počtu zamestnancov </w:t>
      </w:r>
      <w:r w:rsidRPr="001430CD">
        <w:rPr>
          <w:rFonts w:ascii="Arial Narrow" w:hAnsi="Arial Narrow" w:cs="Times New Roman"/>
          <w:sz w:val="22"/>
          <w:szCs w:val="22"/>
        </w:rPr>
        <w:t xml:space="preserve">od </w:t>
      </w:r>
      <w:r>
        <w:rPr>
          <w:rFonts w:ascii="Arial Narrow" w:hAnsi="Arial Narrow" w:cs="Times New Roman"/>
          <w:sz w:val="22"/>
          <w:szCs w:val="22"/>
        </w:rPr>
        <w:t xml:space="preserve">4,64 eur </w:t>
      </w:r>
      <w:r w:rsidRPr="00B05BD9">
        <w:rPr>
          <w:rFonts w:ascii="Arial Narrow" w:hAnsi="Arial Narrow" w:cs="Times New Roman"/>
          <w:sz w:val="22"/>
          <w:szCs w:val="22"/>
        </w:rPr>
        <w:t xml:space="preserve">až </w:t>
      </w:r>
      <w:r w:rsidRPr="001430CD">
        <w:rPr>
          <w:rFonts w:ascii="Arial Narrow" w:hAnsi="Arial Narrow" w:cs="Times New Roman"/>
          <w:sz w:val="22"/>
          <w:szCs w:val="22"/>
        </w:rPr>
        <w:t>po 464,71 eur. Úhrada</w:t>
      </w:r>
      <w:r w:rsidRPr="00B05BD9">
        <w:rPr>
          <w:rFonts w:ascii="Arial Narrow" w:hAnsi="Arial Narrow" w:cs="Times New Roman"/>
          <w:sz w:val="22"/>
          <w:szCs w:val="22"/>
        </w:rPr>
        <w:t xml:space="preserve"> sa platí mesa</w:t>
      </w:r>
      <w:r w:rsidRPr="00B05BD9">
        <w:rPr>
          <w:rFonts w:ascii="Arial Narrow" w:hAnsi="Arial Narrow" w:cs="TimesNewRoman"/>
          <w:sz w:val="22"/>
          <w:szCs w:val="22"/>
        </w:rPr>
        <w:t>č</w:t>
      </w:r>
      <w:r w:rsidRPr="00B05BD9">
        <w:rPr>
          <w:rFonts w:ascii="Arial Narrow" w:hAnsi="Arial Narrow" w:cs="Times New Roman"/>
          <w:sz w:val="22"/>
          <w:szCs w:val="22"/>
        </w:rPr>
        <w:t>ne a platí sa za mesiac do posledného d</w:t>
      </w:r>
      <w:r w:rsidRPr="00B05BD9">
        <w:rPr>
          <w:rFonts w:ascii="Arial Narrow" w:hAnsi="Arial Narrow" w:cs="TimesNewRoman"/>
          <w:sz w:val="22"/>
          <w:szCs w:val="22"/>
        </w:rPr>
        <w:t>ň</w:t>
      </w:r>
      <w:r w:rsidRPr="00B05BD9">
        <w:rPr>
          <w:rFonts w:ascii="Arial Narrow" w:hAnsi="Arial Narrow" w:cs="Times New Roman"/>
          <w:sz w:val="22"/>
          <w:szCs w:val="22"/>
        </w:rPr>
        <w:t>a príslušného mesiaca. Úhradu je možné zaplati</w:t>
      </w:r>
      <w:r w:rsidRPr="00B05BD9">
        <w:rPr>
          <w:rFonts w:ascii="Arial Narrow" w:hAnsi="Arial Narrow" w:cs="TimesNewRoman"/>
          <w:sz w:val="22"/>
          <w:szCs w:val="22"/>
        </w:rPr>
        <w:t xml:space="preserve">ť </w:t>
      </w:r>
      <w:r w:rsidRPr="00B05BD9">
        <w:rPr>
          <w:rFonts w:ascii="Arial Narrow" w:hAnsi="Arial Narrow" w:cs="Times New Roman"/>
          <w:sz w:val="22"/>
          <w:szCs w:val="22"/>
        </w:rPr>
        <w:t xml:space="preserve">vopred </w:t>
      </w:r>
      <w:r w:rsidRPr="00B05BD9">
        <w:rPr>
          <w:rFonts w:ascii="Arial Narrow" w:hAnsi="Arial Narrow" w:cs="Times New Roman"/>
          <w:sz w:val="22"/>
          <w:szCs w:val="22"/>
        </w:rPr>
        <w:t>za štvr</w:t>
      </w:r>
      <w:r w:rsidRPr="00B05BD9">
        <w:rPr>
          <w:rFonts w:ascii="Arial Narrow" w:hAnsi="Arial Narrow" w:cs="TimesNewRoman"/>
          <w:sz w:val="22"/>
          <w:szCs w:val="22"/>
        </w:rPr>
        <w:t>ť</w:t>
      </w:r>
      <w:r w:rsidRPr="00B05BD9">
        <w:rPr>
          <w:rFonts w:ascii="Arial Narrow" w:hAnsi="Arial Narrow" w:cs="Times New Roman"/>
          <w:sz w:val="22"/>
          <w:szCs w:val="22"/>
        </w:rPr>
        <w:t>rok, polrok alebo rok.</w:t>
      </w:r>
      <w:r>
        <w:rPr>
          <w:rFonts w:ascii="Arial Narrow" w:hAnsi="Arial Narrow" w:cs="Times New Roman"/>
          <w:sz w:val="22"/>
          <w:szCs w:val="22"/>
        </w:rPr>
        <w:t xml:space="preserve"> S</w:t>
      </w:r>
      <w:r w:rsidRPr="00B05BD9">
        <w:rPr>
          <w:rFonts w:ascii="Arial Narrow" w:hAnsi="Arial Narrow" w:cs="Arial Narrow"/>
          <w:sz w:val="22"/>
          <w:szCs w:val="22"/>
        </w:rPr>
        <w:t>právcom a vyberateľom dane je spoločnosť RTVS, s.r.o. založená Slovenskou televíziou a Slovenským rozhlasom.</w:t>
      </w:r>
      <w:r>
        <w:rPr>
          <w:rFonts w:ascii="Arial Narrow" w:hAnsi="Arial Narrow" w:cs="Arial Narrow"/>
          <w:sz w:val="22"/>
          <w:szCs w:val="22"/>
        </w:rPr>
        <w:t xml:space="preserve"> </w:t>
      </w:r>
      <w:r w:rsidRPr="00B05BD9">
        <w:rPr>
          <w:rFonts w:ascii="Arial Narrow" w:hAnsi="Arial Narrow" w:cs="Arial Narrow"/>
          <w:sz w:val="22"/>
          <w:szCs w:val="22"/>
        </w:rPr>
        <w:t>Príjemcom dane je S</w:t>
      </w:r>
      <w:r w:rsidR="00F820DB">
        <w:rPr>
          <w:rFonts w:ascii="Arial Narrow" w:hAnsi="Arial Narrow" w:cs="Arial Narrow"/>
          <w:sz w:val="22"/>
          <w:szCs w:val="22"/>
        </w:rPr>
        <w:t xml:space="preserve">lovenská televízia a Slovenský rozhlas. </w:t>
      </w:r>
      <w:r w:rsidRPr="00B05BD9">
        <w:rPr>
          <w:rFonts w:ascii="Arial Narrow" w:hAnsi="Arial Narrow" w:cs="Arial Narrow"/>
          <w:sz w:val="22"/>
          <w:szCs w:val="22"/>
        </w:rPr>
        <w:t>Výnos dane je rozdelený 70</w:t>
      </w:r>
      <w:r w:rsidR="00F820DB">
        <w:rPr>
          <w:rFonts w:ascii="Arial Narrow" w:hAnsi="Arial Narrow" w:cs="Arial Narrow"/>
          <w:sz w:val="22"/>
          <w:szCs w:val="22"/>
        </w:rPr>
        <w:t xml:space="preserve"> </w:t>
      </w:r>
      <w:r w:rsidRPr="00B05BD9">
        <w:rPr>
          <w:rFonts w:ascii="Arial Narrow" w:hAnsi="Arial Narrow" w:cs="Arial Narrow"/>
          <w:sz w:val="22"/>
          <w:szCs w:val="22"/>
        </w:rPr>
        <w:t>% v prospech S</w:t>
      </w:r>
      <w:r w:rsidR="00F820DB">
        <w:rPr>
          <w:rFonts w:ascii="Arial Narrow" w:hAnsi="Arial Narrow" w:cs="Arial Narrow"/>
          <w:sz w:val="22"/>
          <w:szCs w:val="22"/>
        </w:rPr>
        <w:t>lovenskej telev</w:t>
      </w:r>
      <w:r w:rsidR="00F820DB">
        <w:rPr>
          <w:rFonts w:ascii="Arial Narrow" w:hAnsi="Arial Narrow" w:cs="Arial Narrow"/>
          <w:sz w:val="22"/>
          <w:szCs w:val="22"/>
        </w:rPr>
        <w:t xml:space="preserve">ízie </w:t>
      </w:r>
      <w:r w:rsidRPr="00B05BD9">
        <w:rPr>
          <w:rFonts w:ascii="Arial Narrow" w:hAnsi="Arial Narrow" w:cs="Arial Narrow"/>
          <w:sz w:val="22"/>
          <w:szCs w:val="22"/>
        </w:rPr>
        <w:t>a 30</w:t>
      </w:r>
      <w:r>
        <w:rPr>
          <w:rFonts w:ascii="Arial Narrow" w:hAnsi="Arial Narrow" w:cs="Arial Narrow"/>
          <w:sz w:val="22"/>
          <w:szCs w:val="22"/>
        </w:rPr>
        <w:t>% v prospech S</w:t>
      </w:r>
      <w:r w:rsidR="00F820DB">
        <w:rPr>
          <w:rFonts w:ascii="Arial Narrow" w:hAnsi="Arial Narrow" w:cs="Arial Narrow"/>
          <w:sz w:val="22"/>
          <w:szCs w:val="22"/>
        </w:rPr>
        <w:t>lovenského rozhlasu</w:t>
      </w:r>
      <w:r>
        <w:rPr>
          <w:rFonts w:ascii="Arial Narrow" w:hAnsi="Arial Narrow" w:cs="Arial Narrow"/>
          <w:sz w:val="22"/>
          <w:szCs w:val="22"/>
        </w:rPr>
        <w:t>.</w:t>
      </w:r>
    </w:p>
    <w:p w:rsidR="00782712" w:rsidRPr="00B05BD9" w:rsidP="00782712">
      <w:pPr>
        <w:jc w:val="both"/>
        <w:rPr>
          <w:rFonts w:ascii="Arial Narrow" w:hAnsi="Arial Narrow" w:cs="Arial Narrow"/>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113"/>
        <w:gridCol w:w="1239"/>
        <w:gridCol w:w="1240"/>
        <w:gridCol w:w="1240"/>
        <w:gridCol w:w="1240"/>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P="00782712">
            <w:pPr>
              <w:rPr>
                <w:rFonts w:ascii="Arial Narrow" w:hAnsi="Arial Narrow" w:cs="Arial"/>
                <w:b/>
                <w:bCs/>
                <w:color w:val="FFFFFF"/>
                <w:sz w:val="20"/>
              </w:rPr>
            </w:pPr>
            <w:r>
              <w:rPr>
                <w:rFonts w:ascii="Arial Narrow" w:hAnsi="Arial Narrow" w:cs="Arial"/>
                <w:b/>
                <w:bCs/>
                <w:color w:val="FFFFFF"/>
                <w:sz w:val="20"/>
              </w:rPr>
              <w:t>Úhrada za služby verejnosti poskytované STV a SRo (ESA</w:t>
            </w:r>
            <w:r w:rsidR="00F820DB">
              <w:rPr>
                <w:rFonts w:ascii="Arial Narrow" w:hAnsi="Arial Narrow" w:cs="Arial"/>
                <w:b/>
                <w:bCs/>
                <w:color w:val="FFFFFF"/>
                <w:sz w:val="20"/>
              </w:rPr>
              <w:t xml:space="preserve"> </w:t>
            </w:r>
            <w:r>
              <w:rPr>
                <w:rFonts w:ascii="Arial Narrow" w:hAnsi="Arial Narrow" w:cs="Arial"/>
                <w:b/>
                <w:bCs/>
                <w:color w:val="FFFFFF"/>
                <w:sz w:val="20"/>
              </w:rPr>
              <w:t>95, tis. eur)</w:t>
            </w:r>
          </w:p>
        </w:tc>
      </w:tr>
      <w:tr>
        <w:tblPrEx>
          <w:tblW w:w="9072" w:type="dxa"/>
          <w:jc w:val="center"/>
          <w:tblCellMar>
            <w:left w:w="70" w:type="dxa"/>
            <w:right w:w="70" w:type="dxa"/>
          </w:tblCellMar>
        </w:tblPrEx>
        <w:trPr>
          <w:trHeight w:val="270"/>
          <w:jc w:val="center"/>
        </w:trPr>
        <w:tc>
          <w:tcPr>
            <w:tcW w:w="4113"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782712" w:rsidRPr="00E560E1" w:rsidP="00782712">
            <w:pPr>
              <w:rPr>
                <w:rFonts w:ascii="Arial Narrow" w:hAnsi="Arial Narrow" w:cs="Arial"/>
                <w:sz w:val="18"/>
                <w:szCs w:val="18"/>
              </w:rPr>
            </w:pPr>
            <w:r w:rsidRPr="00E560E1">
              <w:rPr>
                <w:rFonts w:ascii="Arial Narrow" w:hAnsi="Arial Narrow" w:cs="Arial"/>
                <w:sz w:val="18"/>
                <w:szCs w:val="18"/>
              </w:rPr>
              <w:t> </w:t>
            </w:r>
          </w:p>
        </w:tc>
        <w:tc>
          <w:tcPr>
            <w:tcW w:w="12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E560E1" w:rsidP="00782712">
            <w:pPr>
              <w:jc w:val="center"/>
              <w:rPr>
                <w:rFonts w:ascii="Arial Narrow" w:hAnsi="Arial Narrow" w:cs="Arial"/>
                <w:b/>
                <w:bCs/>
                <w:sz w:val="18"/>
                <w:szCs w:val="18"/>
              </w:rPr>
            </w:pPr>
            <w:r>
              <w:rPr>
                <w:rFonts w:ascii="Arial Narrow" w:hAnsi="Arial Narrow" w:cs="Arial"/>
                <w:b/>
                <w:bCs/>
                <w:sz w:val="18"/>
                <w:szCs w:val="18"/>
              </w:rPr>
              <w:t>2008</w:t>
            </w: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2009</w:t>
            </w: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2010</w:t>
            </w: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782712" w:rsidRPr="00E560E1" w:rsidP="00782712">
            <w:pPr>
              <w:jc w:val="center"/>
              <w:rPr>
                <w:rFonts w:ascii="Arial Narrow" w:hAnsi="Arial Narrow" w:cs="Arial"/>
                <w:b/>
                <w:bCs/>
                <w:sz w:val="18"/>
                <w:szCs w:val="18"/>
              </w:rPr>
            </w:pPr>
            <w:r w:rsidRPr="00E560E1">
              <w:rPr>
                <w:rFonts w:ascii="Arial Narrow" w:hAnsi="Arial Narrow" w:cs="Arial"/>
                <w:b/>
                <w:bCs/>
                <w:sz w:val="18"/>
                <w:szCs w:val="18"/>
              </w:rPr>
              <w:t>2011</w:t>
            </w:r>
          </w:p>
        </w:tc>
      </w:tr>
      <w:tr>
        <w:tblPrEx>
          <w:tblW w:w="9072" w:type="dxa"/>
          <w:jc w:val="center"/>
          <w:tblCellMar>
            <w:left w:w="70" w:type="dxa"/>
            <w:right w:w="70" w:type="dxa"/>
          </w:tblCellMar>
        </w:tblPrEx>
        <w:trPr>
          <w:trHeight w:val="285"/>
          <w:jc w:val="center"/>
        </w:trPr>
        <w:tc>
          <w:tcPr>
            <w:tcW w:w="411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AE4ACC" w:rsidP="00694E16">
            <w:pPr>
              <w:rPr>
                <w:rFonts w:ascii="Arial Narrow" w:hAnsi="Arial Narrow" w:cs="Arial"/>
                <w:bCs/>
                <w:sz w:val="18"/>
                <w:szCs w:val="18"/>
              </w:rPr>
            </w:pPr>
            <w:r>
              <w:rPr>
                <w:rFonts w:ascii="Arial Narrow" w:hAnsi="Arial Narrow" w:cs="Arial"/>
                <w:bCs/>
                <w:sz w:val="18"/>
                <w:szCs w:val="18"/>
              </w:rPr>
              <w:t>Daňové príjmy STV</w:t>
            </w:r>
          </w:p>
        </w:tc>
        <w:tc>
          <w:tcPr>
            <w:tcW w:w="12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57 027</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67 227</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69 652</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70 493</w:t>
            </w:r>
          </w:p>
        </w:tc>
      </w:tr>
      <w:tr>
        <w:tblPrEx>
          <w:tblW w:w="9072" w:type="dxa"/>
          <w:jc w:val="center"/>
          <w:tblCellMar>
            <w:left w:w="70" w:type="dxa"/>
            <w:right w:w="70" w:type="dxa"/>
          </w:tblCellMar>
        </w:tblPrEx>
        <w:trPr>
          <w:trHeight w:val="285"/>
          <w:jc w:val="center"/>
        </w:trPr>
        <w:tc>
          <w:tcPr>
            <w:tcW w:w="411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694E16">
            <w:pPr>
              <w:rPr>
                <w:rFonts w:ascii="Arial Narrow" w:hAnsi="Arial Narrow" w:cs="Arial"/>
                <w:bCs/>
                <w:sz w:val="18"/>
                <w:szCs w:val="18"/>
              </w:rPr>
            </w:pPr>
            <w:r>
              <w:rPr>
                <w:rFonts w:ascii="Arial Narrow" w:hAnsi="Arial Narrow" w:cs="Arial"/>
                <w:bCs/>
                <w:sz w:val="18"/>
                <w:szCs w:val="18"/>
              </w:rPr>
              <w:t>Daňové príjmy SRo</w:t>
            </w:r>
          </w:p>
        </w:tc>
        <w:tc>
          <w:tcPr>
            <w:tcW w:w="12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22 008</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23 667</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25 327</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25 327</w:t>
            </w:r>
          </w:p>
        </w:tc>
      </w:tr>
      <w:tr>
        <w:tblPrEx>
          <w:tblW w:w="9072" w:type="dxa"/>
          <w:jc w:val="center"/>
          <w:tblCellMar>
            <w:left w:w="70" w:type="dxa"/>
            <w:right w:w="70" w:type="dxa"/>
          </w:tblCellMar>
        </w:tblPrEx>
        <w:trPr>
          <w:trHeight w:val="285"/>
          <w:jc w:val="center"/>
        </w:trPr>
        <w:tc>
          <w:tcPr>
            <w:tcW w:w="411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782712">
            <w:pPr>
              <w:rPr>
                <w:rFonts w:ascii="Arial Narrow" w:hAnsi="Arial Narrow" w:cs="Arial"/>
                <w:bCs/>
                <w:sz w:val="18"/>
                <w:szCs w:val="18"/>
              </w:rPr>
            </w:pPr>
            <w:r>
              <w:rPr>
                <w:rFonts w:ascii="Arial Narrow" w:hAnsi="Arial Narrow" w:cs="Arial"/>
                <w:bCs/>
                <w:sz w:val="18"/>
                <w:szCs w:val="18"/>
              </w:rPr>
              <w:t>Úhrada za služby verejno</w:t>
            </w:r>
            <w:r>
              <w:rPr>
                <w:rFonts w:ascii="Arial Narrow" w:hAnsi="Arial Narrow" w:cs="Arial"/>
                <w:bCs/>
                <w:sz w:val="18"/>
                <w:szCs w:val="18"/>
              </w:rPr>
              <w:t>sti poskytované STV a SRo</w:t>
            </w:r>
          </w:p>
        </w:tc>
        <w:tc>
          <w:tcPr>
            <w:tcW w:w="12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Arial"/>
                <w:bCs/>
                <w:sz w:val="18"/>
                <w:szCs w:val="18"/>
              </w:rPr>
            </w:pPr>
            <w:r>
              <w:rPr>
                <w:rFonts w:ascii="Arial Narrow" w:hAnsi="Arial Narrow" w:cs="Arial"/>
                <w:bCs/>
                <w:sz w:val="18"/>
                <w:szCs w:val="18"/>
              </w:rPr>
              <w:t>79 035</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90 894</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94 979</w:t>
            </w:r>
          </w:p>
        </w:tc>
        <w:tc>
          <w:tcPr>
            <w:tcW w:w="12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RPr="00B777DF" w:rsidP="00694E16">
            <w:pPr>
              <w:jc w:val="right"/>
              <w:rPr>
                <w:rFonts w:ascii="Arial Narrow" w:hAnsi="Arial Narrow" w:cs="Arial"/>
                <w:bCs/>
                <w:sz w:val="18"/>
                <w:szCs w:val="18"/>
              </w:rPr>
            </w:pPr>
            <w:r w:rsidRPr="00B777DF">
              <w:rPr>
                <w:rFonts w:ascii="Arial Narrow" w:hAnsi="Arial Narrow" w:cs="Arial"/>
                <w:bCs/>
                <w:sz w:val="18"/>
                <w:szCs w:val="18"/>
              </w:rPr>
              <w:t>95 820</w:t>
            </w:r>
          </w:p>
        </w:tc>
      </w:tr>
    </w:tbl>
    <w:p w:rsidR="00782712" w:rsidRPr="00B05BD9" w:rsidP="00782712">
      <w:pPr>
        <w:jc w:val="both"/>
        <w:rPr>
          <w:rFonts w:ascii="Arial Narrow" w:hAnsi="Arial Narrow" w:cs="Times New Roman"/>
          <w:sz w:val="22"/>
          <w:szCs w:val="22"/>
        </w:rPr>
      </w:pPr>
    </w:p>
    <w:p w:rsidR="00782712" w:rsidRPr="00DF45EC" w:rsidP="00782712">
      <w:pPr>
        <w:ind w:firstLine="708"/>
        <w:jc w:val="both"/>
        <w:rPr>
          <w:rFonts w:cs="Times New Roman"/>
        </w:rPr>
      </w:pPr>
      <w:r w:rsidRPr="00DF45EC">
        <w:rPr>
          <w:rFonts w:ascii="Arial Narrow" w:hAnsi="Arial Narrow" w:cs="Times New Roman"/>
          <w:sz w:val="22"/>
          <w:szCs w:val="22"/>
        </w:rPr>
        <w:t>Aktuálna prognóza na roky 200</w:t>
      </w:r>
      <w:r>
        <w:rPr>
          <w:rFonts w:ascii="Arial Narrow" w:hAnsi="Arial Narrow" w:cs="Times New Roman"/>
          <w:sz w:val="22"/>
          <w:szCs w:val="22"/>
        </w:rPr>
        <w:t>9</w:t>
      </w:r>
      <w:r w:rsidR="00F820DB">
        <w:rPr>
          <w:rFonts w:ascii="Arial Narrow" w:hAnsi="Arial Narrow" w:cs="Times New Roman"/>
          <w:sz w:val="22"/>
          <w:szCs w:val="22"/>
        </w:rPr>
        <w:t xml:space="preserve"> až </w:t>
      </w:r>
      <w:r w:rsidRPr="00DF45EC">
        <w:rPr>
          <w:rFonts w:ascii="Arial Narrow" w:hAnsi="Arial Narrow" w:cs="Times New Roman"/>
          <w:sz w:val="22"/>
          <w:szCs w:val="22"/>
        </w:rPr>
        <w:t>20</w:t>
      </w:r>
      <w:r>
        <w:rPr>
          <w:rFonts w:ascii="Arial Narrow" w:hAnsi="Arial Narrow" w:cs="Times New Roman"/>
          <w:sz w:val="22"/>
          <w:szCs w:val="22"/>
        </w:rPr>
        <w:t>11</w:t>
      </w:r>
      <w:r w:rsidRPr="00DF45EC">
        <w:rPr>
          <w:rFonts w:ascii="Arial Narrow" w:hAnsi="Arial Narrow" w:cs="Times New Roman"/>
          <w:sz w:val="22"/>
          <w:szCs w:val="22"/>
        </w:rPr>
        <w:t xml:space="preserve"> zohľadňuje okrem makroekonomického rámca a platnej legislatívy aj </w:t>
      </w:r>
      <w:r>
        <w:rPr>
          <w:rFonts w:ascii="Arial Narrow" w:hAnsi="Arial Narrow" w:cs="Times New Roman"/>
          <w:sz w:val="22"/>
          <w:szCs w:val="22"/>
        </w:rPr>
        <w:t xml:space="preserve">skutočné výnosy </w:t>
      </w:r>
      <w:r w:rsidRPr="00DF45EC">
        <w:rPr>
          <w:rFonts w:ascii="Arial Narrow" w:hAnsi="Arial Narrow" w:cs="Times New Roman"/>
          <w:sz w:val="22"/>
          <w:szCs w:val="22"/>
        </w:rPr>
        <w:t>daní za rok 200</w:t>
      </w:r>
      <w:r>
        <w:rPr>
          <w:rFonts w:ascii="Arial Narrow" w:hAnsi="Arial Narrow" w:cs="Times New Roman"/>
          <w:sz w:val="22"/>
          <w:szCs w:val="22"/>
        </w:rPr>
        <w:t>7</w:t>
      </w:r>
      <w:r w:rsidRPr="00DF45EC">
        <w:rPr>
          <w:rFonts w:ascii="Arial Narrow" w:hAnsi="Arial Narrow" w:cs="Times New Roman"/>
          <w:sz w:val="22"/>
          <w:szCs w:val="22"/>
        </w:rPr>
        <w:t xml:space="preserve"> </w:t>
      </w:r>
      <w:r>
        <w:rPr>
          <w:rFonts w:ascii="Arial Narrow" w:hAnsi="Arial Narrow" w:cs="Times New Roman"/>
          <w:sz w:val="22"/>
          <w:szCs w:val="22"/>
        </w:rPr>
        <w:t>(</w:t>
      </w:r>
      <w:r w:rsidR="00F820DB">
        <w:rPr>
          <w:rFonts w:ascii="Arial Narrow" w:hAnsi="Arial Narrow" w:cs="Times New Roman"/>
          <w:sz w:val="22"/>
          <w:szCs w:val="22"/>
        </w:rPr>
        <w:t>pri</w:t>
      </w:r>
      <w:r>
        <w:rPr>
          <w:rFonts w:ascii="Arial Narrow" w:hAnsi="Arial Narrow" w:cs="Times New Roman"/>
          <w:sz w:val="22"/>
          <w:szCs w:val="22"/>
        </w:rPr>
        <w:t xml:space="preserve"> DPFO z podnikania a DPPO odhady) </w:t>
      </w:r>
      <w:r w:rsidRPr="00DF45EC">
        <w:rPr>
          <w:rFonts w:ascii="Arial Narrow" w:hAnsi="Arial Narrow" w:cs="Times New Roman"/>
          <w:sz w:val="22"/>
          <w:szCs w:val="22"/>
        </w:rPr>
        <w:t>podľa metodiky ESA</w:t>
      </w:r>
      <w:r w:rsidR="00F820DB">
        <w:rPr>
          <w:rFonts w:ascii="Arial Narrow" w:hAnsi="Arial Narrow" w:cs="Times New Roman"/>
          <w:sz w:val="22"/>
          <w:szCs w:val="22"/>
        </w:rPr>
        <w:t xml:space="preserve"> </w:t>
      </w:r>
      <w:r w:rsidRPr="00DF45EC">
        <w:rPr>
          <w:rFonts w:ascii="Arial Narrow" w:hAnsi="Arial Narrow" w:cs="Times New Roman"/>
          <w:sz w:val="22"/>
          <w:szCs w:val="22"/>
        </w:rPr>
        <w:t>95 a </w:t>
      </w:r>
      <w:r w:rsidRPr="00DF45EC">
        <w:rPr>
          <w:rFonts w:ascii="Arial Narrow" w:hAnsi="Arial Narrow" w:cs="Times New Roman"/>
          <w:sz w:val="22"/>
          <w:szCs w:val="22"/>
        </w:rPr>
        <w:t>aktuálne hotovostné plnenie</w:t>
      </w:r>
      <w:r>
        <w:rPr>
          <w:rFonts w:ascii="Arial Narrow" w:hAnsi="Arial Narrow" w:cs="Times New Roman"/>
          <w:sz w:val="22"/>
          <w:szCs w:val="22"/>
        </w:rPr>
        <w:t xml:space="preserve"> daní</w:t>
      </w:r>
      <w:r w:rsidRPr="00DF45EC">
        <w:rPr>
          <w:rFonts w:ascii="Arial Narrow" w:hAnsi="Arial Narrow" w:cs="Times New Roman"/>
          <w:sz w:val="22"/>
          <w:szCs w:val="22"/>
        </w:rPr>
        <w:t xml:space="preserve"> za </w:t>
      </w:r>
      <w:r>
        <w:rPr>
          <w:rFonts w:ascii="Arial Narrow" w:hAnsi="Arial Narrow" w:cs="Times New Roman"/>
          <w:sz w:val="22"/>
          <w:szCs w:val="22"/>
        </w:rPr>
        <w:t xml:space="preserve">január až august </w:t>
      </w:r>
      <w:r w:rsidRPr="00DF45EC">
        <w:rPr>
          <w:rFonts w:ascii="Arial Narrow" w:hAnsi="Arial Narrow" w:cs="Times New Roman"/>
          <w:sz w:val="22"/>
          <w:szCs w:val="22"/>
        </w:rPr>
        <w:t>200</w:t>
      </w:r>
      <w:r>
        <w:rPr>
          <w:rFonts w:ascii="Arial Narrow" w:hAnsi="Arial Narrow" w:cs="Times New Roman"/>
          <w:sz w:val="22"/>
          <w:szCs w:val="22"/>
        </w:rPr>
        <w:t>8</w:t>
      </w:r>
      <w:r w:rsidRPr="00DF45EC">
        <w:rPr>
          <w:rFonts w:ascii="Arial Narrow" w:hAnsi="Arial Narrow" w:cs="Times New Roman"/>
          <w:sz w:val="22"/>
          <w:szCs w:val="22"/>
        </w:rPr>
        <w:t>.</w:t>
      </w:r>
    </w:p>
    <w:p w:rsidR="00782712" w:rsidRPr="00DF45EC" w:rsidP="00782712">
      <w:pPr>
        <w:jc w:val="both"/>
        <w:rPr>
          <w:rFonts w:ascii="Arial Narrow" w:hAnsi="Arial Narrow" w:cs="Times New Roman"/>
          <w:sz w:val="22"/>
          <w:szCs w:val="22"/>
          <w:highlight w:val="yellow"/>
        </w:rPr>
      </w:pPr>
    </w:p>
    <w:p w:rsidR="00782712" w:rsidRPr="00DF45EC" w:rsidP="00CC0A61">
      <w:pPr>
        <w:jc w:val="both"/>
        <w:rPr>
          <w:rFonts w:ascii="Arial Narrow" w:hAnsi="Arial Narrow" w:cs="Times New Roman"/>
          <w:b/>
        </w:rPr>
      </w:pPr>
      <w:r w:rsidRPr="00DF45EC">
        <w:rPr>
          <w:rFonts w:ascii="Arial Narrow" w:hAnsi="Arial Narrow" w:cs="Times New Roman"/>
          <w:b/>
        </w:rPr>
        <w:t>Odhad jednotlivých daní</w:t>
      </w:r>
    </w:p>
    <w:p w:rsidR="00782712" w:rsidRPr="00DF45EC" w:rsidP="00782712">
      <w:pPr>
        <w:jc w:val="both"/>
        <w:rPr>
          <w:rFonts w:cs="Times New Roman"/>
          <w:color w:val="FF0000"/>
        </w:rPr>
      </w:pPr>
    </w:p>
    <w:p w:rsidR="00782712" w:rsidRPr="00097788" w:rsidP="00782712">
      <w:pPr>
        <w:ind w:firstLine="708"/>
        <w:jc w:val="both"/>
        <w:rPr>
          <w:rFonts w:ascii="Arial Narrow" w:hAnsi="Arial Narrow" w:cs="Times New Roman"/>
          <w:sz w:val="22"/>
          <w:szCs w:val="22"/>
        </w:rPr>
      </w:pPr>
      <w:r w:rsidRPr="00097788">
        <w:rPr>
          <w:rFonts w:ascii="Arial Narrow" w:hAnsi="Arial Narrow" w:cs="Times New Roman"/>
          <w:sz w:val="22"/>
          <w:szCs w:val="22"/>
        </w:rPr>
        <w:t xml:space="preserve">Výnos </w:t>
      </w:r>
      <w:r w:rsidRPr="00097788">
        <w:rPr>
          <w:rFonts w:ascii="Arial Narrow" w:hAnsi="Arial Narrow" w:cs="Times New Roman"/>
          <w:b/>
          <w:sz w:val="22"/>
          <w:szCs w:val="22"/>
        </w:rPr>
        <w:t>dane z príjm</w:t>
      </w:r>
      <w:r w:rsidR="00F820DB">
        <w:rPr>
          <w:rFonts w:ascii="Arial Narrow" w:hAnsi="Arial Narrow" w:cs="Times New Roman"/>
          <w:b/>
          <w:sz w:val="22"/>
          <w:szCs w:val="22"/>
        </w:rPr>
        <w:t>ov</w:t>
      </w:r>
      <w:r w:rsidRPr="00097788">
        <w:rPr>
          <w:rFonts w:ascii="Arial Narrow" w:hAnsi="Arial Narrow" w:cs="Times New Roman"/>
          <w:b/>
          <w:sz w:val="22"/>
          <w:szCs w:val="22"/>
        </w:rPr>
        <w:t xml:space="preserve"> fyzických osôb zo závislej činnosti</w:t>
      </w:r>
      <w:r w:rsidRPr="00097788">
        <w:rPr>
          <w:rFonts w:ascii="Arial Narrow" w:hAnsi="Arial Narrow" w:cs="Times New Roman"/>
          <w:sz w:val="22"/>
          <w:szCs w:val="22"/>
        </w:rPr>
        <w:t xml:space="preserve"> je ovplyvnený vývojom zamestnanosti a rastom miezd. Nezdaniteľná časť základu dane</w:t>
      </w:r>
      <w:r>
        <w:rPr>
          <w:rFonts w:ascii="Arial Narrow" w:hAnsi="Arial Narrow" w:cs="Times New Roman"/>
          <w:sz w:val="22"/>
          <w:szCs w:val="22"/>
        </w:rPr>
        <w:t xml:space="preserve"> (NČZD)</w:t>
      </w:r>
      <w:r w:rsidRPr="00097788">
        <w:rPr>
          <w:rFonts w:ascii="Arial Narrow" w:hAnsi="Arial Narrow" w:cs="Times New Roman"/>
          <w:sz w:val="22"/>
          <w:szCs w:val="22"/>
        </w:rPr>
        <w:t xml:space="preserve"> na daňovníka a nepracujúcu manželku je definovaná ako 19,2-násobok životného minima platného k 1. </w:t>
      </w:r>
      <w:r w:rsidR="00F820DB">
        <w:rPr>
          <w:rFonts w:ascii="Arial Narrow" w:hAnsi="Arial Narrow" w:cs="Times New Roman"/>
          <w:sz w:val="22"/>
          <w:szCs w:val="22"/>
        </w:rPr>
        <w:t>1.</w:t>
      </w:r>
      <w:r w:rsidRPr="00097788">
        <w:rPr>
          <w:rFonts w:ascii="Arial Narrow" w:hAnsi="Arial Narrow" w:cs="Times New Roman"/>
          <w:sz w:val="22"/>
          <w:szCs w:val="22"/>
        </w:rPr>
        <w:t xml:space="preserve"> príslušného roka. Vzhľadom na životné minimum platné od 1.</w:t>
      </w:r>
      <w:r w:rsidR="00F820DB">
        <w:rPr>
          <w:rFonts w:ascii="Arial Narrow" w:hAnsi="Arial Narrow" w:cs="Times New Roman"/>
          <w:sz w:val="22"/>
          <w:szCs w:val="22"/>
        </w:rPr>
        <w:t xml:space="preserve"> </w:t>
      </w:r>
      <w:r w:rsidRPr="00097788">
        <w:rPr>
          <w:rFonts w:ascii="Arial Narrow" w:hAnsi="Arial Narrow" w:cs="Times New Roman"/>
          <w:sz w:val="22"/>
          <w:szCs w:val="22"/>
        </w:rPr>
        <w:t>7</w:t>
      </w:r>
      <w:r w:rsidR="00F820DB">
        <w:rPr>
          <w:rFonts w:ascii="Arial Narrow" w:hAnsi="Arial Narrow" w:cs="Times New Roman"/>
          <w:sz w:val="22"/>
          <w:szCs w:val="22"/>
        </w:rPr>
        <w:t xml:space="preserve">. </w:t>
      </w:r>
      <w:r w:rsidRPr="00097788">
        <w:rPr>
          <w:rFonts w:ascii="Arial Narrow" w:hAnsi="Arial Narrow" w:cs="Times New Roman"/>
          <w:sz w:val="22"/>
          <w:szCs w:val="22"/>
        </w:rPr>
        <w:t xml:space="preserve">2008 vo výške </w:t>
      </w:r>
      <w:r>
        <w:rPr>
          <w:rFonts w:ascii="Arial Narrow" w:hAnsi="Arial Narrow" w:cs="Times New Roman"/>
          <w:sz w:val="22"/>
          <w:szCs w:val="22"/>
        </w:rPr>
        <w:t>178,92 eur</w:t>
      </w:r>
      <w:r w:rsidRPr="00097788">
        <w:rPr>
          <w:rFonts w:ascii="Arial Narrow" w:hAnsi="Arial Narrow" w:cs="Times New Roman"/>
          <w:sz w:val="22"/>
          <w:szCs w:val="22"/>
        </w:rPr>
        <w:t xml:space="preserve"> bude </w:t>
      </w:r>
      <w:r>
        <w:rPr>
          <w:rFonts w:ascii="Arial Narrow" w:hAnsi="Arial Narrow" w:cs="Times New Roman"/>
          <w:sz w:val="22"/>
          <w:szCs w:val="22"/>
        </w:rPr>
        <w:t xml:space="preserve">NČZD </w:t>
      </w:r>
      <w:r w:rsidRPr="00097788">
        <w:rPr>
          <w:rFonts w:ascii="Arial Narrow" w:hAnsi="Arial Narrow" w:cs="Times New Roman"/>
          <w:sz w:val="22"/>
          <w:szCs w:val="22"/>
        </w:rPr>
        <w:t xml:space="preserve">na rok 2009 v sume </w:t>
      </w:r>
      <w:r>
        <w:rPr>
          <w:rFonts w:ascii="Arial Narrow" w:hAnsi="Arial Narrow" w:cs="Times New Roman"/>
          <w:sz w:val="22"/>
          <w:szCs w:val="22"/>
        </w:rPr>
        <w:t>3 435,26 eur</w:t>
      </w:r>
      <w:r w:rsidRPr="00097788">
        <w:rPr>
          <w:rFonts w:ascii="Arial Narrow" w:hAnsi="Arial Narrow" w:cs="Times New Roman"/>
          <w:sz w:val="22"/>
          <w:szCs w:val="22"/>
        </w:rPr>
        <w:t xml:space="preserve">. Od roku 2007 sa začala uplatňovať klesajúca </w:t>
      </w:r>
      <w:r>
        <w:rPr>
          <w:rFonts w:ascii="Arial Narrow" w:hAnsi="Arial Narrow" w:cs="Times New Roman"/>
          <w:sz w:val="22"/>
          <w:szCs w:val="22"/>
        </w:rPr>
        <w:t>NČZD</w:t>
      </w:r>
      <w:r w:rsidRPr="00097788">
        <w:rPr>
          <w:rFonts w:ascii="Arial Narrow" w:hAnsi="Arial Narrow" w:cs="Times New Roman"/>
          <w:sz w:val="22"/>
          <w:szCs w:val="22"/>
        </w:rPr>
        <w:t xml:space="preserve">, ktorá podľa odhadu začne v roku 2009 v priemere klesať pri hrubej mesačnej mzde približne </w:t>
      </w:r>
      <w:r>
        <w:rPr>
          <w:rFonts w:ascii="Arial Narrow" w:hAnsi="Arial Narrow" w:cs="Times New Roman"/>
          <w:sz w:val="22"/>
          <w:szCs w:val="22"/>
        </w:rPr>
        <w:t>1 711 eur</w:t>
      </w:r>
      <w:r w:rsidRPr="00097788">
        <w:rPr>
          <w:rFonts w:ascii="Arial Narrow" w:hAnsi="Arial Narrow" w:cs="Times New Roman"/>
          <w:sz w:val="22"/>
          <w:szCs w:val="22"/>
        </w:rPr>
        <w:t xml:space="preserve">, od mzdy približne vo výške </w:t>
      </w:r>
      <w:r>
        <w:rPr>
          <w:rFonts w:ascii="Arial Narrow" w:hAnsi="Arial Narrow" w:cs="Times New Roman"/>
          <w:sz w:val="22"/>
          <w:szCs w:val="22"/>
        </w:rPr>
        <w:t>2 955 eur</w:t>
      </w:r>
      <w:r w:rsidRPr="00097788">
        <w:rPr>
          <w:rFonts w:ascii="Arial Narrow" w:hAnsi="Arial Narrow" w:cs="Times New Roman"/>
          <w:sz w:val="22"/>
          <w:szCs w:val="22"/>
        </w:rPr>
        <w:t xml:space="preserve"> bude </w:t>
      </w:r>
      <w:r>
        <w:rPr>
          <w:rFonts w:ascii="Arial Narrow" w:hAnsi="Arial Narrow" w:cs="Times New Roman"/>
          <w:sz w:val="22"/>
          <w:szCs w:val="22"/>
        </w:rPr>
        <w:t>NČZD</w:t>
      </w:r>
      <w:r w:rsidRPr="00097788">
        <w:rPr>
          <w:rFonts w:ascii="Arial Narrow" w:hAnsi="Arial Narrow" w:cs="Times New Roman"/>
          <w:sz w:val="22"/>
          <w:szCs w:val="22"/>
        </w:rPr>
        <w:t xml:space="preserve"> nulová. Rovnako sa od 1.</w:t>
      </w:r>
      <w:r w:rsidR="00F820DB">
        <w:rPr>
          <w:rFonts w:ascii="Arial Narrow" w:hAnsi="Arial Narrow" w:cs="Times New Roman"/>
          <w:sz w:val="22"/>
          <w:szCs w:val="22"/>
        </w:rPr>
        <w:t xml:space="preserve"> </w:t>
      </w:r>
      <w:r w:rsidRPr="00097788">
        <w:rPr>
          <w:rFonts w:ascii="Arial Narrow" w:hAnsi="Arial Narrow" w:cs="Times New Roman"/>
          <w:sz w:val="22"/>
          <w:szCs w:val="22"/>
        </w:rPr>
        <w:t>1</w:t>
      </w:r>
      <w:r w:rsidR="00F820DB">
        <w:rPr>
          <w:rFonts w:ascii="Arial Narrow" w:hAnsi="Arial Narrow" w:cs="Times New Roman"/>
          <w:sz w:val="22"/>
          <w:szCs w:val="22"/>
        </w:rPr>
        <w:t xml:space="preserve">. </w:t>
      </w:r>
      <w:r w:rsidRPr="00097788">
        <w:rPr>
          <w:rFonts w:ascii="Arial Narrow" w:hAnsi="Arial Narrow" w:cs="Times New Roman"/>
          <w:sz w:val="22"/>
          <w:szCs w:val="22"/>
        </w:rPr>
        <w:t xml:space="preserve">2007 upravili aj podmienky pre uplatnenie </w:t>
      </w:r>
      <w:r>
        <w:rPr>
          <w:rFonts w:ascii="Arial Narrow" w:hAnsi="Arial Narrow" w:cs="Times New Roman"/>
          <w:sz w:val="22"/>
          <w:szCs w:val="22"/>
        </w:rPr>
        <w:t>NČZD</w:t>
      </w:r>
      <w:r w:rsidRPr="00097788">
        <w:rPr>
          <w:rFonts w:ascii="Arial Narrow" w:hAnsi="Arial Narrow" w:cs="Times New Roman"/>
          <w:sz w:val="22"/>
          <w:szCs w:val="22"/>
        </w:rPr>
        <w:t xml:space="preserve"> na manželku (manžela), kde sa vý</w:t>
      </w:r>
      <w:r w:rsidRPr="00097788">
        <w:rPr>
          <w:rFonts w:ascii="Arial Narrow" w:hAnsi="Arial Narrow" w:cs="Times New Roman"/>
          <w:sz w:val="22"/>
          <w:szCs w:val="22"/>
        </w:rPr>
        <w:t xml:space="preserve">ška </w:t>
      </w:r>
      <w:r>
        <w:rPr>
          <w:rFonts w:ascii="Arial Narrow" w:hAnsi="Arial Narrow" w:cs="Times New Roman"/>
          <w:sz w:val="22"/>
          <w:szCs w:val="22"/>
        </w:rPr>
        <w:t>NČZD</w:t>
      </w:r>
      <w:r w:rsidRPr="00097788">
        <w:rPr>
          <w:rFonts w:ascii="Arial Narrow" w:hAnsi="Arial Narrow" w:cs="Times New Roman"/>
          <w:sz w:val="22"/>
          <w:szCs w:val="22"/>
        </w:rPr>
        <w:t xml:space="preserve"> posudzuje v závislosti od základu dane daňovníka a dosiahnutého príjmu manželky očisteného o zaplatené príspevky na zdravotné a sociálne zabezpečenie. </w:t>
      </w:r>
      <w:r>
        <w:rPr>
          <w:rFonts w:ascii="Arial Narrow" w:hAnsi="Arial Narrow" w:cs="Times New Roman"/>
          <w:sz w:val="22"/>
          <w:szCs w:val="22"/>
        </w:rPr>
        <w:t>NČZD</w:t>
      </w:r>
      <w:r w:rsidRPr="00097788">
        <w:rPr>
          <w:rFonts w:ascii="Arial Narrow" w:hAnsi="Arial Narrow" w:cs="Times New Roman"/>
          <w:sz w:val="22"/>
          <w:szCs w:val="22"/>
        </w:rPr>
        <w:t xml:space="preserve"> na manželku začne klesať v prípade, že základ dane daňovníka prekročí 176,8–násobok životné</w:t>
      </w:r>
      <w:r w:rsidRPr="00097788">
        <w:rPr>
          <w:rFonts w:ascii="Arial Narrow" w:hAnsi="Arial Narrow" w:cs="Times New Roman"/>
          <w:sz w:val="22"/>
          <w:szCs w:val="22"/>
        </w:rPr>
        <w:t xml:space="preserve">ho minima platného k 1. </w:t>
      </w:r>
      <w:r w:rsidR="00F820DB">
        <w:rPr>
          <w:rFonts w:ascii="Arial Narrow" w:hAnsi="Arial Narrow" w:cs="Times New Roman"/>
          <w:sz w:val="22"/>
          <w:szCs w:val="22"/>
        </w:rPr>
        <w:t>1.</w:t>
      </w:r>
      <w:r w:rsidRPr="00097788">
        <w:rPr>
          <w:rFonts w:ascii="Arial Narrow" w:hAnsi="Arial Narrow" w:cs="Times New Roman"/>
          <w:sz w:val="22"/>
          <w:szCs w:val="22"/>
        </w:rPr>
        <w:t xml:space="preserve"> príslušného roka. Pre účely odhadov sa  životné minimum od roku 2009 indexuje </w:t>
      </w:r>
      <w:r w:rsidRPr="00D01FA3">
        <w:rPr>
          <w:rFonts w:ascii="Arial Narrow" w:hAnsi="Arial Narrow" w:cs="Times New Roman"/>
          <w:color w:val="000000"/>
          <w:sz w:val="22"/>
          <w:szCs w:val="22"/>
        </w:rPr>
        <w:t xml:space="preserve">rastom spotrebiteľských </w:t>
      </w:r>
      <w:r w:rsidRPr="00B777DF">
        <w:rPr>
          <w:rFonts w:ascii="Arial Narrow" w:hAnsi="Arial Narrow" w:cs="Times New Roman"/>
          <w:color w:val="000000"/>
          <w:sz w:val="22"/>
          <w:szCs w:val="22"/>
        </w:rPr>
        <w:t xml:space="preserve">cien pre nízkopríjmové domácnosti. </w:t>
      </w:r>
      <w:r w:rsidRPr="00B777DF">
        <w:rPr>
          <w:rFonts w:ascii="Arial Narrow" w:hAnsi="Arial Narrow" w:cs="Times New Roman"/>
          <w:sz w:val="22"/>
          <w:szCs w:val="22"/>
        </w:rPr>
        <w:t>Počnúc</w:t>
      </w:r>
      <w:r w:rsidRPr="00097788">
        <w:rPr>
          <w:rFonts w:ascii="Arial Narrow" w:hAnsi="Arial Narrow" w:cs="Times New Roman"/>
          <w:sz w:val="22"/>
          <w:szCs w:val="22"/>
        </w:rPr>
        <w:t xml:space="preserve"> rokom 2007 sa daňový bonus na dieťa indexuje rastom životného minima podľa kalendárnych mesiacov. V roku 2009 sa predpokladá priemerná mesačná výška daňového bonusu na dieťa vo </w:t>
      </w:r>
      <w:r w:rsidRPr="00453D14">
        <w:rPr>
          <w:rFonts w:ascii="Arial Narrow" w:hAnsi="Arial Narrow" w:cs="Times New Roman"/>
          <w:sz w:val="22"/>
          <w:szCs w:val="22"/>
        </w:rPr>
        <w:t>výške 19,82 eur. Znamená</w:t>
      </w:r>
      <w:r w:rsidRPr="00097788">
        <w:rPr>
          <w:rFonts w:ascii="Arial Narrow" w:hAnsi="Arial Narrow" w:cs="Times New Roman"/>
          <w:sz w:val="22"/>
          <w:szCs w:val="22"/>
        </w:rPr>
        <w:t xml:space="preserve"> to, že na rozdiel od </w:t>
      </w:r>
      <w:r>
        <w:rPr>
          <w:rFonts w:ascii="Arial Narrow" w:hAnsi="Arial Narrow" w:cs="Times New Roman"/>
          <w:sz w:val="22"/>
          <w:szCs w:val="22"/>
        </w:rPr>
        <w:t>NČZD</w:t>
      </w:r>
      <w:r w:rsidRPr="00097788">
        <w:rPr>
          <w:rFonts w:ascii="Arial Narrow" w:hAnsi="Arial Narrow" w:cs="Times New Roman"/>
          <w:sz w:val="22"/>
          <w:szCs w:val="22"/>
        </w:rPr>
        <w:t xml:space="preserve"> na daňovníka, ktorá sa mení vždy k 1. </w:t>
      </w:r>
      <w:r w:rsidR="00F820DB">
        <w:rPr>
          <w:rFonts w:ascii="Arial Narrow" w:hAnsi="Arial Narrow" w:cs="Times New Roman"/>
          <w:sz w:val="22"/>
          <w:szCs w:val="22"/>
        </w:rPr>
        <w:t>1.</w:t>
      </w:r>
      <w:r w:rsidRPr="00097788">
        <w:rPr>
          <w:rFonts w:ascii="Arial Narrow" w:hAnsi="Arial Narrow" w:cs="Times New Roman"/>
          <w:sz w:val="22"/>
          <w:szCs w:val="22"/>
        </w:rPr>
        <w:t xml:space="preserve"> príslušného roka, výška daňového bonusu na dieťa sa mení vždy od </w:t>
      </w:r>
      <w:r w:rsidR="00F820DB">
        <w:rPr>
          <w:rFonts w:ascii="Arial Narrow" w:hAnsi="Arial Narrow" w:cs="Times New Roman"/>
          <w:sz w:val="22"/>
          <w:szCs w:val="22"/>
        </w:rPr>
        <w:t xml:space="preserve">   </w:t>
      </w:r>
      <w:r w:rsidRPr="00097788">
        <w:rPr>
          <w:rFonts w:ascii="Arial Narrow" w:hAnsi="Arial Narrow" w:cs="Times New Roman"/>
          <w:sz w:val="22"/>
          <w:szCs w:val="22"/>
        </w:rPr>
        <w:t xml:space="preserve">1. </w:t>
      </w:r>
      <w:r w:rsidR="00F820DB">
        <w:rPr>
          <w:rFonts w:ascii="Arial Narrow" w:hAnsi="Arial Narrow" w:cs="Times New Roman"/>
          <w:sz w:val="22"/>
          <w:szCs w:val="22"/>
        </w:rPr>
        <w:t>7</w:t>
      </w:r>
      <w:r w:rsidR="00F820DB">
        <w:rPr>
          <w:rFonts w:ascii="Arial Narrow" w:hAnsi="Arial Narrow" w:cs="Times New Roman"/>
          <w:sz w:val="22"/>
          <w:szCs w:val="22"/>
        </w:rPr>
        <w:t>.</w:t>
      </w:r>
      <w:r w:rsidRPr="00097788">
        <w:rPr>
          <w:rFonts w:ascii="Arial Narrow" w:hAnsi="Arial Narrow" w:cs="Times New Roman"/>
          <w:sz w:val="22"/>
          <w:szCs w:val="22"/>
        </w:rPr>
        <w:t xml:space="preserve"> príslušného roka.</w:t>
      </w:r>
    </w:p>
    <w:p w:rsidR="00782712" w:rsidRPr="00097788" w:rsidP="00782712">
      <w:pPr>
        <w:jc w:val="both"/>
        <w:rPr>
          <w:rFonts w:ascii="Arial Narrow" w:hAnsi="Arial Narrow" w:cs="Times New Roman"/>
          <w:color w:val="000000"/>
          <w:sz w:val="22"/>
          <w:szCs w:val="22"/>
        </w:rPr>
      </w:pPr>
    </w:p>
    <w:p w:rsidR="00782712" w:rsidRPr="00097788" w:rsidP="00782712">
      <w:pPr>
        <w:ind w:firstLine="708"/>
        <w:jc w:val="both"/>
        <w:rPr>
          <w:rFonts w:ascii="Arial Narrow" w:hAnsi="Arial Narrow" w:cs="Times New Roman"/>
          <w:sz w:val="22"/>
          <w:szCs w:val="22"/>
        </w:rPr>
      </w:pPr>
      <w:r w:rsidRPr="00097788">
        <w:rPr>
          <w:rFonts w:ascii="Arial Narrow" w:hAnsi="Arial Narrow" w:cs="Times New Roman"/>
          <w:sz w:val="22"/>
          <w:szCs w:val="22"/>
        </w:rPr>
        <w:t xml:space="preserve">Priaznivo sa vyvíjajúce makroekonomické prostredie, ako i podmienky na podnikanie by mali pozitívne ovplyvniť výnos </w:t>
      </w:r>
      <w:r w:rsidRPr="00097788">
        <w:rPr>
          <w:rFonts w:ascii="Arial Narrow" w:hAnsi="Arial Narrow" w:cs="Times New Roman"/>
          <w:b/>
          <w:sz w:val="22"/>
          <w:szCs w:val="22"/>
        </w:rPr>
        <w:t>dane z príjmov fyzických osôb z podnikania</w:t>
      </w:r>
      <w:r w:rsidRPr="00097788">
        <w:rPr>
          <w:rFonts w:ascii="Arial Narrow" w:hAnsi="Arial Narrow" w:cs="Times New Roman"/>
          <w:sz w:val="22"/>
          <w:szCs w:val="22"/>
        </w:rPr>
        <w:t>.</w:t>
      </w:r>
      <w:r>
        <w:rPr>
          <w:rFonts w:ascii="Arial Narrow" w:hAnsi="Arial Narrow" w:cs="Times New Roman"/>
          <w:sz w:val="22"/>
          <w:szCs w:val="22"/>
        </w:rPr>
        <w:t xml:space="preserve"> </w:t>
      </w:r>
      <w:r w:rsidRPr="00B777DF">
        <w:rPr>
          <w:rFonts w:ascii="Arial Narrow" w:hAnsi="Arial Narrow" w:cs="Times New Roman"/>
          <w:sz w:val="22"/>
          <w:szCs w:val="22"/>
        </w:rPr>
        <w:t xml:space="preserve">Na výnose dane sa negatívne prejavila zmena zákona č. 663/2007 </w:t>
      </w:r>
      <w:r w:rsidR="0023048C">
        <w:rPr>
          <w:rFonts w:ascii="Arial Narrow" w:hAnsi="Arial Narrow" w:cs="Times New Roman"/>
          <w:sz w:val="22"/>
          <w:szCs w:val="22"/>
        </w:rPr>
        <w:t xml:space="preserve">Z. z. </w:t>
      </w:r>
      <w:r w:rsidRPr="00B777DF">
        <w:rPr>
          <w:rFonts w:ascii="Arial Narrow" w:hAnsi="Arial Narrow" w:cs="Times New Roman"/>
          <w:sz w:val="22"/>
          <w:szCs w:val="22"/>
        </w:rPr>
        <w:t>o mini</w:t>
      </w:r>
      <w:r w:rsidRPr="00B777DF">
        <w:rPr>
          <w:rFonts w:ascii="Arial Narrow" w:hAnsi="Arial Narrow" w:cs="Times New Roman"/>
          <w:sz w:val="22"/>
          <w:szCs w:val="22"/>
        </w:rPr>
        <w:t>málnej mzde, ktorou sa upravil mechanizmus úpravy minimálnej mzdy</w:t>
      </w:r>
      <w:r>
        <w:rPr>
          <w:rFonts w:ascii="Arial Narrow" w:hAnsi="Arial Narrow" w:cs="Times New Roman"/>
          <w:sz w:val="22"/>
          <w:szCs w:val="22"/>
        </w:rPr>
        <w:t>, k</w:t>
      </w:r>
      <w:r w:rsidRPr="00B777DF">
        <w:rPr>
          <w:rFonts w:ascii="Arial Narrow" w:hAnsi="Arial Narrow" w:cs="Times New Roman"/>
          <w:sz w:val="22"/>
          <w:szCs w:val="22"/>
        </w:rPr>
        <w:t xml:space="preserve">eďže </w:t>
      </w:r>
      <w:r>
        <w:rPr>
          <w:rFonts w:ascii="Arial Narrow" w:hAnsi="Arial Narrow" w:cs="Times New Roman"/>
          <w:bCs/>
          <w:sz w:val="22"/>
          <w:szCs w:val="22"/>
        </w:rPr>
        <w:t>minimálna</w:t>
      </w:r>
      <w:r w:rsidRPr="00B777DF">
        <w:rPr>
          <w:rFonts w:ascii="Arial Narrow" w:hAnsi="Arial Narrow" w:cs="Times New Roman"/>
          <w:bCs/>
          <w:sz w:val="22"/>
          <w:szCs w:val="22"/>
        </w:rPr>
        <w:t xml:space="preserve"> mzda je vymeriavacím základom pre platenie odvodov 80</w:t>
      </w:r>
      <w:r w:rsidR="0023048C">
        <w:rPr>
          <w:rFonts w:ascii="Arial Narrow" w:hAnsi="Arial Narrow" w:cs="Times New Roman"/>
          <w:bCs/>
          <w:sz w:val="22"/>
          <w:szCs w:val="22"/>
        </w:rPr>
        <w:t xml:space="preserve"> </w:t>
      </w:r>
      <w:r w:rsidRPr="00B777DF">
        <w:rPr>
          <w:rFonts w:ascii="Arial Narrow" w:hAnsi="Arial Narrow" w:cs="Times New Roman"/>
          <w:bCs/>
          <w:sz w:val="22"/>
          <w:szCs w:val="22"/>
        </w:rPr>
        <w:t>% živnostníkov.</w:t>
      </w:r>
      <w:r w:rsidRPr="00B777DF">
        <w:rPr>
          <w:rFonts w:ascii="Arial Narrow" w:hAnsi="Arial Narrow" w:cs="Times New Roman"/>
          <w:sz w:val="22"/>
          <w:szCs w:val="22"/>
        </w:rPr>
        <w:t xml:space="preserve"> Prognóz</w:t>
      </w:r>
      <w:r>
        <w:rPr>
          <w:rFonts w:ascii="Arial Narrow" w:hAnsi="Arial Narrow" w:cs="Times New Roman"/>
          <w:sz w:val="22"/>
          <w:szCs w:val="22"/>
        </w:rPr>
        <w:t>a</w:t>
      </w:r>
      <w:r w:rsidRPr="00B777DF">
        <w:rPr>
          <w:rFonts w:ascii="Arial Narrow" w:hAnsi="Arial Narrow" w:cs="Times New Roman"/>
          <w:sz w:val="22"/>
          <w:szCs w:val="22"/>
        </w:rPr>
        <w:t xml:space="preserve"> </w:t>
      </w:r>
      <w:r>
        <w:rPr>
          <w:rFonts w:ascii="Arial Narrow" w:hAnsi="Arial Narrow" w:cs="Times New Roman"/>
          <w:sz w:val="22"/>
          <w:szCs w:val="22"/>
        </w:rPr>
        <w:t>v </w:t>
      </w:r>
      <w:r w:rsidRPr="00B777DF">
        <w:rPr>
          <w:rFonts w:ascii="Arial Narrow" w:hAnsi="Arial Narrow" w:cs="Times New Roman"/>
          <w:sz w:val="22"/>
          <w:szCs w:val="22"/>
        </w:rPr>
        <w:t>rozpočt</w:t>
      </w:r>
      <w:r>
        <w:rPr>
          <w:rFonts w:ascii="Arial Narrow" w:hAnsi="Arial Narrow" w:cs="Times New Roman"/>
          <w:sz w:val="22"/>
          <w:szCs w:val="22"/>
        </w:rPr>
        <w:t xml:space="preserve">e </w:t>
      </w:r>
      <w:r w:rsidR="0023048C">
        <w:rPr>
          <w:rFonts w:ascii="Arial Narrow" w:hAnsi="Arial Narrow" w:cs="Times New Roman"/>
          <w:sz w:val="22"/>
          <w:szCs w:val="22"/>
        </w:rPr>
        <w:t>verejnej správy</w:t>
      </w:r>
      <w:r w:rsidRPr="00B777DF">
        <w:rPr>
          <w:rFonts w:ascii="Arial Narrow" w:hAnsi="Arial Narrow" w:cs="Times New Roman"/>
          <w:sz w:val="22"/>
          <w:szCs w:val="22"/>
        </w:rPr>
        <w:t xml:space="preserve"> na roky 2008 </w:t>
      </w:r>
      <w:r w:rsidR="0023048C">
        <w:rPr>
          <w:rFonts w:ascii="Arial Narrow" w:hAnsi="Arial Narrow" w:cs="Times New Roman"/>
          <w:sz w:val="22"/>
          <w:szCs w:val="22"/>
        </w:rPr>
        <w:t>až</w:t>
      </w:r>
      <w:r w:rsidRPr="00B777DF">
        <w:rPr>
          <w:rFonts w:ascii="Arial Narrow" w:hAnsi="Arial Narrow" w:cs="Times New Roman"/>
          <w:sz w:val="22"/>
          <w:szCs w:val="22"/>
        </w:rPr>
        <w:t xml:space="preserve"> 2010 očakával</w:t>
      </w:r>
      <w:r>
        <w:rPr>
          <w:rFonts w:ascii="Arial Narrow" w:hAnsi="Arial Narrow" w:cs="Times New Roman"/>
          <w:sz w:val="22"/>
          <w:szCs w:val="22"/>
        </w:rPr>
        <w:t>a</w:t>
      </w:r>
      <w:r w:rsidRPr="00B777DF">
        <w:rPr>
          <w:rFonts w:ascii="Arial Narrow" w:hAnsi="Arial Narrow" w:cs="Times New Roman"/>
          <w:sz w:val="22"/>
          <w:szCs w:val="22"/>
        </w:rPr>
        <w:t xml:space="preserve"> rast mesačnej minimálnej mzdy v roku</w:t>
      </w:r>
      <w:r w:rsidRPr="00B777DF">
        <w:rPr>
          <w:rFonts w:ascii="Arial Narrow" w:hAnsi="Arial Narrow" w:cs="Times New Roman"/>
          <w:sz w:val="22"/>
          <w:szCs w:val="22"/>
        </w:rPr>
        <w:t xml:space="preserve"> 2009 na </w:t>
      </w:r>
      <w:r w:rsidRPr="00453D14">
        <w:rPr>
          <w:rFonts w:ascii="Arial Narrow" w:hAnsi="Arial Narrow" w:cs="Times New Roman"/>
          <w:sz w:val="22"/>
          <w:szCs w:val="22"/>
        </w:rPr>
        <w:t>úroveň 288,46 eur,</w:t>
      </w:r>
      <w:r w:rsidRPr="00B777DF">
        <w:rPr>
          <w:rFonts w:ascii="Arial Narrow" w:hAnsi="Arial Narrow" w:cs="Times New Roman"/>
          <w:sz w:val="22"/>
          <w:szCs w:val="22"/>
        </w:rPr>
        <w:t xml:space="preserve"> avšak </w:t>
      </w:r>
      <w:r>
        <w:rPr>
          <w:rFonts w:ascii="Arial Narrow" w:hAnsi="Arial Narrow" w:cs="Times New Roman"/>
          <w:sz w:val="22"/>
          <w:szCs w:val="22"/>
        </w:rPr>
        <w:t>n</w:t>
      </w:r>
      <w:r w:rsidRPr="00B777DF">
        <w:rPr>
          <w:rFonts w:ascii="Arial Narrow" w:hAnsi="Arial Narrow" w:cs="Times New Roman"/>
          <w:sz w:val="22"/>
          <w:szCs w:val="22"/>
        </w:rPr>
        <w:t xml:space="preserve">ariadenie vlády navrhuje </w:t>
      </w:r>
      <w:r>
        <w:rPr>
          <w:rFonts w:ascii="Arial Narrow" w:hAnsi="Arial Narrow" w:cs="Times New Roman"/>
          <w:sz w:val="22"/>
          <w:szCs w:val="22"/>
        </w:rPr>
        <w:t xml:space="preserve">minimálnu mzdu na úrovni </w:t>
      </w:r>
      <w:r w:rsidRPr="00453D14">
        <w:rPr>
          <w:rFonts w:ascii="Arial Narrow" w:hAnsi="Arial Narrow" w:cs="Times New Roman"/>
          <w:sz w:val="22"/>
          <w:szCs w:val="22"/>
        </w:rPr>
        <w:t>295,43 eur.</w:t>
      </w:r>
      <w:r w:rsidRPr="00B777DF">
        <w:rPr>
          <w:rFonts w:ascii="Arial Narrow" w:hAnsi="Arial Narrow" w:cs="Times New Roman"/>
          <w:sz w:val="22"/>
          <w:szCs w:val="22"/>
        </w:rPr>
        <w:t xml:space="preserve"> Táto zmena spôsobí </w:t>
      </w:r>
      <w:r w:rsidRPr="00B777DF">
        <w:rPr>
          <w:rFonts w:ascii="Arial Narrow" w:hAnsi="Arial Narrow" w:cs="Times New Roman"/>
          <w:bCs/>
          <w:sz w:val="22"/>
          <w:szCs w:val="22"/>
        </w:rPr>
        <w:t xml:space="preserve">zníženie výnosu DPFO z podnikania </w:t>
      </w:r>
      <w:r w:rsidRPr="002B0106">
        <w:rPr>
          <w:rFonts w:ascii="Arial Narrow" w:hAnsi="Arial Narrow" w:cs="Times New Roman"/>
          <w:bCs/>
          <w:sz w:val="22"/>
          <w:szCs w:val="22"/>
        </w:rPr>
        <w:t xml:space="preserve">v sume </w:t>
      </w:r>
      <w:r>
        <w:rPr>
          <w:rFonts w:ascii="Arial Narrow" w:hAnsi="Arial Narrow" w:cs="Times New Roman"/>
          <w:bCs/>
          <w:sz w:val="22"/>
          <w:szCs w:val="22"/>
        </w:rPr>
        <w:t>približne 4 050</w:t>
      </w:r>
      <w:r w:rsidRPr="002B0106">
        <w:rPr>
          <w:rFonts w:ascii="Arial Narrow" w:hAnsi="Arial Narrow" w:cs="Times New Roman"/>
          <w:bCs/>
          <w:sz w:val="22"/>
          <w:szCs w:val="22"/>
        </w:rPr>
        <w:t xml:space="preserve"> </w:t>
      </w:r>
      <w:r>
        <w:rPr>
          <w:rFonts w:ascii="Arial Narrow" w:hAnsi="Arial Narrow" w:cs="Times New Roman"/>
          <w:bCs/>
          <w:sz w:val="22"/>
          <w:szCs w:val="22"/>
        </w:rPr>
        <w:t>tis. eur</w:t>
      </w:r>
      <w:r w:rsidRPr="002B0106">
        <w:rPr>
          <w:rFonts w:ascii="Arial Narrow" w:hAnsi="Arial Narrow" w:cs="Times New Roman"/>
          <w:bCs/>
          <w:sz w:val="22"/>
          <w:szCs w:val="22"/>
        </w:rPr>
        <w:t xml:space="preserve"> </w:t>
      </w:r>
      <w:r>
        <w:rPr>
          <w:rFonts w:ascii="Arial Narrow" w:hAnsi="Arial Narrow" w:cs="Times New Roman"/>
          <w:bCs/>
          <w:sz w:val="22"/>
          <w:szCs w:val="22"/>
        </w:rPr>
        <w:t>v roku 2009.</w:t>
      </w:r>
    </w:p>
    <w:p w:rsidR="00782712" w:rsidRPr="00097788" w:rsidP="00782712">
      <w:pPr>
        <w:ind w:firstLine="708"/>
        <w:jc w:val="both"/>
        <w:rPr>
          <w:rFonts w:ascii="Arial Narrow" w:hAnsi="Arial Narrow" w:cs="Times New Roman"/>
          <w:color w:val="000000"/>
          <w:sz w:val="22"/>
          <w:szCs w:val="22"/>
        </w:rPr>
      </w:pPr>
    </w:p>
    <w:p w:rsidR="00782712" w:rsidRPr="00261DF5" w:rsidP="00782712">
      <w:pPr>
        <w:ind w:firstLine="708"/>
        <w:jc w:val="both"/>
        <w:rPr>
          <w:rFonts w:ascii="Arial Narrow" w:hAnsi="Arial Narrow" w:cs="Times New Roman"/>
          <w:sz w:val="22"/>
          <w:szCs w:val="22"/>
        </w:rPr>
      </w:pPr>
      <w:r w:rsidRPr="00097788">
        <w:rPr>
          <w:rFonts w:ascii="Arial Narrow" w:hAnsi="Arial Narrow" w:cs="Times New Roman"/>
          <w:sz w:val="22"/>
          <w:szCs w:val="22"/>
        </w:rPr>
        <w:t xml:space="preserve">Daň z príjmov fyzických osôb je progresívna daň, keďže </w:t>
      </w:r>
      <w:r>
        <w:rPr>
          <w:rFonts w:ascii="Arial Narrow" w:hAnsi="Arial Narrow" w:cs="Times New Roman"/>
          <w:sz w:val="22"/>
          <w:szCs w:val="22"/>
        </w:rPr>
        <w:t>NČZD</w:t>
      </w:r>
      <w:r w:rsidRPr="00097788">
        <w:rPr>
          <w:rFonts w:ascii="Arial Narrow" w:hAnsi="Arial Narrow" w:cs="Times New Roman"/>
          <w:sz w:val="22"/>
          <w:szCs w:val="22"/>
        </w:rPr>
        <w:t xml:space="preserve"> a daňový bonus na dieťa sú indexované rastom životného minima, teda približne na úrovni inflácie, pričom mzdy ako základ dane rastú rýchlejšie než inflácia. V dôsledku zavedenia klesajúcej </w:t>
      </w:r>
      <w:r>
        <w:rPr>
          <w:rFonts w:ascii="Arial Narrow" w:hAnsi="Arial Narrow" w:cs="Times New Roman"/>
          <w:sz w:val="22"/>
          <w:szCs w:val="22"/>
        </w:rPr>
        <w:t>NČZD</w:t>
      </w:r>
      <w:r w:rsidRPr="00097788">
        <w:rPr>
          <w:rFonts w:ascii="Arial Narrow" w:hAnsi="Arial Narrow" w:cs="Times New Roman"/>
          <w:sz w:val="22"/>
          <w:szCs w:val="22"/>
        </w:rPr>
        <w:t xml:space="preserve"> sa progresivita tejto dane ešte zvýšila, pretože hranica, od k</w:t>
      </w:r>
      <w:r w:rsidRPr="00097788">
        <w:rPr>
          <w:rFonts w:ascii="Arial Narrow" w:hAnsi="Arial Narrow" w:cs="Times New Roman"/>
          <w:sz w:val="22"/>
          <w:szCs w:val="22"/>
        </w:rPr>
        <w:t xml:space="preserve">torej </w:t>
      </w:r>
      <w:r>
        <w:rPr>
          <w:rFonts w:ascii="Arial Narrow" w:hAnsi="Arial Narrow" w:cs="Times New Roman"/>
          <w:sz w:val="22"/>
          <w:szCs w:val="22"/>
        </w:rPr>
        <w:t>NČZD</w:t>
      </w:r>
      <w:r w:rsidRPr="00097788">
        <w:rPr>
          <w:rFonts w:ascii="Arial Narrow" w:hAnsi="Arial Narrow" w:cs="Times New Roman"/>
          <w:sz w:val="22"/>
          <w:szCs w:val="22"/>
        </w:rPr>
        <w:t xml:space="preserve"> začína klesať, sa zvyšuje rovnako ako </w:t>
      </w:r>
      <w:r>
        <w:rPr>
          <w:rFonts w:ascii="Arial Narrow" w:hAnsi="Arial Narrow" w:cs="Times New Roman"/>
          <w:sz w:val="22"/>
          <w:szCs w:val="22"/>
        </w:rPr>
        <w:t>NČZD</w:t>
      </w:r>
      <w:r w:rsidRPr="00097788">
        <w:rPr>
          <w:rFonts w:ascii="Arial Narrow" w:hAnsi="Arial Narrow" w:cs="Times New Roman"/>
          <w:sz w:val="22"/>
          <w:szCs w:val="22"/>
        </w:rPr>
        <w:t>, rastom životného minima. Z uvedeného dôvodu základ dane bude rásť rýchlejšie ako priemerná hrubá mzda.</w:t>
      </w:r>
    </w:p>
    <w:p w:rsidR="00782712" w:rsidRPr="00D37490" w:rsidP="00782712">
      <w:pPr>
        <w:jc w:val="both"/>
        <w:rPr>
          <w:rFonts w:ascii="Arial Narrow" w:hAnsi="Arial Narrow" w:cs="Times New Roman"/>
          <w:color w:val="FF0000"/>
          <w:sz w:val="22"/>
          <w:szCs w:val="22"/>
        </w:rPr>
      </w:pPr>
    </w:p>
    <w:p w:rsidR="00782712" w:rsidRPr="00A02EBD" w:rsidP="00782712">
      <w:pPr>
        <w:autoSpaceDE/>
        <w:autoSpaceDN/>
        <w:spacing w:line="240" w:lineRule="atLeast"/>
        <w:ind w:firstLine="708"/>
        <w:jc w:val="both"/>
        <w:rPr>
          <w:rFonts w:ascii="Arial Narrow" w:hAnsi="Arial Narrow" w:cs="Arial Narrow"/>
          <w:color w:val="000000"/>
          <w:sz w:val="22"/>
          <w:szCs w:val="22"/>
        </w:rPr>
      </w:pPr>
      <w:r>
        <w:rPr>
          <w:rFonts w:ascii="Arial Narrow" w:hAnsi="Arial Narrow" w:cs="Arial Narrow"/>
          <w:color w:val="000000"/>
          <w:sz w:val="22"/>
          <w:szCs w:val="22"/>
        </w:rPr>
        <w:t>V porovnaní so schváleným R</w:t>
      </w:r>
      <w:r w:rsidRPr="00A02EBD">
        <w:rPr>
          <w:rFonts w:ascii="Arial Narrow" w:hAnsi="Arial Narrow" w:cs="Arial Narrow"/>
          <w:color w:val="000000"/>
          <w:sz w:val="22"/>
          <w:szCs w:val="22"/>
        </w:rPr>
        <w:t xml:space="preserve">ozpočtom </w:t>
      </w:r>
      <w:r w:rsidRPr="00430F36">
        <w:rPr>
          <w:rFonts w:ascii="Arial Narrow" w:hAnsi="Arial Narrow" w:cs="Arial Narrow"/>
          <w:color w:val="000000"/>
          <w:sz w:val="22"/>
          <w:szCs w:val="22"/>
        </w:rPr>
        <w:t>verejnej správy na roky 2008</w:t>
      </w:r>
      <w:r w:rsidR="0023048C">
        <w:rPr>
          <w:rFonts w:ascii="Arial Narrow" w:hAnsi="Arial Narrow" w:cs="Arial Narrow"/>
          <w:color w:val="000000"/>
          <w:sz w:val="22"/>
          <w:szCs w:val="22"/>
        </w:rPr>
        <w:t xml:space="preserve"> až </w:t>
      </w:r>
      <w:r w:rsidRPr="00430F36">
        <w:rPr>
          <w:rFonts w:ascii="Arial Narrow" w:hAnsi="Arial Narrow" w:cs="Arial Narrow"/>
          <w:color w:val="000000"/>
          <w:sz w:val="22"/>
          <w:szCs w:val="22"/>
        </w:rPr>
        <w:t>2010 dochádza ku zvýšeniu pro</w:t>
      </w:r>
      <w:r w:rsidRPr="00430F36">
        <w:rPr>
          <w:rFonts w:ascii="Arial Narrow" w:hAnsi="Arial Narrow" w:cs="Arial Narrow"/>
          <w:color w:val="000000"/>
          <w:sz w:val="22"/>
          <w:szCs w:val="22"/>
        </w:rPr>
        <w:t xml:space="preserve">gnózy </w:t>
      </w:r>
      <w:r w:rsidRPr="00430F36">
        <w:rPr>
          <w:rFonts w:ascii="Arial Narrow" w:hAnsi="Arial Narrow" w:cs="Arial Narrow"/>
          <w:b/>
          <w:color w:val="000000"/>
          <w:sz w:val="22"/>
          <w:szCs w:val="22"/>
        </w:rPr>
        <w:t>dane z príjmov právnických osôb</w:t>
      </w:r>
      <w:r w:rsidRPr="00430F36">
        <w:rPr>
          <w:rFonts w:ascii="Arial Narrow" w:hAnsi="Arial Narrow" w:cs="Arial Narrow"/>
          <w:color w:val="000000"/>
          <w:sz w:val="22"/>
          <w:szCs w:val="22"/>
        </w:rPr>
        <w:t xml:space="preserve"> (DPPO). Dôvodom sú informácie o výnose DPPO za rok 2007 a aktualizácia prognózy makroekonomického prostredia. Na</w:t>
      </w:r>
      <w:r w:rsidRPr="00A02EBD">
        <w:rPr>
          <w:rFonts w:ascii="Arial Narrow" w:hAnsi="Arial Narrow" w:cs="Arial Narrow"/>
          <w:color w:val="000000"/>
          <w:sz w:val="22"/>
          <w:szCs w:val="22"/>
        </w:rPr>
        <w:t xml:space="preserve"> výnos DPPO aj naďalej pozitívne vplýva priaznivý hospodársky rast, ako aj rozdiel rastu miezd a produktiv</w:t>
      </w:r>
      <w:r w:rsidRPr="00A02EBD">
        <w:rPr>
          <w:rFonts w:ascii="Arial Narrow" w:hAnsi="Arial Narrow" w:cs="Arial Narrow"/>
          <w:color w:val="000000"/>
          <w:sz w:val="22"/>
          <w:szCs w:val="22"/>
        </w:rPr>
        <w:t xml:space="preserve">ity práce. Pre rok 2008 </w:t>
      </w:r>
      <w:r>
        <w:rPr>
          <w:rFonts w:ascii="Arial Narrow" w:hAnsi="Arial Narrow" w:cs="Arial Narrow"/>
          <w:color w:val="000000"/>
          <w:sz w:val="22"/>
          <w:szCs w:val="22"/>
        </w:rPr>
        <w:t xml:space="preserve">sa zvolil konzervatívny prístup, najmä z dôvodu možného dopadu </w:t>
      </w:r>
      <w:r w:rsidRPr="00A02EBD">
        <w:rPr>
          <w:rFonts w:ascii="Arial Narrow" w:hAnsi="Arial Narrow" w:cs="Arial Narrow"/>
          <w:color w:val="000000"/>
          <w:sz w:val="22"/>
          <w:szCs w:val="22"/>
        </w:rPr>
        <w:t>posilňovani</w:t>
      </w:r>
      <w:r>
        <w:rPr>
          <w:rFonts w:ascii="Arial Narrow" w:hAnsi="Arial Narrow" w:cs="Arial Narrow"/>
          <w:color w:val="000000"/>
          <w:sz w:val="22"/>
          <w:szCs w:val="22"/>
        </w:rPr>
        <w:t>a</w:t>
      </w:r>
      <w:r w:rsidRPr="00A02EBD">
        <w:rPr>
          <w:rFonts w:ascii="Arial Narrow" w:hAnsi="Arial Narrow" w:cs="Arial Narrow"/>
          <w:color w:val="000000"/>
          <w:sz w:val="22"/>
          <w:szCs w:val="22"/>
        </w:rPr>
        <w:t xml:space="preserve"> slovenskej koruny </w:t>
      </w:r>
      <w:r>
        <w:rPr>
          <w:rFonts w:ascii="Arial Narrow" w:hAnsi="Arial Narrow" w:cs="Arial Narrow"/>
          <w:color w:val="000000"/>
          <w:sz w:val="22"/>
          <w:szCs w:val="22"/>
        </w:rPr>
        <w:t>na ziskovosť</w:t>
      </w:r>
      <w:r w:rsidRPr="00A02EBD">
        <w:rPr>
          <w:rFonts w:ascii="Arial Narrow" w:hAnsi="Arial Narrow" w:cs="Arial Narrow"/>
          <w:color w:val="000000"/>
          <w:sz w:val="22"/>
          <w:szCs w:val="22"/>
        </w:rPr>
        <w:t xml:space="preserve"> podnikov</w:t>
      </w:r>
      <w:r>
        <w:rPr>
          <w:rFonts w:ascii="Arial Narrow" w:hAnsi="Arial Narrow" w:cs="Arial Narrow"/>
          <w:color w:val="000000"/>
          <w:sz w:val="22"/>
          <w:szCs w:val="22"/>
        </w:rPr>
        <w:t>. V</w:t>
      </w:r>
      <w:r w:rsidRPr="00A02EBD">
        <w:rPr>
          <w:rFonts w:ascii="Arial Narrow" w:hAnsi="Arial Narrow" w:cs="Arial Narrow"/>
          <w:color w:val="000000"/>
          <w:sz w:val="22"/>
          <w:szCs w:val="22"/>
        </w:rPr>
        <w:t> rokoch 2009</w:t>
      </w:r>
      <w:r w:rsidR="0023048C">
        <w:rPr>
          <w:rFonts w:ascii="Arial Narrow" w:hAnsi="Arial Narrow" w:cs="Arial Narrow"/>
          <w:color w:val="000000"/>
          <w:sz w:val="22"/>
          <w:szCs w:val="22"/>
        </w:rPr>
        <w:t xml:space="preserve"> až </w:t>
      </w:r>
      <w:r w:rsidRPr="00A02EBD">
        <w:rPr>
          <w:rFonts w:ascii="Arial Narrow" w:hAnsi="Arial Narrow" w:cs="Arial Narrow"/>
          <w:color w:val="000000"/>
          <w:sz w:val="22"/>
          <w:szCs w:val="22"/>
        </w:rPr>
        <w:t xml:space="preserve">2011 </w:t>
      </w:r>
      <w:r>
        <w:rPr>
          <w:rFonts w:ascii="Arial Narrow" w:hAnsi="Arial Narrow" w:cs="Arial Narrow"/>
          <w:color w:val="000000"/>
          <w:sz w:val="22"/>
          <w:szCs w:val="22"/>
        </w:rPr>
        <w:t xml:space="preserve">však pokračujúci </w:t>
      </w:r>
      <w:r w:rsidRPr="00A02EBD">
        <w:rPr>
          <w:rFonts w:ascii="Arial Narrow" w:hAnsi="Arial Narrow" w:cs="Arial Narrow"/>
          <w:color w:val="000000"/>
          <w:sz w:val="22"/>
          <w:szCs w:val="22"/>
        </w:rPr>
        <w:t>vysoký ekonomický rast v kombinácii s rastom miezd pod úrovňou rastu produktivity práce sa naďalej bude premietať do základu dane podnikateľských subjektov</w:t>
      </w:r>
      <w:r>
        <w:rPr>
          <w:rFonts w:ascii="Arial Narrow" w:hAnsi="Arial Narrow" w:cs="Arial Narrow"/>
          <w:color w:val="000000"/>
          <w:sz w:val="22"/>
          <w:szCs w:val="22"/>
        </w:rPr>
        <w:t>, ktorý bude rásť rýchlejšie ako nominálny HDP</w:t>
      </w:r>
      <w:r w:rsidRPr="00A02EBD">
        <w:rPr>
          <w:rFonts w:ascii="Arial Narrow" w:hAnsi="Arial Narrow" w:cs="Arial Narrow"/>
          <w:color w:val="000000"/>
          <w:sz w:val="22"/>
          <w:szCs w:val="22"/>
        </w:rPr>
        <w:t>. V rokoch 2009 a 2010 končí poskytovanie štátnej pomoci formou daňovej úľavy niektorým veľkým podnikom, čo  môže kompenzovať riziko možného čerpania investičných stimulov formou daňových úľav existujúcim daňovým subjektom, u ktorých by čerpaná úľava predstavovala výpadok na DPPO, n</w:t>
      </w:r>
      <w:r>
        <w:rPr>
          <w:rFonts w:ascii="Arial Narrow" w:hAnsi="Arial Narrow" w:cs="Arial Narrow"/>
          <w:color w:val="000000"/>
          <w:sz w:val="22"/>
          <w:szCs w:val="22"/>
        </w:rPr>
        <w:t>akoľko v minulosti daň platili.</w:t>
      </w:r>
    </w:p>
    <w:p w:rsidR="00782712" w:rsidRPr="00D37490" w:rsidP="00782712">
      <w:pPr>
        <w:autoSpaceDE/>
        <w:autoSpaceDN/>
        <w:spacing w:line="240" w:lineRule="atLeast"/>
        <w:ind w:firstLine="708"/>
        <w:jc w:val="both"/>
        <w:rPr>
          <w:rFonts w:ascii="Arial Narrow" w:hAnsi="Arial Narrow" w:cs="Arial Narrow"/>
          <w:color w:val="000000"/>
          <w:sz w:val="22"/>
          <w:szCs w:val="22"/>
        </w:rPr>
      </w:pPr>
    </w:p>
    <w:p w:rsidR="00782712" w:rsidRPr="00D37490" w:rsidP="00782712">
      <w:pPr>
        <w:ind w:firstLine="708"/>
        <w:jc w:val="both"/>
        <w:rPr>
          <w:rFonts w:ascii="Arial Narrow" w:hAnsi="Arial Narrow" w:cs="Times New Roman"/>
          <w:color w:val="FF0000"/>
          <w:sz w:val="22"/>
          <w:szCs w:val="22"/>
        </w:rPr>
      </w:pPr>
      <w:r w:rsidRPr="00FF6A09">
        <w:rPr>
          <w:rFonts w:ascii="Arial Narrow" w:hAnsi="Arial Narrow" w:cs="Arial Narrow"/>
          <w:color w:val="000000"/>
          <w:sz w:val="22"/>
          <w:szCs w:val="22"/>
        </w:rPr>
        <w:t xml:space="preserve">Neistotou pri prognóze daní z príjmov fyzických a právnických osôb je možnosť daňovníkov poukázať </w:t>
      </w:r>
      <w:r w:rsidR="0023048C">
        <w:rPr>
          <w:rFonts w:ascii="Arial Narrow" w:hAnsi="Arial Narrow" w:cs="Arial Narrow"/>
          <w:color w:val="000000"/>
          <w:sz w:val="22"/>
          <w:szCs w:val="22"/>
        </w:rPr>
        <w:t xml:space="preserve">   </w:t>
      </w:r>
      <w:r w:rsidRPr="00FF6A09">
        <w:rPr>
          <w:rFonts w:ascii="Arial Narrow" w:hAnsi="Arial Narrow" w:cs="Arial Narrow"/>
          <w:color w:val="000000"/>
          <w:sz w:val="22"/>
          <w:szCs w:val="22"/>
        </w:rPr>
        <w:t>2</w:t>
      </w:r>
      <w:r w:rsidR="0023048C">
        <w:rPr>
          <w:rFonts w:ascii="Arial Narrow" w:hAnsi="Arial Narrow" w:cs="Arial Narrow"/>
          <w:color w:val="000000"/>
          <w:sz w:val="22"/>
          <w:szCs w:val="22"/>
        </w:rPr>
        <w:t xml:space="preserve"> </w:t>
      </w:r>
      <w:r w:rsidRPr="00FF6A09">
        <w:rPr>
          <w:rFonts w:ascii="Arial Narrow" w:hAnsi="Arial Narrow" w:cs="Arial Narrow"/>
          <w:color w:val="000000"/>
          <w:sz w:val="22"/>
          <w:szCs w:val="22"/>
        </w:rPr>
        <w:t xml:space="preserve">% zo zaplatenej dane na osobitné účely (verejnoprospešné aktivity mimovládnych neziskových organizácií). V roku 2007 dosiahla suma prostriedkov prevedených na verejnoprospešný účel </w:t>
      </w:r>
      <w:r>
        <w:rPr>
          <w:rFonts w:ascii="Arial Narrow" w:hAnsi="Arial Narrow" w:cs="Arial Narrow"/>
          <w:color w:val="000000"/>
          <w:sz w:val="22"/>
          <w:szCs w:val="22"/>
        </w:rPr>
        <w:t>42 125 tis. eur</w:t>
      </w:r>
      <w:r w:rsidRPr="00FF6A09">
        <w:rPr>
          <w:rFonts w:ascii="Arial Narrow" w:hAnsi="Arial Narrow" w:cs="Arial Narrow"/>
          <w:color w:val="000000"/>
          <w:sz w:val="22"/>
          <w:szCs w:val="22"/>
        </w:rPr>
        <w:t xml:space="preserve"> (z toho FO previedli </w:t>
      </w:r>
      <w:r>
        <w:rPr>
          <w:rFonts w:ascii="Arial Narrow" w:hAnsi="Arial Narrow" w:cs="Arial Narrow"/>
          <w:color w:val="000000"/>
          <w:sz w:val="22"/>
          <w:szCs w:val="22"/>
        </w:rPr>
        <w:t>12 819</w:t>
      </w:r>
      <w:r>
        <w:rPr>
          <w:rFonts w:ascii="Arial Narrow" w:hAnsi="Arial Narrow" w:cs="Arial Narrow"/>
          <w:color w:val="000000"/>
          <w:sz w:val="22"/>
          <w:szCs w:val="22"/>
        </w:rPr>
        <w:t xml:space="preserve"> tis. eur</w:t>
      </w:r>
      <w:r w:rsidRPr="00FF6A09">
        <w:rPr>
          <w:rFonts w:ascii="Arial Narrow" w:hAnsi="Arial Narrow" w:cs="Arial Narrow"/>
          <w:color w:val="000000"/>
          <w:sz w:val="22"/>
          <w:szCs w:val="22"/>
        </w:rPr>
        <w:t xml:space="preserve"> a PO previedli </w:t>
      </w:r>
      <w:r>
        <w:rPr>
          <w:rFonts w:ascii="Arial Narrow" w:hAnsi="Arial Narrow" w:cs="Arial Narrow"/>
          <w:color w:val="000000"/>
          <w:sz w:val="22"/>
          <w:szCs w:val="22"/>
        </w:rPr>
        <w:t>29 306 tis. eur</w:t>
      </w:r>
      <w:r w:rsidRPr="00FF6A09">
        <w:rPr>
          <w:rFonts w:ascii="Arial Narrow" w:hAnsi="Arial Narrow" w:cs="Arial Narrow"/>
          <w:color w:val="000000"/>
          <w:sz w:val="22"/>
          <w:szCs w:val="22"/>
        </w:rPr>
        <w:t xml:space="preserve">). Predpokladá sa, že suma prostriedkov určených na osobitné účely </w:t>
      </w:r>
      <w:r>
        <w:rPr>
          <w:rFonts w:ascii="Arial Narrow" w:hAnsi="Arial Narrow" w:cs="Arial Narrow"/>
          <w:color w:val="000000"/>
          <w:sz w:val="22"/>
          <w:szCs w:val="22"/>
        </w:rPr>
        <w:t xml:space="preserve">dosiahne v roku 2011 úroveň </w:t>
      </w:r>
      <w:r w:rsidRPr="00EA7CC1">
        <w:rPr>
          <w:rFonts w:ascii="Arial Narrow" w:hAnsi="Arial Narrow" w:cs="Arial Narrow"/>
          <w:color w:val="000000"/>
          <w:sz w:val="22"/>
          <w:szCs w:val="22"/>
        </w:rPr>
        <w:t xml:space="preserve">až 67 </w:t>
      </w:r>
      <w:r>
        <w:rPr>
          <w:rFonts w:ascii="Arial Narrow" w:hAnsi="Arial Narrow" w:cs="Arial Narrow"/>
          <w:color w:val="000000"/>
          <w:sz w:val="22"/>
          <w:szCs w:val="22"/>
        </w:rPr>
        <w:t>019 tis. eur.</w:t>
      </w:r>
    </w:p>
    <w:p w:rsidR="00782712" w:rsidRPr="00D37490" w:rsidP="00782712">
      <w:pPr>
        <w:jc w:val="both"/>
        <w:rPr>
          <w:rFonts w:ascii="Arial Narrow" w:hAnsi="Arial Narrow" w:cs="Times New Roman"/>
          <w:color w:val="FF0000"/>
          <w:sz w:val="22"/>
          <w:szCs w:val="22"/>
        </w:rPr>
      </w:pPr>
    </w:p>
    <w:p w:rsidR="00782712" w:rsidP="00782712">
      <w:pPr>
        <w:ind w:firstLine="708"/>
        <w:jc w:val="both"/>
        <w:rPr>
          <w:rFonts w:ascii="Arial Narrow" w:hAnsi="Arial Narrow" w:cs="Arial Narrow"/>
          <w:color w:val="000000"/>
          <w:sz w:val="22"/>
          <w:szCs w:val="22"/>
        </w:rPr>
      </w:pPr>
      <w:r w:rsidRPr="000F375B">
        <w:rPr>
          <w:rFonts w:ascii="Arial Narrow" w:hAnsi="Arial Narrow" w:cs="Arial Narrow"/>
          <w:color w:val="000000"/>
          <w:sz w:val="22"/>
          <w:szCs w:val="22"/>
        </w:rPr>
        <w:t xml:space="preserve">Prognóza </w:t>
      </w:r>
      <w:r w:rsidRPr="000F375B">
        <w:rPr>
          <w:rFonts w:ascii="Arial Narrow" w:hAnsi="Arial Narrow" w:cs="Arial Narrow"/>
          <w:b/>
          <w:color w:val="000000"/>
          <w:sz w:val="22"/>
          <w:szCs w:val="22"/>
        </w:rPr>
        <w:t>dane z príjmov vyberanej zrážkou</w:t>
      </w:r>
      <w:r w:rsidRPr="000F375B">
        <w:rPr>
          <w:rFonts w:ascii="Arial Narrow" w:hAnsi="Arial Narrow" w:cs="Arial Narrow"/>
          <w:color w:val="000000"/>
          <w:sz w:val="22"/>
          <w:szCs w:val="22"/>
        </w:rPr>
        <w:t xml:space="preserve"> na roky 2009 až 2011 vychádza z predpokladu stabilného vývoja úrokových mier a mierneho poklesu podielu úspor na disponibilných príjmoch domácností. Na základe skutočných údajov za minulosť sa podarilo identifikovať sumu z výnosu dane, ktorá sa týka platieb dane z licenčných poplatkov (na výnose dane vyberanej zrážkou tvoria približne 19</w:t>
      </w:r>
      <w:r w:rsidR="0023048C">
        <w:rPr>
          <w:rFonts w:ascii="Arial Narrow" w:hAnsi="Arial Narrow" w:cs="Arial Narrow"/>
          <w:color w:val="000000"/>
          <w:sz w:val="22"/>
          <w:szCs w:val="22"/>
        </w:rPr>
        <w:t xml:space="preserve"> </w:t>
      </w:r>
      <w:r w:rsidRPr="000F375B">
        <w:rPr>
          <w:rFonts w:ascii="Arial Narrow" w:hAnsi="Arial Narrow" w:cs="Arial Narrow"/>
          <w:color w:val="000000"/>
          <w:sz w:val="22"/>
          <w:szCs w:val="22"/>
        </w:rPr>
        <w:t>%). Výška licenčných poplatkov priamo nesúvisí s makroekonomickým vývojom a je pomerne časté, že dochádza k jednorazovým výkyvom v ich platbe.</w:t>
      </w:r>
      <w:r>
        <w:rPr>
          <w:rFonts w:ascii="Arial Narrow" w:hAnsi="Arial Narrow" w:cs="Arial Narrow"/>
          <w:color w:val="000000"/>
          <w:sz w:val="22"/>
          <w:szCs w:val="22"/>
        </w:rPr>
        <w:t xml:space="preserve"> Je to najmä z dôvodu, že licenčné poplatky sa odvíjajú od výšky tržieb alebo sa platia </w:t>
      </w:r>
      <w:r>
        <w:rPr>
          <w:rFonts w:ascii="Arial Narrow" w:hAnsi="Arial Narrow" w:cs="Arial Narrow"/>
          <w:color w:val="000000"/>
          <w:sz w:val="22"/>
          <w:szCs w:val="22"/>
        </w:rPr>
        <w:t>jednorazovo v stanovenej výške pri spustení výroby nového produktu.</w:t>
      </w:r>
    </w:p>
    <w:p w:rsidR="00782712" w:rsidRPr="000F375B" w:rsidP="00782712">
      <w:pPr>
        <w:ind w:firstLine="708"/>
        <w:jc w:val="both"/>
        <w:rPr>
          <w:rFonts w:ascii="Arial Narrow" w:hAnsi="Arial Narrow" w:cs="Arial Narrow"/>
          <w:color w:val="000000"/>
          <w:sz w:val="22"/>
          <w:szCs w:val="22"/>
        </w:rPr>
      </w:pPr>
    </w:p>
    <w:p w:rsidR="00782712" w:rsidRPr="00DF45EC" w:rsidP="00782712">
      <w:pPr>
        <w:jc w:val="both"/>
        <w:rPr>
          <w:rFonts w:ascii="Arial Narrow" w:hAnsi="Arial Narrow" w:cs="Times New Roman"/>
          <w:sz w:val="22"/>
          <w:szCs w:val="22"/>
        </w:rPr>
      </w:pPr>
      <w:r w:rsidRPr="00DF45EC">
        <w:rPr>
          <w:rFonts w:ascii="Arial Narrow" w:hAnsi="Arial Narrow" w:cs="Times New Roman"/>
          <w:sz w:val="22"/>
          <w:szCs w:val="22"/>
        </w:rPr>
        <w:tab/>
      </w:r>
      <w:r w:rsidR="0023048C">
        <w:rPr>
          <w:rFonts w:ascii="Arial Narrow" w:hAnsi="Arial Narrow" w:cs="Times New Roman"/>
          <w:sz w:val="22"/>
          <w:szCs w:val="22"/>
        </w:rPr>
        <w:t>Pri</w:t>
      </w:r>
      <w:r w:rsidRPr="00DF45EC">
        <w:rPr>
          <w:rFonts w:ascii="Arial Narrow" w:hAnsi="Arial Narrow" w:cs="Times New Roman"/>
          <w:sz w:val="22"/>
          <w:szCs w:val="22"/>
        </w:rPr>
        <w:t> </w:t>
      </w:r>
      <w:r w:rsidRPr="00DF45EC">
        <w:rPr>
          <w:rFonts w:ascii="Arial Narrow" w:hAnsi="Arial Narrow" w:cs="Times New Roman"/>
          <w:b/>
          <w:sz w:val="22"/>
          <w:szCs w:val="22"/>
        </w:rPr>
        <w:t>dani z pridanej hodnoty</w:t>
      </w:r>
      <w:r w:rsidRPr="00DF45EC">
        <w:rPr>
          <w:rFonts w:ascii="Arial Narrow" w:hAnsi="Arial Narrow" w:cs="Times New Roman"/>
          <w:sz w:val="22"/>
          <w:szCs w:val="22"/>
        </w:rPr>
        <w:t xml:space="preserve"> </w:t>
      </w:r>
      <w:r>
        <w:rPr>
          <w:rFonts w:ascii="Arial Narrow" w:hAnsi="Arial Narrow" w:cs="Times New Roman"/>
          <w:sz w:val="22"/>
          <w:szCs w:val="22"/>
        </w:rPr>
        <w:t>sa očakáva, že výnos bude rásť pomalšie ako spotrebné výdavky</w:t>
      </w:r>
      <w:r w:rsidRPr="00DF45EC">
        <w:rPr>
          <w:rFonts w:ascii="Arial Narrow" w:hAnsi="Arial Narrow" w:cs="Times New Roman"/>
          <w:sz w:val="22"/>
          <w:szCs w:val="22"/>
        </w:rPr>
        <w:t xml:space="preserve"> domácn</w:t>
      </w:r>
      <w:r>
        <w:rPr>
          <w:rFonts w:ascii="Arial Narrow" w:hAnsi="Arial Narrow" w:cs="Times New Roman"/>
          <w:sz w:val="22"/>
          <w:szCs w:val="22"/>
        </w:rPr>
        <w:t>ostí, výdavky verejnej správy</w:t>
      </w:r>
      <w:r w:rsidRPr="00DF45EC">
        <w:rPr>
          <w:rFonts w:ascii="Arial Narrow" w:hAnsi="Arial Narrow" w:cs="Times New Roman"/>
          <w:sz w:val="22"/>
          <w:szCs w:val="22"/>
        </w:rPr>
        <w:t xml:space="preserve"> na tovary a služby a výd</w:t>
      </w:r>
      <w:r>
        <w:rPr>
          <w:rFonts w:ascii="Arial Narrow" w:hAnsi="Arial Narrow" w:cs="Times New Roman"/>
          <w:sz w:val="22"/>
          <w:szCs w:val="22"/>
        </w:rPr>
        <w:t>avky</w:t>
      </w:r>
      <w:r w:rsidRPr="00DF45EC">
        <w:rPr>
          <w:rFonts w:ascii="Arial Narrow" w:hAnsi="Arial Narrow" w:cs="Times New Roman"/>
          <w:sz w:val="22"/>
          <w:szCs w:val="22"/>
        </w:rPr>
        <w:t xml:space="preserve"> vlády na investície. </w:t>
      </w:r>
      <w:r>
        <w:rPr>
          <w:rFonts w:ascii="Arial Narrow" w:hAnsi="Arial Narrow" w:cs="Times New Roman"/>
          <w:sz w:val="22"/>
          <w:szCs w:val="22"/>
        </w:rPr>
        <w:t>V porovnan</w:t>
      </w:r>
      <w:r>
        <w:rPr>
          <w:rFonts w:ascii="Arial Narrow" w:hAnsi="Arial Narrow" w:cs="Times New Roman"/>
          <w:sz w:val="22"/>
          <w:szCs w:val="22"/>
        </w:rPr>
        <w:t>í s minulými rokmi ide o konzervatívnejší prístup, ktorý sa zvolil na základe analýzy historického vývoja (rast DPH v posledných rokoch zaostával za rastom svojej makroekonomickej základne). Na akruálny výnos v roku 2008 pozitívne vplýva skoršie vrátenie n</w:t>
      </w:r>
      <w:r>
        <w:rPr>
          <w:rFonts w:ascii="Arial Narrow" w:hAnsi="Arial Narrow" w:cs="Times New Roman"/>
          <w:sz w:val="22"/>
          <w:szCs w:val="22"/>
        </w:rPr>
        <w:t>admerných odpočtov v sume 79 665 tis. eur, ktoré zapríčinilo zhoršenie výnosu v roku 2007.</w:t>
      </w:r>
    </w:p>
    <w:p w:rsidR="00782712" w:rsidRPr="00DF45EC" w:rsidP="00782712">
      <w:pPr>
        <w:rPr>
          <w:rFonts w:cs="Times New Roman"/>
          <w:highlight w:val="yellow"/>
        </w:rPr>
      </w:pPr>
    </w:p>
    <w:p w:rsidR="00782712" w:rsidP="00782712">
      <w:pPr>
        <w:ind w:firstLine="708"/>
        <w:jc w:val="both"/>
        <w:rPr>
          <w:rFonts w:ascii="Arial Narrow" w:hAnsi="Arial Narrow" w:cs="Times New Roman"/>
          <w:sz w:val="22"/>
          <w:szCs w:val="22"/>
        </w:rPr>
      </w:pPr>
      <w:r w:rsidRPr="00711ADD">
        <w:rPr>
          <w:rFonts w:ascii="Arial Narrow" w:hAnsi="Arial Narrow" w:cs="Times New Roman"/>
          <w:sz w:val="22"/>
          <w:szCs w:val="22"/>
        </w:rPr>
        <w:t xml:space="preserve">Výnosy </w:t>
      </w:r>
      <w:r w:rsidRPr="00711ADD">
        <w:rPr>
          <w:rFonts w:ascii="Arial Narrow" w:hAnsi="Arial Narrow" w:cs="Times New Roman"/>
          <w:b/>
          <w:sz w:val="22"/>
          <w:szCs w:val="22"/>
        </w:rPr>
        <w:t>spotrebných daní</w:t>
      </w:r>
      <w:r w:rsidRPr="00711ADD">
        <w:rPr>
          <w:rFonts w:ascii="Arial Narrow" w:hAnsi="Arial Narrow" w:cs="Times New Roman"/>
          <w:sz w:val="22"/>
          <w:szCs w:val="22"/>
        </w:rPr>
        <w:t xml:space="preserve"> v metodike ESA</w:t>
      </w:r>
      <w:r w:rsidR="0023048C">
        <w:rPr>
          <w:rFonts w:ascii="Arial Narrow" w:hAnsi="Arial Narrow" w:cs="Times New Roman"/>
          <w:sz w:val="22"/>
          <w:szCs w:val="22"/>
        </w:rPr>
        <w:t xml:space="preserve"> </w:t>
      </w:r>
      <w:r w:rsidRPr="00711ADD">
        <w:rPr>
          <w:rFonts w:ascii="Arial Narrow" w:hAnsi="Arial Narrow" w:cs="Times New Roman"/>
          <w:sz w:val="22"/>
          <w:szCs w:val="22"/>
        </w:rPr>
        <w:t>95 budú rásť v súlade s tempom rastu domácností v stálych cenách, pričom najdôležitejším jednorazovým efektom bude predzásobenie cigaretami. V súlade s harmonizáciou sadzieb dane EÚ očakáva aktuálna prognóza spotrebných daní zvýšenie sadzby dane z cigariet k 1.</w:t>
      </w:r>
      <w:r w:rsidR="0023048C">
        <w:rPr>
          <w:rFonts w:ascii="Arial Narrow" w:hAnsi="Arial Narrow" w:cs="Times New Roman"/>
          <w:sz w:val="22"/>
          <w:szCs w:val="22"/>
        </w:rPr>
        <w:t xml:space="preserve"> </w:t>
      </w:r>
      <w:r w:rsidRPr="00711ADD">
        <w:rPr>
          <w:rFonts w:ascii="Arial Narrow" w:hAnsi="Arial Narrow" w:cs="Times New Roman"/>
          <w:sz w:val="22"/>
          <w:szCs w:val="22"/>
        </w:rPr>
        <w:t>2.</w:t>
      </w:r>
      <w:r w:rsidR="0023048C">
        <w:rPr>
          <w:rFonts w:ascii="Arial Narrow" w:hAnsi="Arial Narrow" w:cs="Times New Roman"/>
          <w:sz w:val="22"/>
          <w:szCs w:val="22"/>
        </w:rPr>
        <w:t xml:space="preserve"> </w:t>
      </w:r>
      <w:r w:rsidRPr="00711ADD">
        <w:rPr>
          <w:rFonts w:ascii="Arial Narrow" w:hAnsi="Arial Narrow" w:cs="Times New Roman"/>
          <w:sz w:val="22"/>
          <w:szCs w:val="22"/>
        </w:rPr>
        <w:t>2009. Odhad dopadu zvýšenia sadzieb spotrebných daní z tabakových výrobkov na daňové príjmy verejnej správy je postavený na dostupných údajoch za rok 2006, 2007, 2008 a predpoklade, že subjekty pôsobiace na cigaretovom trhu sa pred začiatkom účinnosti nových sadzieb predzásobia. Zvýšenie sadzieb daní od 1.</w:t>
      </w:r>
      <w:r w:rsidR="0023048C">
        <w:rPr>
          <w:rFonts w:ascii="Arial Narrow" w:hAnsi="Arial Narrow" w:cs="Times New Roman"/>
          <w:sz w:val="22"/>
          <w:szCs w:val="22"/>
        </w:rPr>
        <w:t xml:space="preserve"> </w:t>
      </w:r>
      <w:r w:rsidRPr="00711ADD">
        <w:rPr>
          <w:rFonts w:ascii="Arial Narrow" w:hAnsi="Arial Narrow" w:cs="Times New Roman"/>
          <w:sz w:val="22"/>
          <w:szCs w:val="22"/>
        </w:rPr>
        <w:t>1.</w:t>
      </w:r>
      <w:r w:rsidR="0023048C">
        <w:rPr>
          <w:rFonts w:ascii="Arial Narrow" w:hAnsi="Arial Narrow" w:cs="Times New Roman"/>
          <w:sz w:val="22"/>
          <w:szCs w:val="22"/>
        </w:rPr>
        <w:t xml:space="preserve"> </w:t>
      </w:r>
      <w:r w:rsidRPr="00711ADD">
        <w:rPr>
          <w:rFonts w:ascii="Arial Narrow" w:hAnsi="Arial Narrow" w:cs="Times New Roman"/>
          <w:sz w:val="22"/>
          <w:szCs w:val="22"/>
        </w:rPr>
        <w:t>2008 malo z titulu predzásobenia pozitívny dopad na výnos dan</w:t>
      </w:r>
      <w:r w:rsidRPr="00711ADD">
        <w:rPr>
          <w:rFonts w:ascii="Arial Narrow" w:hAnsi="Arial Narrow" w:cs="Times New Roman"/>
          <w:sz w:val="22"/>
          <w:szCs w:val="22"/>
        </w:rPr>
        <w:t>e v metodike ESA</w:t>
      </w:r>
      <w:r w:rsidR="0023048C">
        <w:rPr>
          <w:rFonts w:ascii="Arial Narrow" w:hAnsi="Arial Narrow" w:cs="Times New Roman"/>
          <w:sz w:val="22"/>
          <w:szCs w:val="22"/>
        </w:rPr>
        <w:t xml:space="preserve"> </w:t>
      </w:r>
      <w:r w:rsidRPr="00711ADD">
        <w:rPr>
          <w:rFonts w:ascii="Arial Narrow" w:hAnsi="Arial Narrow" w:cs="Times New Roman"/>
          <w:sz w:val="22"/>
          <w:szCs w:val="22"/>
        </w:rPr>
        <w:t xml:space="preserve">95 v roku 2007, a to vo výške </w:t>
      </w:r>
      <w:r>
        <w:rPr>
          <w:rFonts w:ascii="Arial Narrow" w:hAnsi="Arial Narrow" w:cs="Times New Roman"/>
          <w:sz w:val="22"/>
          <w:szCs w:val="22"/>
        </w:rPr>
        <w:t>315 342 tis. eur</w:t>
      </w:r>
      <w:r w:rsidRPr="00711ADD">
        <w:rPr>
          <w:rFonts w:ascii="Arial Narrow" w:hAnsi="Arial Narrow" w:cs="Times New Roman"/>
          <w:sz w:val="22"/>
          <w:szCs w:val="22"/>
        </w:rPr>
        <w:t>. Pred zvyšovaním sadzieb dane v roku 2009 sa predpokladá predzásobenie v rovnakej výške ako pred zvyšovaním v roku 2008, zároveň sa však pre zvýšenie kontroly predzásobenia zaviedlo obmedzenie, podľa ktorého sa cigarety zdanené ešte pôvodnými sadzbami budú môcť predávať len do konca septembra 2009. V porovnaní s pôvodnými predpokladmi došlo k miernemu zvýšeniu priemernej sadzb</w:t>
      </w:r>
      <w:r>
        <w:rPr>
          <w:rFonts w:ascii="Arial Narrow" w:hAnsi="Arial Narrow" w:cs="Times New Roman"/>
          <w:sz w:val="22"/>
          <w:szCs w:val="22"/>
        </w:rPr>
        <w:t>y</w:t>
      </w:r>
      <w:r w:rsidRPr="00711ADD">
        <w:rPr>
          <w:rFonts w:ascii="Arial Narrow" w:hAnsi="Arial Narrow" w:cs="Times New Roman"/>
          <w:sz w:val="22"/>
          <w:szCs w:val="22"/>
        </w:rPr>
        <w:t xml:space="preserve"> dane na cigarety, čo má pozitívny dopad na rozpočet. Následkom zvyšovania sadzieb dane až od 1. </w:t>
      </w:r>
      <w:r w:rsidR="0023048C">
        <w:rPr>
          <w:rFonts w:ascii="Arial Narrow" w:hAnsi="Arial Narrow" w:cs="Times New Roman"/>
          <w:sz w:val="22"/>
          <w:szCs w:val="22"/>
        </w:rPr>
        <w:t xml:space="preserve">2. </w:t>
      </w:r>
      <w:r w:rsidRPr="00711ADD">
        <w:rPr>
          <w:rFonts w:ascii="Arial Narrow" w:hAnsi="Arial Narrow" w:cs="Times New Roman"/>
          <w:sz w:val="22"/>
          <w:szCs w:val="22"/>
        </w:rPr>
        <w:t xml:space="preserve">2009 dôjde </w:t>
      </w:r>
      <w:r>
        <w:rPr>
          <w:rFonts w:ascii="Arial Narrow" w:hAnsi="Arial Narrow" w:cs="Times New Roman"/>
          <w:sz w:val="22"/>
          <w:szCs w:val="22"/>
        </w:rPr>
        <w:t>k rozdeleniu</w:t>
      </w:r>
      <w:r w:rsidRPr="00711ADD">
        <w:rPr>
          <w:rFonts w:ascii="Arial Narrow" w:hAnsi="Arial Narrow" w:cs="Times New Roman"/>
          <w:sz w:val="22"/>
          <w:szCs w:val="22"/>
        </w:rPr>
        <w:t xml:space="preserve"> výnosu z predzásobenia medzi roky 2008 a 2009, pričom v roku 2008 sa očakávaný výnos z predzásobenia pohybuje na úrovni </w:t>
      </w:r>
      <w:r>
        <w:rPr>
          <w:rFonts w:ascii="Arial Narrow" w:hAnsi="Arial Narrow" w:cs="Times New Roman"/>
          <w:sz w:val="22"/>
          <w:szCs w:val="22"/>
        </w:rPr>
        <w:t>149 373 tis. eur</w:t>
      </w:r>
      <w:r w:rsidRPr="00711ADD">
        <w:rPr>
          <w:rFonts w:ascii="Arial Narrow" w:hAnsi="Arial Narrow" w:cs="Times New Roman"/>
          <w:sz w:val="22"/>
          <w:szCs w:val="22"/>
        </w:rPr>
        <w:t xml:space="preserve"> a v roku 2009 na úrovni </w:t>
      </w:r>
      <w:r>
        <w:rPr>
          <w:rFonts w:ascii="Arial Narrow" w:hAnsi="Arial Narrow" w:cs="Times New Roman"/>
          <w:sz w:val="22"/>
          <w:szCs w:val="22"/>
        </w:rPr>
        <w:t>165 970 tis. eur</w:t>
      </w:r>
      <w:r w:rsidRPr="00711ADD">
        <w:rPr>
          <w:rFonts w:ascii="Arial Narrow" w:hAnsi="Arial Narrow" w:cs="Times New Roman"/>
          <w:sz w:val="22"/>
          <w:szCs w:val="22"/>
        </w:rPr>
        <w:t>. Nové sadzby spotrebnej dane na tabakové výrobky sa tak na výnose dane naplno prejavia až v rokoch 2010 a 2011.</w:t>
      </w:r>
    </w:p>
    <w:p w:rsidR="0023048C" w:rsidP="00782712">
      <w:pPr>
        <w:ind w:firstLine="708"/>
        <w:jc w:val="both"/>
        <w:rPr>
          <w:rFonts w:ascii="Arial Narrow" w:hAnsi="Arial Narrow" w:cs="Times New Roman"/>
          <w:sz w:val="22"/>
          <w:szCs w:val="22"/>
        </w:rPr>
      </w:pPr>
    </w:p>
    <w:p w:rsidR="00782712" w:rsidRPr="00711ADD" w:rsidP="00782712">
      <w:pPr>
        <w:ind w:firstLine="708"/>
        <w:jc w:val="both"/>
        <w:rPr>
          <w:rFonts w:ascii="Arial Narrow" w:hAnsi="Arial Narrow" w:cs="Times New Roman"/>
          <w:sz w:val="22"/>
          <w:szCs w:val="22"/>
        </w:rPr>
      </w:pPr>
      <w:r>
        <w:rPr>
          <w:rFonts w:ascii="Arial Narrow" w:hAnsi="Arial Narrow" w:cs="Times New Roman"/>
          <w:sz w:val="22"/>
          <w:szCs w:val="22"/>
        </w:rPr>
        <w:t>Významný vplyv na výnos spotrebnej dane z minerálnych olejov má primiešavanie biozložiek do benzínov a nafty. Ročný negatívny dopad na výnos dane sa v roku 2009 odhaduje na úrovni 56 065 tis. eur s postupným nárastom až na 60 911 tis. eur v roku 2011.</w:t>
      </w:r>
    </w:p>
    <w:p w:rsidR="00782712" w:rsidRPr="00DF45EC" w:rsidP="00782712">
      <w:pPr>
        <w:jc w:val="both"/>
        <w:rPr>
          <w:rFonts w:ascii="Arial Narrow" w:hAnsi="Arial Narrow" w:cs="Times New Roman"/>
          <w:sz w:val="22"/>
          <w:szCs w:val="22"/>
          <w:highlight w:val="yellow"/>
        </w:rPr>
      </w:pPr>
    </w:p>
    <w:p w:rsidR="00782712" w:rsidRPr="00DF45EC" w:rsidP="00782712">
      <w:pPr>
        <w:ind w:firstLine="708"/>
        <w:jc w:val="both"/>
        <w:rPr>
          <w:rFonts w:ascii="Arial Narrow" w:hAnsi="Arial Narrow" w:cs="Times New Roman"/>
          <w:sz w:val="22"/>
          <w:szCs w:val="22"/>
        </w:rPr>
      </w:pPr>
      <w:r w:rsidRPr="00DF45EC">
        <w:rPr>
          <w:rFonts w:ascii="Arial Narrow" w:hAnsi="Arial Narrow" w:cs="Times New Roman"/>
          <w:sz w:val="22"/>
          <w:szCs w:val="22"/>
        </w:rPr>
        <w:t xml:space="preserve">Podľa </w:t>
      </w:r>
      <w:r w:rsidRPr="00DF45EC">
        <w:rPr>
          <w:rFonts w:ascii="Arial Narrow" w:hAnsi="Arial Narrow" w:cs="Times New Roman"/>
          <w:b/>
          <w:sz w:val="22"/>
          <w:szCs w:val="22"/>
        </w:rPr>
        <w:t>zákona o miestnych daniach</w:t>
      </w:r>
      <w:r w:rsidRPr="00DF45EC">
        <w:rPr>
          <w:rFonts w:ascii="Arial Narrow" w:hAnsi="Arial Narrow" w:cs="Times New Roman"/>
          <w:sz w:val="22"/>
          <w:szCs w:val="22"/>
        </w:rPr>
        <w:t xml:space="preserve">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motorových vozidiel). Odhad MF SR </w:t>
      </w:r>
      <w:r w:rsidR="00ED1E07">
        <w:rPr>
          <w:rFonts w:ascii="Arial Narrow" w:hAnsi="Arial Narrow" w:cs="Times New Roman"/>
          <w:sz w:val="22"/>
          <w:szCs w:val="22"/>
        </w:rPr>
        <w:t>pri</w:t>
      </w:r>
      <w:r w:rsidRPr="00DF45EC">
        <w:rPr>
          <w:rFonts w:ascii="Arial Narrow" w:hAnsi="Arial Narrow" w:cs="Times New Roman"/>
          <w:sz w:val="22"/>
          <w:szCs w:val="22"/>
        </w:rPr>
        <w:t xml:space="preserve"> týchto dan</w:t>
      </w:r>
      <w:r w:rsidR="00ED1E07">
        <w:rPr>
          <w:rFonts w:ascii="Arial Narrow" w:hAnsi="Arial Narrow" w:cs="Times New Roman"/>
          <w:sz w:val="22"/>
          <w:szCs w:val="22"/>
        </w:rPr>
        <w:t>iach</w:t>
      </w:r>
      <w:r w:rsidRPr="00DF45EC">
        <w:rPr>
          <w:rFonts w:ascii="Arial Narrow" w:hAnsi="Arial Narrow" w:cs="Times New Roman"/>
          <w:sz w:val="22"/>
          <w:szCs w:val="22"/>
        </w:rPr>
        <w:t xml:space="preserve"> je preto len indikatívny, nakoľko subjekty samosprávy</w:t>
      </w:r>
      <w:r w:rsidRPr="00DF45EC">
        <w:rPr>
          <w:rFonts w:ascii="Arial Narrow" w:hAnsi="Arial Narrow" w:cs="Times New Roman"/>
          <w:sz w:val="22"/>
          <w:szCs w:val="22"/>
        </w:rPr>
        <w:t xml:space="preserve"> si zostavujú</w:t>
      </w:r>
      <w:r>
        <w:rPr>
          <w:rFonts w:ascii="Arial Narrow" w:hAnsi="Arial Narrow" w:cs="Times New Roman"/>
          <w:sz w:val="22"/>
          <w:szCs w:val="22"/>
        </w:rPr>
        <w:t xml:space="preserve"> vlastné rozpočty.</w:t>
      </w:r>
    </w:p>
    <w:p w:rsidR="00782712" w:rsidRPr="00DF45EC" w:rsidP="00782712">
      <w:pPr>
        <w:jc w:val="both"/>
        <w:rPr>
          <w:rFonts w:cs="Times New Roman"/>
          <w:color w:val="FF0000"/>
          <w:highlight w:val="yellow"/>
        </w:rPr>
      </w:pPr>
    </w:p>
    <w:p w:rsidR="00782712" w:rsidP="00ED1E07">
      <w:pPr>
        <w:ind w:firstLine="708"/>
        <w:jc w:val="both"/>
        <w:rPr>
          <w:rFonts w:ascii="Arial Narrow" w:hAnsi="Arial Narrow" w:cs="Times New Roman"/>
          <w:sz w:val="22"/>
          <w:szCs w:val="22"/>
        </w:rPr>
      </w:pPr>
      <w:r w:rsidRPr="00DF45EC">
        <w:rPr>
          <w:rFonts w:ascii="Arial Narrow" w:hAnsi="Arial Narrow" w:cs="Times New Roman"/>
          <w:sz w:val="22"/>
          <w:szCs w:val="22"/>
        </w:rPr>
        <w:t xml:space="preserve">Odhad výnosu </w:t>
      </w:r>
      <w:r w:rsidRPr="00DF45EC">
        <w:rPr>
          <w:rFonts w:ascii="Arial Narrow" w:hAnsi="Arial Narrow" w:cs="Times New Roman"/>
          <w:b/>
          <w:sz w:val="22"/>
          <w:szCs w:val="22"/>
        </w:rPr>
        <w:t>ostatných daní</w:t>
      </w:r>
      <w:r w:rsidRPr="00DF45EC">
        <w:rPr>
          <w:rFonts w:ascii="Arial Narrow" w:hAnsi="Arial Narrow" w:cs="Times New Roman"/>
          <w:sz w:val="22"/>
          <w:szCs w:val="22"/>
        </w:rPr>
        <w:t xml:space="preserve"> je tvorený odhadom výnosov z podielu na vybratých finančných prostriedkoch</w:t>
      </w:r>
      <w:r>
        <w:rPr>
          <w:rFonts w:ascii="Arial Narrow" w:hAnsi="Arial Narrow" w:cs="Times New Roman"/>
          <w:sz w:val="22"/>
          <w:szCs w:val="22"/>
        </w:rPr>
        <w:t xml:space="preserve"> EÚ</w:t>
      </w:r>
      <w:r w:rsidRPr="00DF45EC">
        <w:rPr>
          <w:rFonts w:ascii="Arial Narrow" w:hAnsi="Arial Narrow" w:cs="Times New Roman"/>
          <w:sz w:val="22"/>
          <w:szCs w:val="22"/>
        </w:rPr>
        <w:t>, z úhrad za dobývací priestor a z úhrad za uskladňovanie plynov alebo kvapalín. Výnos z podielu na vybratých finančný</w:t>
      </w:r>
      <w:r w:rsidRPr="00DF45EC">
        <w:rPr>
          <w:rFonts w:ascii="Arial Narrow" w:hAnsi="Arial Narrow" w:cs="Times New Roman"/>
          <w:sz w:val="22"/>
          <w:szCs w:val="22"/>
        </w:rPr>
        <w:t>ch prostriedkoch</w:t>
      </w:r>
      <w:r>
        <w:rPr>
          <w:rFonts w:ascii="Arial Narrow" w:hAnsi="Arial Narrow" w:cs="Times New Roman"/>
          <w:sz w:val="22"/>
          <w:szCs w:val="22"/>
        </w:rPr>
        <w:t xml:space="preserve"> EÚ</w:t>
      </w:r>
      <w:r w:rsidRPr="00DF45EC">
        <w:rPr>
          <w:rFonts w:ascii="Arial Narrow" w:hAnsi="Arial Narrow" w:cs="Times New Roman"/>
          <w:sz w:val="22"/>
          <w:szCs w:val="22"/>
        </w:rPr>
        <w:t xml:space="preserve"> je tvorený 25</w:t>
      </w:r>
      <w:r w:rsidR="00ED1E07">
        <w:rPr>
          <w:rFonts w:ascii="Arial Narrow" w:hAnsi="Arial Narrow" w:cs="Times New Roman"/>
          <w:sz w:val="22"/>
          <w:szCs w:val="22"/>
        </w:rPr>
        <w:t xml:space="preserve"> </w:t>
      </w:r>
      <w:r w:rsidRPr="00DF45EC">
        <w:rPr>
          <w:rFonts w:ascii="Arial Narrow" w:hAnsi="Arial Narrow" w:cs="Times New Roman"/>
          <w:sz w:val="22"/>
          <w:szCs w:val="22"/>
        </w:rPr>
        <w:t>% zo sumy vlastných tradičných zdrojov EÚ pripadajúcich na dovozné clo a poľnohospodárske poplatky, ostávajúcich 75</w:t>
      </w:r>
      <w:r w:rsidR="00ED1E07">
        <w:rPr>
          <w:rFonts w:ascii="Arial Narrow" w:hAnsi="Arial Narrow" w:cs="Times New Roman"/>
          <w:sz w:val="22"/>
          <w:szCs w:val="22"/>
        </w:rPr>
        <w:t xml:space="preserve"> </w:t>
      </w:r>
      <w:r w:rsidRPr="00DF45EC">
        <w:rPr>
          <w:rFonts w:ascii="Arial Narrow" w:hAnsi="Arial Narrow" w:cs="Times New Roman"/>
          <w:sz w:val="22"/>
          <w:szCs w:val="22"/>
        </w:rPr>
        <w:t xml:space="preserve">% plynie priamo do rozpočtu EÚ. Prognóza je vypracovaná na základe </w:t>
      </w:r>
      <w:r>
        <w:rPr>
          <w:rFonts w:ascii="Arial Narrow" w:hAnsi="Arial Narrow" w:cs="Times New Roman"/>
          <w:sz w:val="22"/>
          <w:szCs w:val="22"/>
        </w:rPr>
        <w:t>záverov zo 142. zasadnutia Poradného vý</w:t>
      </w:r>
      <w:r>
        <w:rPr>
          <w:rFonts w:ascii="Arial Narrow" w:hAnsi="Arial Narrow" w:cs="Times New Roman"/>
          <w:sz w:val="22"/>
          <w:szCs w:val="22"/>
        </w:rPr>
        <w:t>boru pre vlastné zdroje (ACOR) – „prognózy“ zo 7.</w:t>
      </w:r>
      <w:r w:rsidR="00ED1E07">
        <w:rPr>
          <w:rFonts w:ascii="Arial Narrow" w:hAnsi="Arial Narrow" w:cs="Times New Roman"/>
          <w:sz w:val="22"/>
          <w:szCs w:val="22"/>
        </w:rPr>
        <w:t xml:space="preserve"> </w:t>
      </w:r>
      <w:r>
        <w:rPr>
          <w:rFonts w:ascii="Arial Narrow" w:hAnsi="Arial Narrow" w:cs="Times New Roman"/>
          <w:sz w:val="22"/>
          <w:szCs w:val="22"/>
        </w:rPr>
        <w:t>5.</w:t>
      </w:r>
      <w:r w:rsidR="00ED1E07">
        <w:rPr>
          <w:rFonts w:ascii="Arial Narrow" w:hAnsi="Arial Narrow" w:cs="Times New Roman"/>
          <w:sz w:val="22"/>
          <w:szCs w:val="22"/>
        </w:rPr>
        <w:t xml:space="preserve"> </w:t>
      </w:r>
      <w:r>
        <w:rPr>
          <w:rFonts w:ascii="Arial Narrow" w:hAnsi="Arial Narrow" w:cs="Times New Roman"/>
          <w:sz w:val="22"/>
          <w:szCs w:val="22"/>
        </w:rPr>
        <w:t>2008</w:t>
      </w:r>
      <w:r w:rsidRPr="00DF45EC">
        <w:rPr>
          <w:rFonts w:ascii="Arial Narrow" w:hAnsi="Arial Narrow" w:cs="Times New Roman"/>
          <w:sz w:val="22"/>
          <w:szCs w:val="22"/>
        </w:rPr>
        <w:t>. Výnos dane z úhrad za uskladňovanie plynov alebo kvapalín, ktorý je príjmom Environmentálneho fondu, sa očakáva v rokoch 2008 a</w:t>
      </w:r>
      <w:r>
        <w:rPr>
          <w:rFonts w:ascii="Arial Narrow" w:hAnsi="Arial Narrow" w:cs="Times New Roman"/>
          <w:sz w:val="22"/>
          <w:szCs w:val="22"/>
        </w:rPr>
        <w:t xml:space="preserve"> 2009 vo výške 896 tis. eur a v rokoch 2010 a 2011 vo výške 996 tis. eur. Zvýšenie výnosu v posledných rokoch prognózy súvisí s predpokladaným rozšírením teritórií na uskladňovanie plynov a kvapalín. Novou zložkou ostatných daní je úhrada za služby verejnosti poskytované </w:t>
      </w:r>
      <w:r w:rsidR="00ED1E07">
        <w:rPr>
          <w:rFonts w:ascii="Arial Narrow" w:hAnsi="Arial Narrow" w:cs="Times New Roman"/>
          <w:sz w:val="22"/>
          <w:szCs w:val="22"/>
        </w:rPr>
        <w:t>Slovenskou televíziou</w:t>
      </w:r>
      <w:r>
        <w:rPr>
          <w:rFonts w:ascii="Arial Narrow" w:hAnsi="Arial Narrow" w:cs="Times New Roman"/>
          <w:sz w:val="22"/>
          <w:szCs w:val="22"/>
        </w:rPr>
        <w:t xml:space="preserve"> a</w:t>
      </w:r>
      <w:r w:rsidR="00ED1E07">
        <w:rPr>
          <w:rFonts w:ascii="Arial Narrow" w:hAnsi="Arial Narrow" w:cs="Times New Roman"/>
          <w:sz w:val="22"/>
          <w:szCs w:val="22"/>
        </w:rPr>
        <w:t> </w:t>
      </w:r>
      <w:r>
        <w:rPr>
          <w:rFonts w:ascii="Arial Narrow" w:hAnsi="Arial Narrow" w:cs="Times New Roman"/>
          <w:sz w:val="22"/>
          <w:szCs w:val="22"/>
        </w:rPr>
        <w:t>S</w:t>
      </w:r>
      <w:r w:rsidR="00ED1E07">
        <w:rPr>
          <w:rFonts w:ascii="Arial Narrow" w:hAnsi="Arial Narrow" w:cs="Times New Roman"/>
          <w:sz w:val="22"/>
          <w:szCs w:val="22"/>
        </w:rPr>
        <w:t>lovenským rozhlasom</w:t>
      </w:r>
      <w:r>
        <w:rPr>
          <w:rFonts w:ascii="Arial Narrow" w:hAnsi="Arial Narrow" w:cs="Times New Roman"/>
          <w:sz w:val="22"/>
          <w:szCs w:val="22"/>
        </w:rPr>
        <w:t>. Prognóza tejto dane predpokladá, že v rokoch 2008 a 2009 výnos porastie rýchlejšie z dôvodu nového zákona o úhrade za služby verejnosti poskytované S</w:t>
      </w:r>
      <w:r w:rsidR="00ED1E07">
        <w:rPr>
          <w:rFonts w:ascii="Arial Narrow" w:hAnsi="Arial Narrow" w:cs="Times New Roman"/>
          <w:sz w:val="22"/>
          <w:szCs w:val="22"/>
        </w:rPr>
        <w:t>lovenskou televíziou</w:t>
      </w:r>
      <w:r>
        <w:rPr>
          <w:rFonts w:ascii="Arial Narrow" w:hAnsi="Arial Narrow" w:cs="Times New Roman"/>
          <w:sz w:val="22"/>
          <w:szCs w:val="22"/>
        </w:rPr>
        <w:t xml:space="preserve"> a</w:t>
      </w:r>
      <w:r w:rsidR="00ED1E07">
        <w:rPr>
          <w:rFonts w:ascii="Arial Narrow" w:hAnsi="Arial Narrow" w:cs="Times New Roman"/>
          <w:sz w:val="22"/>
          <w:szCs w:val="22"/>
        </w:rPr>
        <w:t> </w:t>
      </w:r>
      <w:r>
        <w:rPr>
          <w:rFonts w:ascii="Arial Narrow" w:hAnsi="Arial Narrow" w:cs="Times New Roman"/>
          <w:sz w:val="22"/>
          <w:szCs w:val="22"/>
        </w:rPr>
        <w:t>S</w:t>
      </w:r>
      <w:r w:rsidR="00ED1E07">
        <w:rPr>
          <w:rFonts w:ascii="Arial Narrow" w:hAnsi="Arial Narrow" w:cs="Times New Roman"/>
          <w:sz w:val="22"/>
          <w:szCs w:val="22"/>
        </w:rPr>
        <w:t>lovenským rozhlasom</w:t>
      </w:r>
      <w:r>
        <w:rPr>
          <w:rFonts w:ascii="Arial Narrow" w:hAnsi="Arial Narrow" w:cs="Times New Roman"/>
          <w:sz w:val="22"/>
          <w:szCs w:val="22"/>
        </w:rPr>
        <w:t xml:space="preserve"> od 1.</w:t>
      </w:r>
      <w:r w:rsidR="00ED1E07">
        <w:rPr>
          <w:rFonts w:ascii="Arial Narrow" w:hAnsi="Arial Narrow" w:cs="Times New Roman"/>
          <w:sz w:val="22"/>
          <w:szCs w:val="22"/>
        </w:rPr>
        <w:t xml:space="preserve"> </w:t>
      </w:r>
      <w:r>
        <w:rPr>
          <w:rFonts w:ascii="Arial Narrow" w:hAnsi="Arial Narrow" w:cs="Times New Roman"/>
          <w:sz w:val="22"/>
          <w:szCs w:val="22"/>
        </w:rPr>
        <w:t>4.</w:t>
      </w:r>
      <w:r w:rsidR="00ED1E07">
        <w:rPr>
          <w:rFonts w:ascii="Arial Narrow" w:hAnsi="Arial Narrow" w:cs="Times New Roman"/>
          <w:sz w:val="22"/>
          <w:szCs w:val="22"/>
        </w:rPr>
        <w:t xml:space="preserve"> </w:t>
      </w:r>
      <w:r>
        <w:rPr>
          <w:rFonts w:ascii="Arial Narrow" w:hAnsi="Arial Narrow" w:cs="Times New Roman"/>
          <w:sz w:val="22"/>
          <w:szCs w:val="22"/>
        </w:rPr>
        <w:t>2008, ktorý ustanovil, že koncesionárske polatky musí platiť každá fyzická osoba, ktorá je koncovým odberateľom elektriny. V rokoch 2010 a 2011 sa výnos dane bude držať na stabilnej úrovni.</w:t>
      </w:r>
    </w:p>
    <w:p w:rsidR="00782712" w:rsidP="00782712">
      <w:pPr>
        <w:jc w:val="both"/>
        <w:rPr>
          <w:rFonts w:ascii="Arial Narrow" w:hAnsi="Arial Narrow" w:cs="Times New Roman"/>
          <w:sz w:val="22"/>
          <w:szCs w:val="22"/>
        </w:rPr>
      </w:pPr>
    </w:p>
    <w:p w:rsidR="00782712" w:rsidP="00782712">
      <w:pPr>
        <w:ind w:firstLine="708"/>
        <w:jc w:val="both"/>
        <w:rPr>
          <w:rFonts w:ascii="Arial Narrow" w:hAnsi="Arial Narrow" w:cs="Times New Roman"/>
          <w:sz w:val="22"/>
          <w:szCs w:val="22"/>
        </w:rPr>
      </w:pPr>
      <w:r w:rsidRPr="00DF45EC">
        <w:rPr>
          <w:rFonts w:ascii="Arial Narrow" w:hAnsi="Arial Narrow" w:cs="Times New Roman"/>
          <w:sz w:val="22"/>
          <w:szCs w:val="22"/>
        </w:rPr>
        <w:t>Súčasťou ostatných daní sú aj zrušené majetkové dane, z ktorých naďalej plynú dobiehajúce platby d</w:t>
      </w:r>
      <w:r>
        <w:rPr>
          <w:rFonts w:ascii="Arial Narrow" w:hAnsi="Arial Narrow" w:cs="Times New Roman"/>
          <w:sz w:val="22"/>
          <w:szCs w:val="22"/>
        </w:rPr>
        <w:t>o štátneho rozpočtu. V roku 2</w:t>
      </w:r>
      <w:r>
        <w:rPr>
          <w:rFonts w:ascii="Arial Narrow" w:hAnsi="Arial Narrow" w:cs="Times New Roman"/>
          <w:sz w:val="22"/>
          <w:szCs w:val="22"/>
        </w:rPr>
        <w:t>007</w:t>
      </w:r>
      <w:r w:rsidRPr="00DF45EC">
        <w:rPr>
          <w:rFonts w:ascii="Arial Narrow" w:hAnsi="Arial Narrow" w:cs="Times New Roman"/>
          <w:sz w:val="22"/>
          <w:szCs w:val="22"/>
        </w:rPr>
        <w:t xml:space="preserve"> </w:t>
      </w:r>
      <w:r>
        <w:rPr>
          <w:rFonts w:ascii="Arial Narrow" w:hAnsi="Arial Narrow" w:cs="Times New Roman"/>
          <w:sz w:val="22"/>
          <w:szCs w:val="22"/>
        </w:rPr>
        <w:t xml:space="preserve">dosiahol výnos </w:t>
      </w:r>
      <w:r w:rsidRPr="00DF45EC">
        <w:rPr>
          <w:rFonts w:ascii="Arial Narrow" w:hAnsi="Arial Narrow" w:cs="Times New Roman"/>
          <w:sz w:val="22"/>
          <w:szCs w:val="22"/>
        </w:rPr>
        <w:t xml:space="preserve">z týchto daní </w:t>
      </w:r>
      <w:r>
        <w:rPr>
          <w:rFonts w:ascii="Arial Narrow" w:hAnsi="Arial Narrow" w:cs="Times New Roman"/>
          <w:sz w:val="22"/>
          <w:szCs w:val="22"/>
        </w:rPr>
        <w:t xml:space="preserve">1 064 tis. eur a ku koncu augusta 2008 </w:t>
      </w:r>
      <w:r w:rsidRPr="0024598E">
        <w:rPr>
          <w:rFonts w:ascii="Arial Narrow" w:hAnsi="Arial Narrow" w:cs="Times New Roman"/>
          <w:sz w:val="22"/>
          <w:szCs w:val="22"/>
        </w:rPr>
        <w:t>bol 674 tis</w:t>
      </w:r>
      <w:r>
        <w:rPr>
          <w:rFonts w:ascii="Arial Narrow" w:hAnsi="Arial Narrow" w:cs="Times New Roman"/>
          <w:sz w:val="22"/>
          <w:szCs w:val="22"/>
        </w:rPr>
        <w:t xml:space="preserve">. eur. </w:t>
      </w:r>
      <w:r w:rsidRPr="00DF45EC">
        <w:rPr>
          <w:rFonts w:ascii="Arial Narrow" w:hAnsi="Arial Narrow" w:cs="Times New Roman"/>
          <w:sz w:val="22"/>
          <w:szCs w:val="22"/>
        </w:rPr>
        <w:t>V nasledujúcich rokoch sa už s výnosom z týchto daní pre rozpočet neuvažuje.</w:t>
      </w:r>
    </w:p>
    <w:p w:rsidR="00782712" w:rsidP="00782712">
      <w:pPr>
        <w:jc w:val="both"/>
        <w:outlineLvl w:val="0"/>
        <w:rPr>
          <w:rFonts w:ascii="Arial Narrow" w:hAnsi="Arial Narrow" w:cs="Times New Roman"/>
          <w:b/>
          <w:bCs/>
        </w:rPr>
      </w:pPr>
    </w:p>
    <w:p w:rsidR="00782712" w:rsidRPr="00DF45EC" w:rsidP="00CC0A61">
      <w:pPr>
        <w:jc w:val="both"/>
        <w:rPr>
          <w:rFonts w:ascii="Arial Narrow" w:hAnsi="Arial Narrow" w:cs="Times New Roman"/>
          <w:b/>
          <w:bCs/>
        </w:rPr>
      </w:pPr>
      <w:r w:rsidRPr="00DF45EC">
        <w:rPr>
          <w:rFonts w:ascii="Arial Narrow" w:hAnsi="Arial Narrow" w:cs="Times New Roman"/>
          <w:b/>
          <w:bCs/>
        </w:rPr>
        <w:t>Kvantifikácia daňových príjmov</w:t>
      </w:r>
    </w:p>
    <w:p w:rsidR="00782712" w:rsidRPr="00DF45EC" w:rsidP="00782712">
      <w:pPr>
        <w:jc w:val="both"/>
        <w:rPr>
          <w:rFonts w:cs="Times New Roman"/>
          <w:b/>
          <w:bCs/>
          <w:sz w:val="28"/>
          <w:szCs w:val="28"/>
          <w:highlight w:val="yellow"/>
        </w:rPr>
      </w:pPr>
    </w:p>
    <w:p w:rsidR="00782712" w:rsidRPr="00DF45EC" w:rsidP="00CC0A61">
      <w:pPr>
        <w:ind w:firstLine="708"/>
        <w:jc w:val="both"/>
        <w:rPr>
          <w:rFonts w:ascii="Arial Narrow" w:hAnsi="Arial Narrow" w:cs="Times New Roman"/>
          <w:sz w:val="22"/>
          <w:szCs w:val="22"/>
        </w:rPr>
      </w:pPr>
      <w:r w:rsidRPr="00ED0E8D">
        <w:rPr>
          <w:rFonts w:ascii="Arial Narrow" w:hAnsi="Arial Narrow" w:cs="Times New Roman"/>
          <w:sz w:val="22"/>
          <w:szCs w:val="22"/>
        </w:rPr>
        <w:t xml:space="preserve">Medzi </w:t>
      </w:r>
      <w:r w:rsidRPr="00ED0E8D">
        <w:rPr>
          <w:rFonts w:ascii="Arial Narrow" w:hAnsi="Arial Narrow" w:cs="Times New Roman"/>
          <w:b/>
          <w:sz w:val="22"/>
          <w:szCs w:val="22"/>
        </w:rPr>
        <w:t>hlavné riziká prognózy</w:t>
      </w:r>
      <w:r w:rsidRPr="00ED0E8D">
        <w:rPr>
          <w:rFonts w:ascii="Arial Narrow" w:hAnsi="Arial Narrow" w:cs="Times New Roman"/>
          <w:sz w:val="22"/>
          <w:szCs w:val="22"/>
        </w:rPr>
        <w:t xml:space="preserve"> patrí dopad globálnej finančnej krízy na samotný makroekonomický vývoj a následné premietnutie negatívnych vplyvov do výnosu daňových príjmov. Okrem toho je rizikom aj ziskovosť</w:t>
      </w:r>
      <w:r w:rsidRPr="00DF45EC">
        <w:rPr>
          <w:rFonts w:ascii="Arial Narrow" w:hAnsi="Arial Narrow" w:cs="Times New Roman"/>
          <w:sz w:val="22"/>
          <w:szCs w:val="22"/>
        </w:rPr>
        <w:t xml:space="preserve"> podnikov</w:t>
      </w:r>
      <w:r>
        <w:rPr>
          <w:rFonts w:ascii="Arial Narrow" w:hAnsi="Arial Narrow" w:cs="Times New Roman"/>
          <w:sz w:val="22"/>
          <w:szCs w:val="22"/>
        </w:rPr>
        <w:t xml:space="preserve"> a </w:t>
      </w:r>
      <w:r w:rsidRPr="00DF45EC">
        <w:rPr>
          <w:rFonts w:ascii="Arial Narrow" w:hAnsi="Arial Narrow" w:cs="Times New Roman"/>
          <w:sz w:val="22"/>
          <w:szCs w:val="22"/>
        </w:rPr>
        <w:t>cena ropy</w:t>
      </w:r>
      <w:r>
        <w:rPr>
          <w:rFonts w:ascii="Arial Narrow" w:hAnsi="Arial Narrow" w:cs="Times New Roman"/>
          <w:sz w:val="22"/>
          <w:szCs w:val="22"/>
        </w:rPr>
        <w:t xml:space="preserve">. </w:t>
      </w:r>
      <w:r w:rsidRPr="00DF45EC">
        <w:rPr>
          <w:rFonts w:ascii="Arial Narrow" w:hAnsi="Arial Narrow" w:cs="Times New Roman"/>
          <w:sz w:val="22"/>
          <w:szCs w:val="22"/>
        </w:rPr>
        <w:t>Tradične veľmi volatilná a najťažšie predikovateľná je daň z príjmov právnických os</w:t>
      </w:r>
      <w:r w:rsidRPr="00DF45EC">
        <w:rPr>
          <w:rFonts w:ascii="Arial Narrow" w:hAnsi="Arial Narrow" w:cs="Times New Roman"/>
          <w:sz w:val="22"/>
          <w:szCs w:val="22"/>
        </w:rPr>
        <w:t xml:space="preserve">ôb, </w:t>
      </w:r>
      <w:r w:rsidR="00ED1E07">
        <w:rPr>
          <w:rFonts w:ascii="Arial Narrow" w:hAnsi="Arial Narrow" w:cs="Times New Roman"/>
          <w:sz w:val="22"/>
          <w:szCs w:val="22"/>
        </w:rPr>
        <w:t>pri</w:t>
      </w:r>
      <w:r w:rsidRPr="00DF45EC">
        <w:rPr>
          <w:rFonts w:ascii="Arial Narrow" w:hAnsi="Arial Narrow" w:cs="Times New Roman"/>
          <w:sz w:val="22"/>
          <w:szCs w:val="22"/>
        </w:rPr>
        <w:t xml:space="preserve"> ktorej je riziko odhadu najvyššie. </w:t>
      </w:r>
      <w:r>
        <w:rPr>
          <w:rFonts w:ascii="Arial Narrow" w:hAnsi="Arial Narrow" w:cs="Times New Roman"/>
          <w:sz w:val="22"/>
          <w:szCs w:val="22"/>
        </w:rPr>
        <w:t xml:space="preserve">V roku 2008 sa môže na ziskovosti podnikov prejaviť relatívne rýchla apreciácia slovenskej koruny, čo by následne mohlo viesť k zníženiu výnosu DPPO. </w:t>
      </w:r>
      <w:r w:rsidRPr="00DF45EC">
        <w:rPr>
          <w:rFonts w:ascii="Arial Narrow" w:hAnsi="Arial Narrow" w:cs="Times New Roman"/>
          <w:sz w:val="22"/>
          <w:szCs w:val="22"/>
        </w:rPr>
        <w:t xml:space="preserve">Aj keď sa zatiaľ vysoké ceny ropy </w:t>
      </w:r>
      <w:r>
        <w:rPr>
          <w:rFonts w:ascii="Arial Narrow" w:hAnsi="Arial Narrow" w:cs="Times New Roman"/>
          <w:sz w:val="22"/>
          <w:szCs w:val="22"/>
        </w:rPr>
        <w:t>negatívne neprejavili v spotr</w:t>
      </w:r>
      <w:r>
        <w:rPr>
          <w:rFonts w:ascii="Arial Narrow" w:hAnsi="Arial Narrow" w:cs="Times New Roman"/>
          <w:sz w:val="22"/>
          <w:szCs w:val="22"/>
        </w:rPr>
        <w:t>ebe pohonných látok</w:t>
      </w:r>
      <w:r w:rsidRPr="00DF45EC">
        <w:rPr>
          <w:rFonts w:ascii="Arial Narrow" w:hAnsi="Arial Narrow" w:cs="Times New Roman"/>
          <w:sz w:val="22"/>
          <w:szCs w:val="22"/>
        </w:rPr>
        <w:t xml:space="preserve">, ďalšie zvýšenie cien na medzinárodných trhoch sa môže premietnuť do ďalšieho rastu cien benzínov a motorovej nafty. To by mohlo následne znížiť spotrebu týchto produktov, čo by malo negatívny vplyv na výnos dane z minerálnych olejov a DPH. V prípade výrazného zvýšenia cien ropy by však mohli mať sekundárne efekty v podobe spomalenia ekonomického rastu oveľa vážnejšie dopady na príjmovú i výdavkovú stranu rozpočtu. </w:t>
      </w:r>
      <w:r>
        <w:rPr>
          <w:rFonts w:ascii="Arial Narrow" w:hAnsi="Arial Narrow" w:cs="Times New Roman"/>
          <w:sz w:val="22"/>
          <w:szCs w:val="22"/>
        </w:rPr>
        <w:t>Vzhľadom na zákonné obmedzenie dopredaja cigariet zdanených sadzbami plat</w:t>
      </w:r>
      <w:r>
        <w:rPr>
          <w:rFonts w:ascii="Arial Narrow" w:hAnsi="Arial Narrow" w:cs="Times New Roman"/>
          <w:sz w:val="22"/>
          <w:szCs w:val="22"/>
        </w:rPr>
        <w:t>nými do 1.</w:t>
      </w:r>
      <w:r w:rsidR="00ED1E07">
        <w:rPr>
          <w:rFonts w:ascii="Arial Narrow" w:hAnsi="Arial Narrow" w:cs="Times New Roman"/>
          <w:sz w:val="22"/>
          <w:szCs w:val="22"/>
        </w:rPr>
        <w:t xml:space="preserve"> </w:t>
      </w:r>
      <w:r>
        <w:rPr>
          <w:rFonts w:ascii="Arial Narrow" w:hAnsi="Arial Narrow" w:cs="Times New Roman"/>
          <w:sz w:val="22"/>
          <w:szCs w:val="22"/>
        </w:rPr>
        <w:t>2.</w:t>
      </w:r>
      <w:r w:rsidR="00ED1E07">
        <w:rPr>
          <w:rFonts w:ascii="Arial Narrow" w:hAnsi="Arial Narrow" w:cs="Times New Roman"/>
          <w:sz w:val="22"/>
          <w:szCs w:val="22"/>
        </w:rPr>
        <w:t xml:space="preserve"> </w:t>
      </w:r>
      <w:r>
        <w:rPr>
          <w:rFonts w:ascii="Arial Narrow" w:hAnsi="Arial Narrow" w:cs="Times New Roman"/>
          <w:sz w:val="22"/>
          <w:szCs w:val="22"/>
        </w:rPr>
        <w:t>2009 sa riziko dopadu predzásobenia značne znížilo. R</w:t>
      </w:r>
      <w:r w:rsidRPr="00DF45EC">
        <w:rPr>
          <w:rFonts w:ascii="Arial Narrow" w:hAnsi="Arial Narrow" w:cs="Times New Roman"/>
          <w:sz w:val="22"/>
          <w:szCs w:val="22"/>
        </w:rPr>
        <w:t>iziko</w:t>
      </w:r>
      <w:r>
        <w:rPr>
          <w:rFonts w:ascii="Arial Narrow" w:hAnsi="Arial Narrow" w:cs="Times New Roman"/>
          <w:sz w:val="22"/>
          <w:szCs w:val="22"/>
        </w:rPr>
        <w:t xml:space="preserve"> vyplývajúce z </w:t>
      </w:r>
      <w:r w:rsidRPr="00DF45EC">
        <w:rPr>
          <w:rFonts w:ascii="Arial Narrow" w:hAnsi="Arial Narrow" w:cs="Times New Roman"/>
          <w:sz w:val="22"/>
          <w:szCs w:val="22"/>
        </w:rPr>
        <w:t>výraznejšie</w:t>
      </w:r>
      <w:r>
        <w:rPr>
          <w:rFonts w:ascii="Arial Narrow" w:hAnsi="Arial Narrow" w:cs="Times New Roman"/>
          <w:sz w:val="22"/>
          <w:szCs w:val="22"/>
        </w:rPr>
        <w:t>ho používania biozložiek v benzíne a nafte</w:t>
      </w:r>
      <w:r w:rsidRPr="00DF45EC">
        <w:rPr>
          <w:rFonts w:ascii="Arial Narrow" w:hAnsi="Arial Narrow" w:cs="Times New Roman"/>
          <w:sz w:val="22"/>
          <w:szCs w:val="22"/>
        </w:rPr>
        <w:t>, ktoré sú daňovo zvýhodnené a znižujú výnos spotrebných daní</w:t>
      </w:r>
      <w:r>
        <w:rPr>
          <w:rFonts w:ascii="Arial Narrow" w:hAnsi="Arial Narrow" w:cs="Times New Roman"/>
          <w:sz w:val="22"/>
          <w:szCs w:val="22"/>
        </w:rPr>
        <w:t>, bolo v aktuálnej prognóze minimalizované. Avšak legislatívne úpravy najmä v oblasti technických noriem, ktoré by nanovo definovali podmienky používania biopalív môžu spôsobiť dodatočný výpadok. Negatívny dopad môže mať aj väčšie využívanie možnosti zasielania 2</w:t>
      </w:r>
      <w:r w:rsidR="00ED1E07">
        <w:rPr>
          <w:rFonts w:ascii="Arial Narrow" w:hAnsi="Arial Narrow" w:cs="Times New Roman"/>
          <w:sz w:val="22"/>
          <w:szCs w:val="22"/>
        </w:rPr>
        <w:t xml:space="preserve"> </w:t>
      </w:r>
      <w:r>
        <w:rPr>
          <w:rFonts w:ascii="Arial Narrow" w:hAnsi="Arial Narrow" w:cs="Times New Roman"/>
          <w:sz w:val="22"/>
          <w:szCs w:val="22"/>
        </w:rPr>
        <w:t>% daní na verejnoprospešný účel. Maximálny vplyv prevodu prostriedkov môže v roku 2009 dosiahnuť úroveň až 76 346 tis. eur, čo je oproti prognózovanej hodnote viac o 21 941 tis. eur.</w:t>
      </w:r>
    </w:p>
    <w:p w:rsidR="00782712" w:rsidRPr="00DF45EC" w:rsidP="00782712">
      <w:pPr>
        <w:ind w:firstLine="708"/>
        <w:jc w:val="both"/>
        <w:rPr>
          <w:rFonts w:cs="Times New Roman"/>
        </w:rPr>
      </w:pPr>
    </w:p>
    <w:p w:rsidR="00782712" w:rsidP="00CC0A61">
      <w:pPr>
        <w:ind w:firstLine="708"/>
        <w:jc w:val="both"/>
        <w:rPr>
          <w:rFonts w:ascii="Arial Narrow" w:hAnsi="Arial Narrow" w:cs="Times New Roman"/>
          <w:sz w:val="22"/>
          <w:szCs w:val="22"/>
        </w:rPr>
      </w:pPr>
      <w:r w:rsidRPr="00DF45EC">
        <w:rPr>
          <w:rFonts w:ascii="Arial Narrow" w:hAnsi="Arial Narrow" w:cs="Times New Roman"/>
          <w:b/>
          <w:bCs/>
          <w:sz w:val="22"/>
          <w:szCs w:val="22"/>
        </w:rPr>
        <w:t>Daňové príjmy na hotovostnej báze</w:t>
      </w:r>
      <w:r w:rsidRPr="00DF45EC">
        <w:rPr>
          <w:rFonts w:ascii="Arial Narrow" w:hAnsi="Arial Narrow" w:cs="Times New Roman"/>
          <w:sz w:val="22"/>
          <w:szCs w:val="22"/>
        </w:rPr>
        <w:t xml:space="preserve"> sú prezentované v nasledovnej tabuľke. Podľa rozpočtovej klasifikácie sa sankčné úroky (ďalej len sankcie) uložené v daňovom konaní k jednotlivým daniam rozpočtujú v rámci samostatnej kategórie. Tabuľka prezentuje výnosy jednotlivých daní </w:t>
      </w:r>
      <w:r w:rsidRPr="0087604E">
        <w:rPr>
          <w:rFonts w:ascii="Arial Narrow" w:hAnsi="Arial Narrow" w:cs="Times New Roman"/>
          <w:b/>
          <w:sz w:val="22"/>
          <w:szCs w:val="22"/>
        </w:rPr>
        <w:t>bez sankcií</w:t>
      </w:r>
      <w:r w:rsidRPr="00DF45EC">
        <w:rPr>
          <w:rFonts w:ascii="Arial Narrow" w:hAnsi="Arial Narrow" w:cs="Times New Roman"/>
          <w:sz w:val="22"/>
          <w:szCs w:val="22"/>
        </w:rPr>
        <w:t>, pričom v súlade s rozpočtovou klasifikáciou je predpokladaná výška sankcií k jednotlivým daniam uvedená v osobitnej tabuľke.</w:t>
      </w: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0F4890" w:rsidP="00782712">
      <w:pPr>
        <w:ind w:firstLine="708"/>
        <w:jc w:val="both"/>
        <w:outlineLvl w:val="0"/>
        <w:rPr>
          <w:rFonts w:ascii="Arial Narrow" w:hAnsi="Arial Narrow" w:cs="Times New Roman"/>
          <w:sz w:val="22"/>
          <w:szCs w:val="22"/>
        </w:rPr>
      </w:pPr>
    </w:p>
    <w:p w:rsidR="00F9234E" w:rsidP="00782712">
      <w:pPr>
        <w:ind w:firstLine="708"/>
        <w:jc w:val="both"/>
        <w:outlineLvl w:val="0"/>
        <w:rPr>
          <w:rFonts w:ascii="Arial Narrow" w:hAnsi="Arial Narrow" w:cs="Times New Roman"/>
          <w:sz w:val="22"/>
          <w:szCs w:val="22"/>
        </w:rPr>
      </w:pPr>
    </w:p>
    <w:tbl>
      <w:tblPr>
        <w:tblW w:w="9072" w:type="dxa"/>
        <w:jc w:val="center"/>
        <w:tblCellMar>
          <w:left w:w="70" w:type="dxa"/>
          <w:right w:w="70" w:type="dxa"/>
        </w:tblCellMar>
      </w:tblPr>
      <w:tblGrid>
        <w:gridCol w:w="4159"/>
        <w:gridCol w:w="1011"/>
        <w:gridCol w:w="976"/>
        <w:gridCol w:w="976"/>
        <w:gridCol w:w="976"/>
        <w:gridCol w:w="974"/>
      </w:tblGrid>
      <w:tr>
        <w:tblPrEx>
          <w:tblW w:w="9072" w:type="dxa"/>
          <w:jc w:val="center"/>
          <w:tblCellMar>
            <w:left w:w="70" w:type="dxa"/>
            <w:right w:w="70" w:type="dxa"/>
          </w:tblCellMar>
        </w:tblPrEx>
        <w:trPr>
          <w:trHeight w:val="282"/>
          <w:jc w:val="center"/>
        </w:trPr>
        <w:tc>
          <w:tcPr>
            <w:tcW w:w="2292" w:type="pct"/>
            <w:vMerge w:val="restart"/>
            <w:tcBorders>
              <w:top w:val="single" w:sz="12" w:space="0" w:color="auto"/>
              <w:left w:val="single" w:sz="12" w:space="0" w:color="auto"/>
              <w:bottom w:val="single" w:sz="8" w:space="0" w:color="000000"/>
              <w:right w:val="single" w:sz="12"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v tis. eur</w:t>
            </w:r>
          </w:p>
        </w:tc>
        <w:tc>
          <w:tcPr>
            <w:tcW w:w="557" w:type="pct"/>
            <w:tcBorders>
              <w:top w:val="single" w:sz="12" w:space="0" w:color="auto"/>
              <w:left w:val="single" w:sz="12" w:space="0" w:color="auto"/>
              <w:bottom w:val="nil"/>
              <w:right w:val="single" w:sz="8"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S</w:t>
            </w:r>
            <w:r w:rsidRPr="00DF45EC">
              <w:rPr>
                <w:rFonts w:ascii="Arial Narrow" w:hAnsi="Arial Narrow" w:cs="Times New Roman"/>
                <w:b/>
                <w:bCs/>
                <w:sz w:val="18"/>
                <w:szCs w:val="18"/>
              </w:rPr>
              <w:t>kut</w:t>
            </w:r>
            <w:r>
              <w:rPr>
                <w:rFonts w:ascii="Arial Narrow" w:hAnsi="Arial Narrow" w:cs="Times New Roman"/>
                <w:b/>
                <w:bCs/>
                <w:sz w:val="18"/>
                <w:szCs w:val="18"/>
              </w:rPr>
              <w:t>očnosť</w:t>
            </w:r>
          </w:p>
        </w:tc>
        <w:tc>
          <w:tcPr>
            <w:tcW w:w="538" w:type="pct"/>
            <w:tcBorders>
              <w:top w:val="single" w:sz="12" w:space="0" w:color="auto"/>
              <w:left w:val="nil"/>
              <w:bottom w:val="nil"/>
              <w:right w:val="single" w:sz="8"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Odhad</w:t>
            </w:r>
          </w:p>
        </w:tc>
        <w:tc>
          <w:tcPr>
            <w:tcW w:w="1613" w:type="pct"/>
            <w:gridSpan w:val="3"/>
            <w:tcBorders>
              <w:top w:val="single" w:sz="12" w:space="0" w:color="auto"/>
              <w:left w:val="single" w:sz="8" w:space="0" w:color="auto"/>
              <w:bottom w:val="single" w:sz="4" w:space="0" w:color="auto"/>
              <w:right w:val="single" w:sz="12" w:space="0" w:color="auto"/>
              <w:tl2br w:val="nil"/>
              <w:tr2bl w:val="nil"/>
            </w:tcBorders>
            <w:shd w:val="clear" w:color="auto" w:fill="00000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Prognóza</w:t>
            </w:r>
          </w:p>
        </w:tc>
      </w:tr>
      <w:tr>
        <w:tblPrEx>
          <w:tblW w:w="9072" w:type="dxa"/>
          <w:jc w:val="center"/>
          <w:tblCellMar>
            <w:left w:w="70" w:type="dxa"/>
            <w:right w:w="70" w:type="dxa"/>
          </w:tblCellMar>
        </w:tblPrEx>
        <w:trPr>
          <w:trHeight w:val="282"/>
          <w:jc w:val="center"/>
        </w:trPr>
        <w:tc>
          <w:tcPr>
            <w:tcW w:w="2292" w:type="pct"/>
            <w:vMerge/>
            <w:tcBorders>
              <w:top w:val="single" w:sz="8" w:space="0" w:color="auto"/>
              <w:left w:val="single" w:sz="12" w:space="0" w:color="auto"/>
              <w:bottom w:val="single" w:sz="4" w:space="0" w:color="auto"/>
              <w:right w:val="single" w:sz="12" w:space="0" w:color="auto"/>
              <w:tl2br w:val="nil"/>
              <w:tr2bl w:val="nil"/>
            </w:tcBorders>
            <w:textDirection w:val="lrTb"/>
            <w:vAlign w:val="center"/>
          </w:tcPr>
          <w:p w:rsidR="00782712" w:rsidRPr="00DF45EC" w:rsidP="00782712">
            <w:pPr>
              <w:rPr>
                <w:rFonts w:ascii="Arial Narrow" w:hAnsi="Arial Narrow" w:cs="Times New Roman"/>
                <w:b/>
                <w:bCs/>
                <w:sz w:val="18"/>
                <w:szCs w:val="18"/>
              </w:rPr>
            </w:pPr>
          </w:p>
        </w:tc>
        <w:tc>
          <w:tcPr>
            <w:tcW w:w="557" w:type="pct"/>
            <w:tcBorders>
              <w:top w:val="nil"/>
              <w:left w:val="single" w:sz="12" w:space="0" w:color="auto"/>
              <w:bottom w:val="single" w:sz="4" w:space="0" w:color="auto"/>
              <w:right w:val="single" w:sz="8" w:space="0" w:color="auto"/>
              <w:tl2br w:val="nil"/>
              <w:tr2bl w:val="nil"/>
            </w:tcBorders>
            <w:shd w:val="clear" w:color="auto" w:fill="00000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2007</w:t>
            </w:r>
          </w:p>
        </w:tc>
        <w:tc>
          <w:tcPr>
            <w:tcW w:w="538" w:type="pct"/>
            <w:tcBorders>
              <w:top w:val="nil"/>
              <w:left w:val="nil"/>
              <w:bottom w:val="single" w:sz="4" w:space="0" w:color="auto"/>
              <w:right w:val="single" w:sz="4"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2008</w:t>
            </w:r>
          </w:p>
        </w:tc>
        <w:tc>
          <w:tcPr>
            <w:tcW w:w="538" w:type="pct"/>
            <w:tcBorders>
              <w:top w:val="nil"/>
              <w:left w:val="nil"/>
              <w:bottom w:val="single" w:sz="4" w:space="0" w:color="auto"/>
              <w:right w:val="single" w:sz="4"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2009</w:t>
            </w:r>
          </w:p>
        </w:tc>
        <w:tc>
          <w:tcPr>
            <w:tcW w:w="538" w:type="pct"/>
            <w:tcBorders>
              <w:top w:val="nil"/>
              <w:left w:val="nil"/>
              <w:bottom w:val="single" w:sz="4" w:space="0" w:color="auto"/>
              <w:right w:val="single" w:sz="4"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2010</w:t>
            </w:r>
          </w:p>
        </w:tc>
        <w:tc>
          <w:tcPr>
            <w:tcW w:w="537" w:type="pct"/>
            <w:tcBorders>
              <w:top w:val="nil"/>
              <w:left w:val="nil"/>
              <w:bottom w:val="single" w:sz="4" w:space="0" w:color="auto"/>
              <w:right w:val="single" w:sz="12"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2011</w:t>
            </w:r>
          </w:p>
        </w:tc>
      </w:tr>
      <w:tr>
        <w:tblPrEx>
          <w:tblW w:w="9072" w:type="dxa"/>
          <w:jc w:val="center"/>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z príjmov, ziskov a kapitálového majetku</w:t>
            </w:r>
          </w:p>
        </w:tc>
        <w:tc>
          <w:tcPr>
            <w:tcW w:w="557" w:type="pct"/>
            <w:tcBorders>
              <w:top w:val="single" w:sz="4" w:space="0" w:color="auto"/>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3 464 583</w:t>
            </w:r>
          </w:p>
        </w:tc>
        <w:tc>
          <w:tcPr>
            <w:tcW w:w="538" w:type="pct"/>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4 132 793</w:t>
            </w:r>
          </w:p>
        </w:tc>
        <w:tc>
          <w:tcPr>
            <w:tcW w:w="538" w:type="pct"/>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4 675 837</w:t>
            </w:r>
          </w:p>
        </w:tc>
        <w:tc>
          <w:tcPr>
            <w:tcW w:w="538" w:type="pct"/>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5 030 179</w:t>
            </w:r>
          </w:p>
        </w:tc>
        <w:tc>
          <w:tcPr>
            <w:tcW w:w="537" w:type="pct"/>
            <w:tcBorders>
              <w:top w:val="single" w:sz="4" w:space="0" w:color="auto"/>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5 518 885</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príjmov</w:t>
            </w:r>
            <w:r w:rsidRPr="00DF45EC">
              <w:rPr>
                <w:rFonts w:ascii="Arial Narrow" w:hAnsi="Arial Narrow" w:cs="Times New Roman"/>
                <w:sz w:val="18"/>
                <w:szCs w:val="18"/>
              </w:rPr>
              <w:t xml:space="preserve"> fyzických osôb</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1 538 858</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1 829 618</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2 029 931</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2 207 088</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2 440 480</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DPFO zo závislej činnosti</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1 369 189</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1 619 467</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1 806 005</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1 970 946</w:t>
            </w:r>
          </w:p>
        </w:tc>
        <w:tc>
          <w:tcPr>
            <w:tcW w:w="537" w:type="pct"/>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2 189 401</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 xml:space="preserve">DPFO z  podnikania </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169 668</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210 151</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223 926</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236 142</w:t>
            </w:r>
          </w:p>
        </w:tc>
        <w:tc>
          <w:tcPr>
            <w:tcW w:w="537" w:type="pct"/>
            <w:tcBorders>
              <w:top w:val="single" w:sz="12"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251 079</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štátneho rozpočtu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109 418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113 437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125 856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136 8</w:t>
            </w:r>
            <w:r>
              <w:rPr>
                <w:rFonts w:ascii="Arial Narrow" w:hAnsi="Arial Narrow" w:cs="Times New Roman"/>
                <w:sz w:val="18"/>
                <w:szCs w:val="18"/>
              </w:rPr>
              <w:t>39</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151 310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8C5F17" w:rsidP="00782712">
            <w:pPr>
              <w:ind w:firstLine="1080"/>
              <w:rPr>
                <w:rFonts w:ascii="Arial Narrow" w:hAnsi="Arial Narrow" w:cs="Times New Roman"/>
                <w:sz w:val="18"/>
                <w:szCs w:val="18"/>
              </w:rPr>
            </w:pPr>
            <w:r w:rsidRPr="008C5F17">
              <w:rPr>
                <w:rFonts w:ascii="Arial Narrow" w:hAnsi="Arial Narrow" w:cs="Times New Roman"/>
                <w:sz w:val="18"/>
                <w:szCs w:val="18"/>
              </w:rPr>
              <w:t xml:space="preserve">do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1 071 064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1 286 221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1 427 041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1 551 583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1 715 657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8C5F17" w:rsidP="00782712">
            <w:pPr>
              <w:ind w:firstLine="1080"/>
              <w:rPr>
                <w:rFonts w:ascii="Arial Narrow" w:hAnsi="Arial Narrow" w:cs="Times New Roman"/>
                <w:sz w:val="18"/>
                <w:szCs w:val="18"/>
              </w:rPr>
            </w:pPr>
            <w:r w:rsidRPr="008C5F17">
              <w:rPr>
                <w:rFonts w:ascii="Arial Narrow" w:hAnsi="Arial Narrow" w:cs="Times New Roman"/>
                <w:sz w:val="18"/>
                <w:szCs w:val="18"/>
              </w:rPr>
              <w:t xml:space="preserve">do VÚC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358 375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429 960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477 034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518 666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573 513</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príjmov právnických osôb</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1 736 710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2 104 443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2 436 054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2 598 966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2 848 537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príjmov vyberaná zrážkou</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189 016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198 732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209 85</w:t>
            </w:r>
            <w:r>
              <w:rPr>
                <w:rFonts w:ascii="Arial Narrow" w:hAnsi="Arial Narrow" w:cs="Times New Roman"/>
                <w:sz w:val="18"/>
                <w:szCs w:val="18"/>
              </w:rPr>
              <w:t>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224 125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229 868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na tovary a služby</w:t>
            </w:r>
          </w:p>
        </w:tc>
        <w:tc>
          <w:tcPr>
            <w:tcW w:w="557" w:type="pct"/>
            <w:tcBorders>
              <w:top w:val="nil"/>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6 469 376</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6 564 609</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7 168 165</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7 702 006</w:t>
            </w:r>
          </w:p>
        </w:tc>
        <w:tc>
          <w:tcPr>
            <w:tcW w:w="537" w:type="pct"/>
            <w:tcBorders>
              <w:top w:val="nil"/>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8 211 587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pridanej hodnoty</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4 494 765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4 691 429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5 071 201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5 459 205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5 901 348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Spotrebné dane</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1 974 611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1 873 180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2 096 964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2 242 801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2 310 239</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minerálnych olejov</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w:t>
            </w:r>
            <w:r>
              <w:rPr>
                <w:rFonts w:ascii="Arial Narrow" w:hAnsi="Arial Narrow" w:cs="Times New Roman"/>
                <w:sz w:val="18"/>
                <w:szCs w:val="18"/>
              </w:rPr>
              <w:t xml:space="preserve"> 123 198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1 175 497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1 212 569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1 263 234</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1 312 680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liehu</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195 796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218 396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215 644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220 216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224 664</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piva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70 276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64 031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67 476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69 514</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71 474</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vína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3 669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tabaku a tabakových výrobkov</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581 672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399 688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568 280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629 324</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639 381</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elektrickej energie</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3 651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9 062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18 755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19 319</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Zo zemného plynu</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6 772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16 763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34 555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35 484</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uhlia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1 427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3 452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3 485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3 519</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z medzinárodného obchodu a transakcií</w:t>
            </w:r>
          </w:p>
        </w:tc>
        <w:tc>
          <w:tcPr>
            <w:tcW w:w="557" w:type="pct"/>
            <w:tcBorders>
              <w:top w:val="nil"/>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33 821</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38 842</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39 629</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40 501</w:t>
            </w:r>
          </w:p>
        </w:tc>
        <w:tc>
          <w:tcPr>
            <w:tcW w:w="537" w:type="pct"/>
            <w:tcBorders>
              <w:top w:val="nil"/>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41 392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Dovozné clo</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Dovozná prirá</w:t>
            </w:r>
            <w:r w:rsidRPr="00DF45EC">
              <w:rPr>
                <w:rFonts w:ascii="Arial Narrow" w:hAnsi="Arial Narrow" w:cs="Times New Roman"/>
                <w:sz w:val="18"/>
                <w:szCs w:val="18"/>
              </w:rPr>
              <w:t>žka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272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Podiel na vybratých finančných prostriedkoch</w:t>
            </w:r>
            <w:r>
              <w:rPr>
                <w:rFonts w:ascii="Arial Narrow" w:hAnsi="Arial Narrow" w:cs="Times New Roman"/>
                <w:sz w:val="18"/>
                <w:szCs w:val="18"/>
              </w:rPr>
              <w:t xml:space="preserve"> EÚ</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33 110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38 776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39 629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40 501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41 392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Ostatné colné príjmy</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Miestne dane</w:t>
            </w:r>
          </w:p>
        </w:tc>
        <w:tc>
          <w:tcPr>
            <w:tcW w:w="557" w:type="pct"/>
            <w:tcBorders>
              <w:top w:val="nil"/>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481 906</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456 349</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508 465</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520 945</w:t>
            </w:r>
          </w:p>
        </w:tc>
        <w:tc>
          <w:tcPr>
            <w:tcW w:w="537" w:type="pct"/>
            <w:tcBorders>
              <w:top w:val="nil"/>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533 725</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nehnuteľností</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227 476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232 025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236 673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241 419</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246 266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Dane za špecifické služby</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138 228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142 833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145 323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147 813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150 302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motorových vozidiel</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116 202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81 491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126 469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131 713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137 157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Ostatné dane</w:t>
            </w:r>
          </w:p>
        </w:tc>
        <w:tc>
          <w:tcPr>
            <w:tcW w:w="557" w:type="pct"/>
            <w:tcBorders>
              <w:top w:val="nil"/>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73 423</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81 161</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92 322</w:t>
            </w:r>
          </w:p>
        </w:tc>
        <w:tc>
          <w:tcPr>
            <w:tcW w:w="538" w:type="pct"/>
            <w:tcBorders>
              <w:top w:val="nil"/>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96 505</w:t>
            </w:r>
          </w:p>
        </w:tc>
        <w:tc>
          <w:tcPr>
            <w:tcW w:w="537" w:type="pct"/>
            <w:tcBorders>
              <w:top w:val="nil"/>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97 347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Úhrada za služby verejnosti poskytované STV a SRo</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71 141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79 035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90 895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94 978</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95</w:t>
            </w:r>
            <w:r>
              <w:rPr>
                <w:rFonts w:ascii="Arial Narrow" w:hAnsi="Arial Narrow" w:cs="Times New Roman"/>
                <w:sz w:val="18"/>
                <w:szCs w:val="18"/>
              </w:rPr>
              <w:t xml:space="preserve"> 820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úhrad za dobývací priestor</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štátneho rozpočtu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úhrad za uskladňovanie plynov alebo kvapalín</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1221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Majetkové dane (do ŠR)</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Iné dane</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w:t>
            </w:r>
            <w:r>
              <w:rPr>
                <w:rFonts w:ascii="Arial Narrow" w:hAnsi="Arial Narrow" w:cs="Times New Roman"/>
                <w:sz w:val="18"/>
                <w:szCs w:val="18"/>
              </w:rPr>
              <w:t>3</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Daňové príjmy VS spolu</w:t>
            </w:r>
          </w:p>
        </w:tc>
        <w:tc>
          <w:tcPr>
            <w:tcW w:w="557" w:type="pct"/>
            <w:tcBorders>
              <w:top w:val="single" w:sz="12" w:space="0" w:color="auto"/>
              <w:left w:val="single" w:sz="12" w:space="0" w:color="auto"/>
              <w:bottom w:val="single" w:sz="4"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10 523 109</w:t>
            </w:r>
          </w:p>
        </w:tc>
        <w:tc>
          <w:tcPr>
            <w:tcW w:w="538" w:type="pct"/>
            <w:tcBorders>
              <w:top w:val="single" w:sz="12"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11 273 754</w:t>
            </w:r>
          </w:p>
        </w:tc>
        <w:tc>
          <w:tcPr>
            <w:tcW w:w="538" w:type="pct"/>
            <w:tcBorders>
              <w:top w:val="single" w:sz="12"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12 484 418</w:t>
            </w:r>
          </w:p>
        </w:tc>
        <w:tc>
          <w:tcPr>
            <w:tcW w:w="538" w:type="pct"/>
            <w:tcBorders>
              <w:top w:val="single" w:sz="12" w:space="0" w:color="auto"/>
              <w:left w:val="nil"/>
              <w:bottom w:val="single" w:sz="4"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13 390 136</w:t>
            </w:r>
          </w:p>
        </w:tc>
        <w:tc>
          <w:tcPr>
            <w:tcW w:w="537" w:type="pct"/>
            <w:tcBorders>
              <w:top w:val="single" w:sz="12" w:space="0" w:color="auto"/>
              <w:left w:val="nil"/>
              <w:bottom w:val="single" w:sz="4"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14 402 936</w:t>
            </w:r>
          </w:p>
        </w:tc>
      </w:tr>
      <w:tr>
        <w:tblPrEx>
          <w:tblW w:w="9072" w:type="dxa"/>
          <w:jc w:val="center"/>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Daňové príjmy ŠR</w:t>
            </w:r>
          </w:p>
        </w:tc>
        <w:tc>
          <w:tcPr>
            <w:tcW w:w="557" w:type="pct"/>
            <w:tcBorders>
              <w:top w:val="single" w:sz="4"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8 538 851</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9 020 868</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9 979 662</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10 702 543</w:t>
            </w:r>
          </w:p>
        </w:tc>
        <w:tc>
          <w:tcPr>
            <w:tcW w:w="537" w:type="pct"/>
            <w:tcBorders>
              <w:top w:val="single" w:sz="4"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11 482 800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 xml:space="preserve">Daňové príjmy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1 437 318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1 661 504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1 809 462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1 941 240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2 112 650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Daňové príjmy VÚC</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474 57</w:t>
            </w:r>
            <w:r>
              <w:rPr>
                <w:rFonts w:ascii="Arial Narrow" w:hAnsi="Arial Narrow" w:cs="Times New Roman"/>
                <w:sz w:val="18"/>
                <w:szCs w:val="18"/>
              </w:rPr>
              <w:t>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511 451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603 503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650 379</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710 670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Daňové príjmy STV</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49 562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57 027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67 227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69 651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70 493</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Daňové príjmy SRo</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21 579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22 008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23 667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25 327</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25 327</w:t>
            </w:r>
          </w:p>
        </w:tc>
      </w:tr>
      <w:tr>
        <w:tblPrEx>
          <w:tblW w:w="9072" w:type="dxa"/>
          <w:jc w:val="center"/>
          <w:tblCellMar>
            <w:left w:w="70" w:type="dxa"/>
            <w:right w:w="70" w:type="dxa"/>
          </w:tblCellMar>
        </w:tblPrEx>
        <w:trPr>
          <w:trHeight w:val="282"/>
          <w:jc w:val="center"/>
        </w:trPr>
        <w:tc>
          <w:tcPr>
            <w:tcW w:w="2292" w:type="pct"/>
            <w:tcBorders>
              <w:top w:val="single" w:sz="4" w:space="0" w:color="auto"/>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Environmentálny fond</w:t>
            </w:r>
          </w:p>
        </w:tc>
        <w:tc>
          <w:tcPr>
            <w:tcW w:w="557" w:type="pct"/>
            <w:tcBorders>
              <w:top w:val="single" w:sz="4" w:space="0" w:color="auto"/>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1 221</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c>
          <w:tcPr>
            <w:tcW w:w="537" w:type="pct"/>
            <w:tcBorders>
              <w:top w:val="single" w:sz="4" w:space="0" w:color="auto"/>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r>
    </w:tbl>
    <w:p w:rsidR="00782712" w:rsidRPr="00DF45EC" w:rsidP="00782712">
      <w:pPr>
        <w:jc w:val="both"/>
        <w:outlineLvl w:val="0"/>
        <w:rPr>
          <w:rFonts w:ascii="Arial Narrow" w:hAnsi="Arial Narrow" w:cs="Times New Roman"/>
          <w:sz w:val="22"/>
          <w:szCs w:val="22"/>
          <w:highlight w:val="yellow"/>
        </w:rPr>
      </w:pPr>
    </w:p>
    <w:p w:rsidR="00782712" w:rsidRPr="00DF45EC" w:rsidP="00CC0A61">
      <w:pPr>
        <w:jc w:val="both"/>
        <w:rPr>
          <w:rFonts w:ascii="Arial Narrow" w:hAnsi="Arial Narrow" w:cs="Times New Roman"/>
          <w:sz w:val="22"/>
          <w:szCs w:val="22"/>
        </w:rPr>
      </w:pPr>
      <w:r w:rsidRPr="00DF45EC">
        <w:rPr>
          <w:rFonts w:ascii="Arial Narrow" w:hAnsi="Arial Narrow" w:cs="Times New Roman"/>
          <w:sz w:val="22"/>
          <w:szCs w:val="22"/>
        </w:rPr>
        <w:t>Predpokladaná výška sankcií na roky 200</w:t>
      </w:r>
      <w:r>
        <w:rPr>
          <w:rFonts w:ascii="Arial Narrow" w:hAnsi="Arial Narrow" w:cs="Times New Roman"/>
          <w:sz w:val="22"/>
          <w:szCs w:val="22"/>
        </w:rPr>
        <w:t xml:space="preserve">8 </w:t>
      </w:r>
      <w:r w:rsidR="00ED1E07">
        <w:rPr>
          <w:rFonts w:ascii="Arial Narrow" w:hAnsi="Arial Narrow" w:cs="Times New Roman"/>
          <w:sz w:val="22"/>
          <w:szCs w:val="22"/>
        </w:rPr>
        <w:t>až</w:t>
      </w:r>
      <w:r>
        <w:rPr>
          <w:rFonts w:ascii="Arial Narrow" w:hAnsi="Arial Narrow" w:cs="Times New Roman"/>
          <w:sz w:val="22"/>
          <w:szCs w:val="22"/>
        </w:rPr>
        <w:t xml:space="preserve"> 2011</w:t>
      </w:r>
      <w:r w:rsidRPr="00DF45EC">
        <w:rPr>
          <w:rFonts w:ascii="Arial Narrow" w:hAnsi="Arial Narrow" w:cs="Times New Roman"/>
          <w:sz w:val="22"/>
          <w:szCs w:val="22"/>
        </w:rPr>
        <w:t xml:space="preserve"> je uvedená v nasledujúcej tabuľke:</w:t>
      </w:r>
    </w:p>
    <w:p w:rsidR="00782712" w:rsidRPr="00DF45EC" w:rsidP="00782712">
      <w:pPr>
        <w:jc w:val="both"/>
        <w:outlineLvl w:val="0"/>
        <w:rPr>
          <w:rFonts w:ascii="Arial Narrow" w:hAnsi="Arial Narrow" w:cs="Times New Roman"/>
          <w:sz w:val="22"/>
          <w:szCs w:val="22"/>
          <w:highlight w:val="yellow"/>
        </w:rPr>
      </w:pPr>
    </w:p>
    <w:tbl>
      <w:tblPr>
        <w:tblW w:w="9072" w:type="dxa"/>
        <w:jc w:val="center"/>
        <w:tblCellMar>
          <w:left w:w="70" w:type="dxa"/>
          <w:right w:w="70" w:type="dxa"/>
        </w:tblCellMar>
      </w:tblPr>
      <w:tblGrid>
        <w:gridCol w:w="4077"/>
        <w:gridCol w:w="999"/>
        <w:gridCol w:w="999"/>
        <w:gridCol w:w="999"/>
        <w:gridCol w:w="999"/>
        <w:gridCol w:w="999"/>
      </w:tblGrid>
      <w:tr>
        <w:tblPrEx>
          <w:tblW w:w="9072" w:type="dxa"/>
          <w:jc w:val="center"/>
          <w:tblCellMar>
            <w:left w:w="70" w:type="dxa"/>
            <w:right w:w="70" w:type="dxa"/>
          </w:tblCellMar>
        </w:tblPrEx>
        <w:trPr>
          <w:trHeight w:val="340"/>
          <w:jc w:val="center"/>
        </w:trPr>
        <w:tc>
          <w:tcPr>
            <w:tcW w:w="9072" w:type="dxa"/>
            <w:gridSpan w:val="6"/>
            <w:tcBorders>
              <w:top w:val="single" w:sz="4" w:space="0" w:color="auto"/>
              <w:left w:val="single" w:sz="4" w:space="0" w:color="auto"/>
              <w:bottom w:val="nil"/>
              <w:right w:val="single" w:sz="4" w:space="0" w:color="000000"/>
              <w:tl2br w:val="nil"/>
              <w:tr2bl w:val="nil"/>
            </w:tcBorders>
            <w:shd w:val="clear" w:color="auto" w:fill="000000"/>
            <w:textDirection w:val="lrTb"/>
            <w:vAlign w:val="center"/>
          </w:tcPr>
          <w:p w:rsidR="00782712" w:rsidRPr="00DF45EC" w:rsidP="00782712">
            <w:pPr>
              <w:rPr>
                <w:rFonts w:ascii="Arial Narrow" w:hAnsi="Arial Narrow" w:cs="Times New Roman"/>
                <w:b/>
                <w:bCs/>
                <w:color w:val="FFFFFF"/>
                <w:sz w:val="20"/>
              </w:rPr>
            </w:pPr>
            <w:r w:rsidRPr="00DF45EC">
              <w:rPr>
                <w:rFonts w:ascii="Arial Narrow" w:hAnsi="Arial Narrow" w:cs="Times New Roman"/>
                <w:b/>
                <w:bCs/>
                <w:color w:val="FFFFFF"/>
                <w:sz w:val="20"/>
              </w:rPr>
              <w:t xml:space="preserve">Predpokladaný vývoj sankcií </w:t>
            </w:r>
            <w:r w:rsidRPr="00DF45EC">
              <w:rPr>
                <w:rFonts w:ascii="Arial Narrow" w:hAnsi="Arial Narrow" w:cs="Times New Roman"/>
                <w:b/>
                <w:bCs/>
                <w:color w:val="FFFFFF"/>
                <w:sz w:val="16"/>
                <w:szCs w:val="16"/>
              </w:rPr>
              <w:t>*</w:t>
            </w:r>
            <w:r w:rsidRPr="00DF45EC">
              <w:rPr>
                <w:rFonts w:ascii="Arial Narrow" w:hAnsi="Arial Narrow" w:cs="Times New Roman"/>
                <w:b/>
                <w:bCs/>
                <w:color w:val="FFFFFF"/>
                <w:sz w:val="20"/>
              </w:rPr>
              <w:t xml:space="preserve">(v </w:t>
            </w:r>
            <w:r>
              <w:rPr>
                <w:rFonts w:ascii="Arial Narrow" w:hAnsi="Arial Narrow" w:cs="Times New Roman"/>
                <w:b/>
                <w:bCs/>
                <w:color w:val="FFFFFF"/>
                <w:sz w:val="20"/>
              </w:rPr>
              <w:t>tis. eur</w:t>
            </w:r>
            <w:r w:rsidRPr="00DF45EC">
              <w:rPr>
                <w:rFonts w:ascii="Arial Narrow" w:hAnsi="Arial Narrow" w:cs="Times New Roman"/>
                <w:b/>
                <w:bCs/>
                <w:color w:val="FFFFFF"/>
                <w:sz w:val="20"/>
              </w:rPr>
              <w:t>)</w:t>
            </w:r>
          </w:p>
        </w:tc>
      </w:tr>
      <w:tr>
        <w:tblPrEx>
          <w:tblW w:w="9072" w:type="dxa"/>
          <w:jc w:val="center"/>
          <w:tblCellMar>
            <w:left w:w="70" w:type="dxa"/>
            <w:right w:w="70" w:type="dxa"/>
          </w:tblCellMar>
        </w:tblPrEx>
        <w:trPr>
          <w:trHeight w:val="270"/>
          <w:jc w:val="center"/>
        </w:trPr>
        <w:tc>
          <w:tcPr>
            <w:tcW w:w="4077" w:type="dxa"/>
            <w:tcBorders>
              <w:top w:val="nil"/>
              <w:left w:val="single" w:sz="4" w:space="0" w:color="auto"/>
              <w:bottom w:val="nil"/>
              <w:right w:val="nil"/>
              <w:tl2br w:val="nil"/>
              <w:tr2bl w:val="nil"/>
            </w:tcBorders>
            <w:shd w:val="clear" w:color="auto" w:fill="C0C0C0"/>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 </w:t>
            </w:r>
          </w:p>
        </w:tc>
        <w:tc>
          <w:tcPr>
            <w:tcW w:w="999" w:type="dxa"/>
            <w:tcBorders>
              <w:top w:val="nil"/>
              <w:left w:val="nil"/>
              <w:bottom w:val="nil"/>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2007</w:t>
            </w:r>
          </w:p>
        </w:tc>
        <w:tc>
          <w:tcPr>
            <w:tcW w:w="999" w:type="dxa"/>
            <w:tcBorders>
              <w:top w:val="nil"/>
              <w:left w:val="nil"/>
              <w:bottom w:val="nil"/>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2008</w:t>
            </w:r>
          </w:p>
        </w:tc>
        <w:tc>
          <w:tcPr>
            <w:tcW w:w="999" w:type="dxa"/>
            <w:tcBorders>
              <w:top w:val="nil"/>
              <w:left w:val="nil"/>
              <w:bottom w:val="nil"/>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2009</w:t>
            </w:r>
          </w:p>
        </w:tc>
        <w:tc>
          <w:tcPr>
            <w:tcW w:w="999" w:type="dxa"/>
            <w:tcBorders>
              <w:top w:val="nil"/>
              <w:left w:val="nil"/>
              <w:bottom w:val="nil"/>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2010</w:t>
            </w:r>
          </w:p>
        </w:tc>
        <w:tc>
          <w:tcPr>
            <w:tcW w:w="999" w:type="dxa"/>
            <w:tcBorders>
              <w:top w:val="nil"/>
              <w:left w:val="nil"/>
              <w:bottom w:val="nil"/>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2011</w:t>
            </w:r>
          </w:p>
        </w:tc>
      </w:tr>
      <w:tr>
        <w:tblPrEx>
          <w:tblW w:w="9072" w:type="dxa"/>
          <w:jc w:val="center"/>
          <w:tblCellMar>
            <w:left w:w="70" w:type="dxa"/>
            <w:right w:w="70" w:type="dxa"/>
          </w:tblCellMar>
        </w:tblPrEx>
        <w:trPr>
          <w:trHeight w:val="270"/>
          <w:jc w:val="center"/>
        </w:trPr>
        <w:tc>
          <w:tcPr>
            <w:tcW w:w="4077" w:type="dxa"/>
            <w:tcBorders>
              <w:top w:val="nil"/>
              <w:left w:val="single" w:sz="4" w:space="0" w:color="auto"/>
              <w:bottom w:val="single" w:sz="4" w:space="0" w:color="auto"/>
              <w:right w:val="nil"/>
              <w:tl2br w:val="nil"/>
              <w:tr2bl w:val="nil"/>
            </w:tcBorders>
            <w:shd w:val="clear" w:color="auto" w:fill="C0C0C0"/>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 </w:t>
            </w:r>
          </w:p>
        </w:tc>
        <w:tc>
          <w:tcPr>
            <w:tcW w:w="999"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Skutočnosť</w:t>
            </w:r>
          </w:p>
        </w:tc>
        <w:tc>
          <w:tcPr>
            <w:tcW w:w="999"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prognóza</w:t>
            </w:r>
          </w:p>
        </w:tc>
        <w:tc>
          <w:tcPr>
            <w:tcW w:w="999"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prognóza</w:t>
            </w:r>
          </w:p>
        </w:tc>
        <w:tc>
          <w:tcPr>
            <w:tcW w:w="999"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prognóza</w:t>
            </w:r>
          </w:p>
        </w:tc>
        <w:tc>
          <w:tcPr>
            <w:tcW w:w="999" w:type="dxa"/>
            <w:tcBorders>
              <w:top w:val="nil"/>
              <w:left w:val="nil"/>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prognóza</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Times New Roman"/>
                <w:b/>
                <w:bCs/>
                <w:sz w:val="18"/>
                <w:szCs w:val="18"/>
              </w:rPr>
            </w:pPr>
            <w:r>
              <w:rPr>
                <w:rFonts w:ascii="Arial Narrow" w:hAnsi="Arial Narrow" w:cs="Times New Roman"/>
                <w:b/>
                <w:bCs/>
                <w:sz w:val="18"/>
                <w:szCs w:val="18"/>
              </w:rPr>
              <w:t>SANKCIE spolu</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b/>
                <w:sz w:val="18"/>
                <w:szCs w:val="18"/>
              </w:rPr>
            </w:pPr>
            <w:r w:rsidRPr="00453D14">
              <w:rPr>
                <w:rFonts w:ascii="Arial Narrow" w:hAnsi="Arial Narrow" w:cs="Times New Roman"/>
                <w:b/>
                <w:sz w:val="18"/>
                <w:szCs w:val="18"/>
              </w:rPr>
              <w:t>41 677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b/>
                <w:sz w:val="18"/>
                <w:szCs w:val="18"/>
              </w:rPr>
            </w:pPr>
            <w:r w:rsidRPr="00453D14">
              <w:rPr>
                <w:rFonts w:ascii="Arial Narrow" w:hAnsi="Arial Narrow" w:cs="Times New Roman"/>
                <w:b/>
                <w:sz w:val="18"/>
                <w:szCs w:val="18"/>
              </w:rPr>
              <w:t>37 867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b/>
                <w:sz w:val="18"/>
                <w:szCs w:val="18"/>
              </w:rPr>
            </w:pPr>
            <w:r w:rsidRPr="00453D14">
              <w:rPr>
                <w:rFonts w:ascii="Arial Narrow" w:hAnsi="Arial Narrow" w:cs="Times New Roman"/>
                <w:b/>
                <w:sz w:val="18"/>
                <w:szCs w:val="18"/>
              </w:rPr>
              <w:t>37 834</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b/>
                <w:sz w:val="18"/>
                <w:szCs w:val="18"/>
              </w:rPr>
            </w:pPr>
            <w:r w:rsidRPr="00453D14">
              <w:rPr>
                <w:rFonts w:ascii="Arial Narrow" w:hAnsi="Arial Narrow" w:cs="Times New Roman"/>
                <w:b/>
                <w:sz w:val="18"/>
                <w:szCs w:val="18"/>
              </w:rPr>
              <w:t>37 900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b/>
                <w:sz w:val="18"/>
                <w:szCs w:val="18"/>
              </w:rPr>
            </w:pPr>
            <w:r w:rsidRPr="00453D14">
              <w:rPr>
                <w:rFonts w:ascii="Arial Narrow" w:hAnsi="Arial Narrow" w:cs="Times New Roman"/>
                <w:b/>
                <w:sz w:val="18"/>
                <w:szCs w:val="18"/>
              </w:rPr>
              <w:t>37 867</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fyzických osôb</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6 667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6 473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6 473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6 539</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6 506</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do štátneho rozpočtu</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426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401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401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405</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403</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 xml:space="preserve">do obcí </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4 680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4 551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4 551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4 597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4 574</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 xml:space="preserve">do VÚC </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1 560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1 537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1 529</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právnických osôb</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4 087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4 581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4 581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4 581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4 581</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vyberaná zrážkou</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28</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33</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pridanej hodnoty</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18 885</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19 9</w:t>
            </w:r>
            <w:r w:rsidRPr="00453D14">
              <w:rPr>
                <w:rFonts w:ascii="Arial Narrow" w:hAnsi="Arial Narrow" w:cs="Times New Roman"/>
                <w:sz w:val="18"/>
                <w:szCs w:val="18"/>
              </w:rPr>
              <w:t>16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19 916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19 916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19 916</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Spotrebné dane</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6 372</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3 803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3 803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3 803</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3 803</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Miestne dane</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1 552</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1 527</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1 527</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Ostatné dane</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2 231</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0</w:t>
            </w:r>
          </w:p>
        </w:tc>
      </w:tr>
      <w:tr>
        <w:tblPrEx>
          <w:tblW w:w="9072" w:type="dxa"/>
          <w:jc w:val="center"/>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Pr>
                <w:rFonts w:ascii="Arial Narrow" w:hAnsi="Arial Narrow" w:cs="Times New Roman"/>
                <w:sz w:val="18"/>
                <w:szCs w:val="18"/>
              </w:rPr>
              <w:t>Sankcie uložené v daňovom konaní</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1 856</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1 500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1 500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1 500</w:t>
            </w:r>
          </w:p>
        </w:tc>
        <w:tc>
          <w:tcPr>
            <w:tcW w:w="9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453D14" w:rsidP="00694E16">
            <w:pPr>
              <w:jc w:val="right"/>
              <w:rPr>
                <w:rFonts w:ascii="Arial Narrow" w:hAnsi="Arial Narrow" w:cs="Times New Roman"/>
                <w:sz w:val="18"/>
                <w:szCs w:val="18"/>
              </w:rPr>
            </w:pPr>
            <w:r w:rsidRPr="00453D14">
              <w:rPr>
                <w:rFonts w:ascii="Arial Narrow" w:hAnsi="Arial Narrow" w:cs="Times New Roman"/>
                <w:sz w:val="18"/>
                <w:szCs w:val="18"/>
              </w:rPr>
              <w:t>1 500</w:t>
            </w:r>
          </w:p>
        </w:tc>
      </w:tr>
      <w:tr>
        <w:tblPrEx>
          <w:tblW w:w="9072" w:type="dxa"/>
          <w:jc w:val="center"/>
          <w:tblCellMar>
            <w:left w:w="70" w:type="dxa"/>
            <w:right w:w="70" w:type="dxa"/>
          </w:tblCellMar>
        </w:tblPrEx>
        <w:trPr>
          <w:trHeight w:val="255"/>
          <w:jc w:val="center"/>
        </w:trPr>
        <w:tc>
          <w:tcPr>
            <w:tcW w:w="5076" w:type="dxa"/>
            <w:gridSpan w:val="2"/>
            <w:tcBorders>
              <w:top w:val="nil"/>
              <w:left w:val="nil"/>
              <w:bottom w:val="nil"/>
              <w:right w:val="nil"/>
              <w:tl2br w:val="nil"/>
              <w:tr2bl w:val="nil"/>
            </w:tcBorders>
            <w:noWrap/>
            <w:textDirection w:val="lrTb"/>
            <w:vAlign w:val="center"/>
          </w:tcPr>
          <w:p w:rsidR="00782712" w:rsidRPr="001A0C6D" w:rsidP="00782712">
            <w:pPr>
              <w:rPr>
                <w:rFonts w:ascii="Arial Narrow" w:hAnsi="Arial Narrow" w:cs="Times New Roman"/>
                <w:sz w:val="16"/>
                <w:szCs w:val="16"/>
              </w:rPr>
            </w:pPr>
            <w:r w:rsidRPr="001A0C6D">
              <w:rPr>
                <w:rFonts w:ascii="Arial Narrow" w:hAnsi="Arial Narrow" w:cs="Times New Roman"/>
                <w:sz w:val="16"/>
                <w:szCs w:val="16"/>
              </w:rPr>
              <w:t>* sankcie sú identické podľa hotovostnej a akruál</w:t>
            </w:r>
            <w:r w:rsidRPr="001A0C6D">
              <w:rPr>
                <w:rFonts w:ascii="Arial Narrow" w:hAnsi="Arial Narrow" w:cs="Times New Roman"/>
                <w:sz w:val="16"/>
                <w:szCs w:val="16"/>
              </w:rPr>
              <w:t>nej metodiky</w:t>
            </w:r>
          </w:p>
        </w:tc>
        <w:tc>
          <w:tcPr>
            <w:tcW w:w="999" w:type="dxa"/>
            <w:tcBorders>
              <w:top w:val="nil"/>
              <w:left w:val="nil"/>
              <w:bottom w:val="nil"/>
              <w:right w:val="nil"/>
              <w:tl2br w:val="nil"/>
              <w:tr2bl w:val="nil"/>
            </w:tcBorders>
            <w:noWrap/>
            <w:textDirection w:val="lrTb"/>
            <w:vAlign w:val="center"/>
          </w:tcPr>
          <w:p w:rsidR="00782712" w:rsidRPr="001A0C6D" w:rsidP="00782712">
            <w:pPr>
              <w:rPr>
                <w:rFonts w:ascii="Arial Narrow" w:hAnsi="Arial Narrow" w:cs="Times New Roman"/>
                <w:sz w:val="20"/>
              </w:rPr>
            </w:pPr>
          </w:p>
        </w:tc>
        <w:tc>
          <w:tcPr>
            <w:tcW w:w="999" w:type="dxa"/>
            <w:tcBorders>
              <w:top w:val="nil"/>
              <w:left w:val="nil"/>
              <w:bottom w:val="nil"/>
              <w:right w:val="nil"/>
              <w:tl2br w:val="nil"/>
              <w:tr2bl w:val="nil"/>
            </w:tcBorders>
            <w:noWrap/>
            <w:textDirection w:val="lrTb"/>
            <w:vAlign w:val="center"/>
          </w:tcPr>
          <w:p w:rsidR="00782712" w:rsidRPr="001A0C6D" w:rsidP="00782712">
            <w:pPr>
              <w:rPr>
                <w:rFonts w:ascii="Arial Narrow" w:hAnsi="Arial Narrow" w:cs="Times New Roman"/>
                <w:sz w:val="20"/>
              </w:rPr>
            </w:pPr>
          </w:p>
        </w:tc>
        <w:tc>
          <w:tcPr>
            <w:tcW w:w="999" w:type="dxa"/>
            <w:tcBorders>
              <w:top w:val="nil"/>
              <w:left w:val="nil"/>
              <w:bottom w:val="nil"/>
              <w:right w:val="nil"/>
              <w:tl2br w:val="nil"/>
              <w:tr2bl w:val="nil"/>
            </w:tcBorders>
            <w:noWrap/>
            <w:textDirection w:val="lrTb"/>
            <w:vAlign w:val="center"/>
          </w:tcPr>
          <w:p w:rsidR="00782712" w:rsidRPr="001A0C6D" w:rsidP="00782712">
            <w:pPr>
              <w:rPr>
                <w:rFonts w:ascii="Arial Narrow" w:hAnsi="Arial Narrow" w:cs="Times New Roman"/>
                <w:sz w:val="20"/>
              </w:rPr>
            </w:pPr>
          </w:p>
        </w:tc>
        <w:tc>
          <w:tcPr>
            <w:tcW w:w="999" w:type="dxa"/>
            <w:tcBorders>
              <w:top w:val="nil"/>
              <w:left w:val="nil"/>
              <w:bottom w:val="nil"/>
              <w:right w:val="nil"/>
              <w:tl2br w:val="nil"/>
              <w:tr2bl w:val="nil"/>
            </w:tcBorders>
            <w:noWrap/>
            <w:textDirection w:val="lrTb"/>
            <w:vAlign w:val="center"/>
          </w:tcPr>
          <w:p w:rsidR="00782712" w:rsidRPr="001A0C6D" w:rsidP="00782712">
            <w:pPr>
              <w:rPr>
                <w:rFonts w:ascii="Arial Narrow" w:hAnsi="Arial Narrow" w:cs="Times New Roman"/>
                <w:sz w:val="20"/>
              </w:rPr>
            </w:pPr>
          </w:p>
        </w:tc>
      </w:tr>
    </w:tbl>
    <w:p w:rsidR="00782712" w:rsidRPr="00DF45EC" w:rsidP="00782712">
      <w:pPr>
        <w:outlineLvl w:val="0"/>
        <w:rPr>
          <w:rFonts w:cs="Times New Roman"/>
          <w:b/>
          <w:highlight w:val="yellow"/>
        </w:rPr>
      </w:pPr>
    </w:p>
    <w:p w:rsidR="00782712" w:rsidRPr="00DF45EC" w:rsidP="00CC0A61">
      <w:pPr>
        <w:outlineLvl w:val="1"/>
        <w:rPr>
          <w:rFonts w:ascii="Arial Narrow" w:hAnsi="Arial Narrow" w:cs="Times New Roman"/>
          <w:b/>
        </w:rPr>
      </w:pPr>
      <w:bookmarkStart w:id="38" w:name="_Toc211592396"/>
      <w:r w:rsidR="00581D62">
        <w:rPr>
          <w:rFonts w:ascii="Arial Narrow" w:hAnsi="Arial Narrow" w:cs="Times New Roman"/>
          <w:b/>
        </w:rPr>
        <w:t xml:space="preserve">3.2. </w:t>
      </w:r>
      <w:r w:rsidRPr="00DF45EC">
        <w:rPr>
          <w:rFonts w:ascii="Arial Narrow" w:hAnsi="Arial Narrow" w:cs="Times New Roman"/>
          <w:b/>
        </w:rPr>
        <w:t xml:space="preserve">Akruálne dane pre </w:t>
      </w:r>
      <w:r>
        <w:rPr>
          <w:rFonts w:ascii="Arial Narrow" w:hAnsi="Arial Narrow" w:cs="Times New Roman"/>
          <w:b/>
        </w:rPr>
        <w:t xml:space="preserve">návrh </w:t>
      </w:r>
      <w:r w:rsidRPr="00DF45EC">
        <w:rPr>
          <w:rFonts w:ascii="Arial Narrow" w:hAnsi="Arial Narrow" w:cs="Times New Roman"/>
          <w:b/>
        </w:rPr>
        <w:t>rozpočt</w:t>
      </w:r>
      <w:r>
        <w:rPr>
          <w:rFonts w:ascii="Arial Narrow" w:hAnsi="Arial Narrow" w:cs="Times New Roman"/>
          <w:b/>
        </w:rPr>
        <w:t>u</w:t>
      </w:r>
      <w:r w:rsidRPr="00DF45EC">
        <w:rPr>
          <w:rFonts w:ascii="Arial Narrow" w:hAnsi="Arial Narrow" w:cs="Times New Roman"/>
          <w:b/>
        </w:rPr>
        <w:t xml:space="preserve"> verejnej správy 20</w:t>
      </w:r>
      <w:r>
        <w:rPr>
          <w:rFonts w:ascii="Arial Narrow" w:hAnsi="Arial Narrow" w:cs="Times New Roman"/>
          <w:b/>
        </w:rPr>
        <w:t>09</w:t>
      </w:r>
      <w:r w:rsidRPr="00DF45EC">
        <w:rPr>
          <w:rFonts w:ascii="Arial Narrow" w:hAnsi="Arial Narrow" w:cs="Times New Roman"/>
          <w:b/>
        </w:rPr>
        <w:t xml:space="preserve"> až 20</w:t>
      </w:r>
      <w:r>
        <w:rPr>
          <w:rFonts w:ascii="Arial Narrow" w:hAnsi="Arial Narrow" w:cs="Times New Roman"/>
          <w:b/>
        </w:rPr>
        <w:t>11</w:t>
      </w:r>
      <w:bookmarkEnd w:id="38"/>
    </w:p>
    <w:p w:rsidR="00782712" w:rsidRPr="00DF45EC" w:rsidP="00782712">
      <w:pPr>
        <w:ind w:firstLine="708"/>
        <w:jc w:val="both"/>
        <w:rPr>
          <w:rFonts w:ascii="Arial Narrow" w:hAnsi="Arial Narrow" w:cs="Times New Roman"/>
          <w:sz w:val="22"/>
          <w:szCs w:val="22"/>
          <w:highlight w:val="yellow"/>
        </w:rPr>
      </w:pPr>
    </w:p>
    <w:p w:rsidR="00782712" w:rsidRPr="00DF45EC" w:rsidP="00782712">
      <w:pPr>
        <w:ind w:firstLine="708"/>
        <w:jc w:val="both"/>
        <w:rPr>
          <w:rFonts w:ascii="Arial Narrow" w:hAnsi="Arial Narrow" w:cs="Times New Roman"/>
          <w:sz w:val="22"/>
          <w:szCs w:val="22"/>
        </w:rPr>
      </w:pPr>
      <w:r w:rsidRPr="00DF45EC">
        <w:rPr>
          <w:rFonts w:ascii="Arial Narrow" w:hAnsi="Arial Narrow" w:cs="Times New Roman"/>
          <w:sz w:val="22"/>
          <w:szCs w:val="22"/>
        </w:rPr>
        <w:t>Celkové daňové príjmy verejnej správy v metodike ESA</w:t>
      </w:r>
      <w:r w:rsidR="00ED1E07">
        <w:rPr>
          <w:rFonts w:ascii="Arial Narrow" w:hAnsi="Arial Narrow" w:cs="Times New Roman"/>
          <w:sz w:val="22"/>
          <w:szCs w:val="22"/>
        </w:rPr>
        <w:t xml:space="preserve"> </w:t>
      </w:r>
      <w:r w:rsidRPr="00DF45EC">
        <w:rPr>
          <w:rFonts w:ascii="Arial Narrow" w:hAnsi="Arial Narrow" w:cs="Times New Roman"/>
          <w:sz w:val="22"/>
          <w:szCs w:val="22"/>
        </w:rPr>
        <w:t>95 rastú zdravým tempom v súlade s rastom ekonomiky. S výnimkou rokov 200</w:t>
      </w:r>
      <w:r>
        <w:rPr>
          <w:rFonts w:ascii="Arial Narrow" w:hAnsi="Arial Narrow" w:cs="Times New Roman"/>
          <w:sz w:val="22"/>
          <w:szCs w:val="22"/>
        </w:rPr>
        <w:t>9 a 2010</w:t>
      </w:r>
      <w:r w:rsidRPr="00DF45EC">
        <w:rPr>
          <w:rFonts w:ascii="Arial Narrow" w:hAnsi="Arial Narrow" w:cs="Times New Roman"/>
          <w:sz w:val="22"/>
          <w:szCs w:val="22"/>
        </w:rPr>
        <w:t xml:space="preserve"> sa prognóza daní v metodike ESA</w:t>
      </w:r>
      <w:r w:rsidR="00ED1E07">
        <w:rPr>
          <w:rFonts w:ascii="Arial Narrow" w:hAnsi="Arial Narrow" w:cs="Times New Roman"/>
          <w:sz w:val="22"/>
          <w:szCs w:val="22"/>
        </w:rPr>
        <w:t xml:space="preserve"> </w:t>
      </w:r>
      <w:r w:rsidRPr="00DF45EC">
        <w:rPr>
          <w:rFonts w:ascii="Arial Narrow" w:hAnsi="Arial Narrow" w:cs="Times New Roman"/>
          <w:sz w:val="22"/>
          <w:szCs w:val="22"/>
        </w:rPr>
        <w:t>95 približuje predpokladanému hotovostnému plneniu. Vykazovanie akruálnych daní podľa metodiky ESA</w:t>
      </w:r>
      <w:r w:rsidR="00ED1E07">
        <w:rPr>
          <w:rFonts w:ascii="Arial Narrow" w:hAnsi="Arial Narrow" w:cs="Times New Roman"/>
          <w:sz w:val="22"/>
          <w:szCs w:val="22"/>
        </w:rPr>
        <w:t xml:space="preserve"> </w:t>
      </w:r>
      <w:r w:rsidRPr="00DF45EC">
        <w:rPr>
          <w:rFonts w:ascii="Arial Narrow" w:hAnsi="Arial Narrow" w:cs="Times New Roman"/>
          <w:sz w:val="22"/>
          <w:szCs w:val="22"/>
        </w:rPr>
        <w:t>95 je založené na časovom posunutí hotovostných platieb daní do príslušných akruálnych ob</w:t>
      </w:r>
      <w:r>
        <w:rPr>
          <w:rFonts w:ascii="Arial Narrow" w:hAnsi="Arial Narrow" w:cs="Times New Roman"/>
          <w:sz w:val="22"/>
          <w:szCs w:val="22"/>
        </w:rPr>
        <w:t>dobí (metóda časových posunov).</w:t>
      </w:r>
    </w:p>
    <w:p w:rsidR="00782712" w:rsidRPr="00DF45EC" w:rsidP="00782712">
      <w:pPr>
        <w:ind w:firstLine="708"/>
        <w:jc w:val="both"/>
        <w:rPr>
          <w:rFonts w:ascii="Arial Narrow" w:hAnsi="Arial Narrow" w:cs="Times New Roman"/>
          <w:sz w:val="22"/>
          <w:szCs w:val="22"/>
        </w:rPr>
      </w:pPr>
    </w:p>
    <w:p w:rsidR="00782712" w:rsidRPr="00DF45EC" w:rsidP="00782712">
      <w:pPr>
        <w:ind w:firstLine="708"/>
        <w:jc w:val="both"/>
        <w:rPr>
          <w:rFonts w:ascii="Arial Narrow" w:hAnsi="Arial Narrow" w:cs="Times New Roman"/>
          <w:sz w:val="22"/>
          <w:szCs w:val="22"/>
        </w:rPr>
      </w:pPr>
      <w:r w:rsidRPr="00DF45EC">
        <w:rPr>
          <w:rFonts w:ascii="Arial Narrow" w:hAnsi="Arial Narrow" w:cs="Times New Roman"/>
          <w:sz w:val="22"/>
          <w:szCs w:val="22"/>
        </w:rPr>
        <w:t>V nižšie uvedenej tabuľke sú rozdiely</w:t>
      </w:r>
      <w:r w:rsidRPr="00DF45EC">
        <w:rPr>
          <w:rFonts w:ascii="Arial Narrow" w:hAnsi="Arial Narrow" w:cs="Times New Roman"/>
          <w:sz w:val="22"/>
          <w:szCs w:val="22"/>
        </w:rPr>
        <w:t xml:space="preserve"> medzi akruálnymi a hotovostnými odh</w:t>
      </w:r>
      <w:r>
        <w:rPr>
          <w:rFonts w:ascii="Arial Narrow" w:hAnsi="Arial Narrow" w:cs="Times New Roman"/>
          <w:sz w:val="22"/>
          <w:szCs w:val="22"/>
        </w:rPr>
        <w:t>admi daní.</w:t>
      </w:r>
    </w:p>
    <w:p w:rsidR="00782712" w:rsidRPr="00DF45EC" w:rsidP="00782712">
      <w:pPr>
        <w:ind w:firstLine="708"/>
        <w:jc w:val="both"/>
        <w:rPr>
          <w:rFonts w:ascii="Arial Narrow" w:hAnsi="Arial Narrow" w:cs="Times New Roman"/>
          <w:sz w:val="22"/>
          <w:szCs w:val="22"/>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010"/>
        <w:gridCol w:w="982"/>
        <w:gridCol w:w="982"/>
        <w:gridCol w:w="982"/>
        <w:gridCol w:w="982"/>
      </w:tblGrid>
      <w:tr>
        <w:tblPrEx>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7938"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782712" w:rsidRPr="00DF45EC" w:rsidP="00782712">
            <w:pPr>
              <w:rPr>
                <w:rFonts w:ascii="Arial Narrow" w:hAnsi="Arial Narrow" w:cs="Arial"/>
                <w:b/>
                <w:bCs/>
                <w:color w:val="FFFFFF"/>
                <w:sz w:val="20"/>
              </w:rPr>
            </w:pPr>
            <w:r w:rsidRPr="00DF45EC">
              <w:rPr>
                <w:rFonts w:ascii="Arial Narrow" w:hAnsi="Arial Narrow" w:cs="Arial"/>
                <w:b/>
                <w:bCs/>
                <w:color w:val="FFFFFF"/>
                <w:sz w:val="20"/>
              </w:rPr>
              <w:t>Odhad rozdielu medzi akruálnymi a hotov</w:t>
            </w:r>
            <w:r>
              <w:rPr>
                <w:rFonts w:ascii="Arial Narrow" w:hAnsi="Arial Narrow" w:cs="Arial"/>
                <w:b/>
                <w:bCs/>
                <w:color w:val="FFFFFF"/>
                <w:sz w:val="20"/>
              </w:rPr>
              <w:t>ostnými prognózami v rokoch 2008 – 2011</w:t>
            </w:r>
            <w:r w:rsidRPr="00DF45EC">
              <w:rPr>
                <w:rFonts w:ascii="Arial Narrow" w:hAnsi="Arial Narrow" w:cs="Arial"/>
                <w:b/>
                <w:bCs/>
                <w:color w:val="FFFFFF"/>
                <w:sz w:val="20"/>
              </w:rPr>
              <w:t xml:space="preserve"> (v </w:t>
            </w:r>
            <w:r>
              <w:rPr>
                <w:rFonts w:ascii="Arial Narrow" w:hAnsi="Arial Narrow" w:cs="Arial"/>
                <w:b/>
                <w:bCs/>
                <w:color w:val="FFFFFF"/>
                <w:sz w:val="20"/>
              </w:rPr>
              <w:t>tis. eur</w:t>
            </w:r>
            <w:r w:rsidRPr="00DF45EC">
              <w:rPr>
                <w:rFonts w:ascii="Arial Narrow" w:hAnsi="Arial Narrow" w:cs="Arial"/>
                <w:b/>
                <w:bCs/>
                <w:color w:val="FFFFFF"/>
                <w:sz w:val="20"/>
              </w:rPr>
              <w:t>)</w:t>
            </w:r>
          </w:p>
        </w:tc>
      </w:tr>
      <w:tr>
        <w:tblPrEx>
          <w:tblW w:w="7938" w:type="dxa"/>
          <w:jc w:val="center"/>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rPr>
                <w:rFonts w:ascii="Arial Narrow" w:hAnsi="Arial Narrow" w:cs="Arial"/>
                <w:b/>
                <w:bCs/>
                <w:sz w:val="18"/>
                <w:szCs w:val="18"/>
              </w:rPr>
            </w:pPr>
            <w:r w:rsidRPr="00DF45EC">
              <w:rPr>
                <w:rFonts w:ascii="Arial Narrow" w:hAnsi="Arial Narrow" w:cs="Arial"/>
                <w:b/>
                <w:bCs/>
                <w:sz w:val="18"/>
                <w:szCs w:val="18"/>
              </w:rPr>
              <w:t> </w:t>
            </w:r>
          </w:p>
        </w:tc>
        <w:tc>
          <w:tcPr>
            <w:tcW w:w="98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right"/>
              <w:rPr>
                <w:rFonts w:ascii="Arial Narrow" w:hAnsi="Arial Narrow" w:cs="Arial"/>
                <w:b/>
                <w:bCs/>
                <w:sz w:val="18"/>
                <w:szCs w:val="18"/>
              </w:rPr>
            </w:pPr>
            <w:r w:rsidRPr="00DF45EC">
              <w:rPr>
                <w:rFonts w:ascii="Arial Narrow" w:hAnsi="Arial Narrow" w:cs="Arial"/>
                <w:b/>
                <w:bCs/>
                <w:sz w:val="18"/>
                <w:szCs w:val="18"/>
              </w:rPr>
              <w:t>2008</w:t>
            </w:r>
          </w:p>
        </w:tc>
        <w:tc>
          <w:tcPr>
            <w:tcW w:w="98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right"/>
              <w:rPr>
                <w:rFonts w:ascii="Arial Narrow" w:hAnsi="Arial Narrow" w:cs="Arial"/>
                <w:b/>
                <w:bCs/>
                <w:sz w:val="18"/>
                <w:szCs w:val="18"/>
              </w:rPr>
            </w:pPr>
            <w:r w:rsidRPr="00DF45EC">
              <w:rPr>
                <w:rFonts w:ascii="Arial Narrow" w:hAnsi="Arial Narrow" w:cs="Arial"/>
                <w:b/>
                <w:bCs/>
                <w:sz w:val="18"/>
                <w:szCs w:val="18"/>
              </w:rPr>
              <w:t>2009</w:t>
            </w:r>
          </w:p>
        </w:tc>
        <w:tc>
          <w:tcPr>
            <w:tcW w:w="98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right"/>
              <w:rPr>
                <w:rFonts w:ascii="Arial Narrow" w:hAnsi="Arial Narrow" w:cs="Arial"/>
                <w:b/>
                <w:bCs/>
                <w:sz w:val="18"/>
                <w:szCs w:val="18"/>
              </w:rPr>
            </w:pPr>
            <w:r w:rsidRPr="00DF45EC">
              <w:rPr>
                <w:rFonts w:ascii="Arial Narrow" w:hAnsi="Arial Narrow" w:cs="Arial"/>
                <w:b/>
                <w:bCs/>
                <w:sz w:val="18"/>
                <w:szCs w:val="18"/>
              </w:rPr>
              <w:t>2010</w:t>
            </w:r>
          </w:p>
        </w:tc>
        <w:tc>
          <w:tcPr>
            <w:tcW w:w="98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right"/>
              <w:rPr>
                <w:rFonts w:ascii="Arial Narrow" w:hAnsi="Arial Narrow" w:cs="Arial"/>
                <w:b/>
                <w:bCs/>
                <w:sz w:val="18"/>
                <w:szCs w:val="18"/>
              </w:rPr>
            </w:pPr>
            <w:r>
              <w:rPr>
                <w:rFonts w:ascii="Arial Narrow" w:hAnsi="Arial Narrow" w:cs="Arial"/>
                <w:b/>
                <w:bCs/>
                <w:sz w:val="18"/>
                <w:szCs w:val="18"/>
              </w:rPr>
              <w:t>2011</w:t>
            </w:r>
          </w:p>
        </w:tc>
      </w:tr>
      <w:tr>
        <w:tblPrEx>
          <w:tblW w:w="7938" w:type="dxa"/>
          <w:jc w:val="center"/>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Arial"/>
                <w:b/>
                <w:bCs/>
                <w:sz w:val="18"/>
                <w:szCs w:val="18"/>
              </w:rPr>
            </w:pPr>
            <w:r w:rsidRPr="00DF45EC">
              <w:rPr>
                <w:rFonts w:ascii="Arial Narrow" w:hAnsi="Arial Narrow" w:cs="Arial"/>
                <w:b/>
                <w:bCs/>
                <w:sz w:val="18"/>
                <w:szCs w:val="18"/>
              </w:rPr>
              <w:t>Daňové príjmy</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81 187</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-150 424</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12 584</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22 542</w:t>
            </w:r>
          </w:p>
        </w:tc>
      </w:tr>
      <w:tr>
        <w:tblPrEx>
          <w:tblW w:w="7938" w:type="dxa"/>
          <w:jc w:val="center"/>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360"/>
              <w:rPr>
                <w:rFonts w:ascii="Arial Narrow" w:hAnsi="Arial Narrow" w:cs="Arial"/>
                <w:sz w:val="18"/>
                <w:szCs w:val="18"/>
              </w:rPr>
            </w:pPr>
            <w:r w:rsidRPr="00DF45EC">
              <w:rPr>
                <w:rFonts w:ascii="Arial Narrow" w:hAnsi="Arial Narrow" w:cs="Arial"/>
                <w:sz w:val="18"/>
                <w:szCs w:val="18"/>
              </w:rPr>
              <w:t xml:space="preserve">štátny rozpočet </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40 026</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-151 752</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11 189</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21 114</w:t>
            </w:r>
          </w:p>
        </w:tc>
      </w:tr>
      <w:tr>
        <w:tblPrEx>
          <w:tblW w:w="7938" w:type="dxa"/>
          <w:jc w:val="center"/>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360"/>
              <w:rPr>
                <w:rFonts w:ascii="Arial Narrow" w:hAnsi="Arial Narrow" w:cs="Arial"/>
                <w:sz w:val="18"/>
                <w:szCs w:val="18"/>
              </w:rPr>
            </w:pPr>
            <w:r w:rsidRPr="00DF45EC">
              <w:rPr>
                <w:rFonts w:ascii="Arial Narrow" w:hAnsi="Arial Narrow" w:cs="Arial"/>
                <w:sz w:val="18"/>
                <w:szCs w:val="18"/>
              </w:rPr>
              <w:t>obce</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7938" w:type="dxa"/>
          <w:jc w:val="center"/>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360"/>
              <w:rPr>
                <w:rFonts w:ascii="Arial Narrow" w:hAnsi="Arial Narrow" w:cs="Arial"/>
                <w:sz w:val="18"/>
                <w:szCs w:val="18"/>
              </w:rPr>
            </w:pPr>
            <w:r w:rsidRPr="00DF45EC">
              <w:rPr>
                <w:rFonts w:ascii="Arial Narrow" w:hAnsi="Arial Narrow" w:cs="Arial"/>
                <w:sz w:val="18"/>
                <w:szCs w:val="18"/>
              </w:rPr>
              <w:t>VÚC</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41 161</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1 328</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1 395</w:t>
            </w:r>
          </w:p>
        </w:tc>
        <w:tc>
          <w:tcPr>
            <w:tcW w:w="9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1 428</w:t>
            </w:r>
          </w:p>
        </w:tc>
      </w:tr>
    </w:tbl>
    <w:p w:rsidR="00782712" w:rsidRPr="008C1E7A" w:rsidP="00782712">
      <w:pPr>
        <w:jc w:val="both"/>
        <w:rPr>
          <w:rFonts w:ascii="Arial Narrow" w:hAnsi="Arial Narrow" w:cs="Times New Roman"/>
          <w:sz w:val="22"/>
          <w:szCs w:val="22"/>
          <w:highlight w:val="yellow"/>
        </w:rPr>
      </w:pPr>
    </w:p>
    <w:p w:rsidR="00782712" w:rsidP="00782712">
      <w:pPr>
        <w:ind w:firstLine="708"/>
        <w:jc w:val="both"/>
        <w:rPr>
          <w:rFonts w:ascii="Arial Narrow" w:hAnsi="Arial Narrow" w:cs="Times New Roman"/>
          <w:sz w:val="22"/>
          <w:szCs w:val="22"/>
        </w:rPr>
      </w:pPr>
      <w:r w:rsidRPr="00D7753F">
        <w:rPr>
          <w:rFonts w:ascii="Arial Narrow" w:hAnsi="Arial Narrow" w:cs="Times New Roman"/>
          <w:sz w:val="22"/>
          <w:szCs w:val="22"/>
        </w:rPr>
        <w:t>Nižší akruálny výnos daní v porovnaní s hotovostným výnosom je spôsobený v roku 2009 najmä spotrebnou daňou z tabakových výrobkov a v roku 2010 najmä daňou z príjmov právnických osôb. V roku 2009 je príčinou vy</w:t>
      </w:r>
      <w:r w:rsidRPr="00D7753F">
        <w:rPr>
          <w:rFonts w:ascii="Arial Narrow" w:hAnsi="Arial Narrow" w:cs="Times New Roman"/>
          <w:sz w:val="22"/>
          <w:szCs w:val="22"/>
        </w:rPr>
        <w:t xml:space="preserve">ššieho hotovostného výnosu v porovnaní s akruálnym výnosom </w:t>
      </w:r>
      <w:r w:rsidR="00ED1E07">
        <w:rPr>
          <w:rFonts w:ascii="Arial Narrow" w:hAnsi="Arial Narrow" w:cs="Times New Roman"/>
          <w:sz w:val="22"/>
          <w:szCs w:val="22"/>
        </w:rPr>
        <w:t>pri</w:t>
      </w:r>
      <w:r w:rsidRPr="00D7753F">
        <w:rPr>
          <w:rFonts w:ascii="Arial Narrow" w:hAnsi="Arial Narrow" w:cs="Times New Roman"/>
          <w:sz w:val="22"/>
          <w:szCs w:val="22"/>
        </w:rPr>
        <w:t xml:space="preserve"> spotrebnej dani z tabakových výrobkov vysoké predzásobenie sa cigaretami v decembri 2008, ako dôsledok zvýšenia sadzieb </w:t>
      </w:r>
      <w:r w:rsidRPr="00EA35DB">
        <w:rPr>
          <w:rFonts w:ascii="Arial Narrow" w:hAnsi="Arial Narrow" w:cs="Times New Roman"/>
          <w:sz w:val="22"/>
          <w:szCs w:val="22"/>
        </w:rPr>
        <w:t>k 1.</w:t>
      </w:r>
      <w:r w:rsidR="00ED1E07">
        <w:rPr>
          <w:rFonts w:ascii="Arial Narrow" w:hAnsi="Arial Narrow" w:cs="Times New Roman"/>
          <w:sz w:val="22"/>
          <w:szCs w:val="22"/>
        </w:rPr>
        <w:t xml:space="preserve"> </w:t>
      </w:r>
      <w:r w:rsidRPr="00EA35DB">
        <w:rPr>
          <w:rFonts w:ascii="Arial Narrow" w:hAnsi="Arial Narrow" w:cs="Times New Roman"/>
          <w:sz w:val="22"/>
          <w:szCs w:val="22"/>
        </w:rPr>
        <w:t>2.</w:t>
      </w:r>
      <w:r w:rsidR="00ED1E07">
        <w:rPr>
          <w:rFonts w:ascii="Arial Narrow" w:hAnsi="Arial Narrow" w:cs="Times New Roman"/>
          <w:sz w:val="22"/>
          <w:szCs w:val="22"/>
        </w:rPr>
        <w:t xml:space="preserve"> </w:t>
      </w:r>
      <w:r w:rsidRPr="00EA35DB">
        <w:rPr>
          <w:rFonts w:ascii="Arial Narrow" w:hAnsi="Arial Narrow" w:cs="Times New Roman"/>
          <w:sz w:val="22"/>
          <w:szCs w:val="22"/>
        </w:rPr>
        <w:t>2009.</w:t>
      </w:r>
      <w:r w:rsidRPr="00D7753F">
        <w:rPr>
          <w:rFonts w:ascii="Arial Narrow" w:hAnsi="Arial Narrow" w:cs="Times New Roman"/>
          <w:sz w:val="22"/>
          <w:szCs w:val="22"/>
        </w:rPr>
        <w:t xml:space="preserve"> Hotovostné januárové plnenie podľa akruálneho princípu patrí do decembra predchádzajúceho roka, a teda predzásobenie má pozitívny vplyv na akruálny výnos roka 2008. Naopak, vysoké predzásobenie znamená výpadok príjmov od februára 2009, čo bude mať negatívny dopad na akruálny výnos roku 2009</w:t>
      </w:r>
      <w:r w:rsidRPr="003B614B">
        <w:rPr>
          <w:rFonts w:ascii="Arial Narrow" w:hAnsi="Arial Narrow" w:cs="Times New Roman"/>
          <w:sz w:val="22"/>
          <w:szCs w:val="22"/>
        </w:rPr>
        <w:t>. V roku 2010 je rozdiel medzi akruálnym a hotovostným výnosom DPPO spôsobený legislatívnou úpravou (novela zákona o dani z príjmov č. 621/2007</w:t>
      </w:r>
      <w:r w:rsidR="00850B6F">
        <w:rPr>
          <w:rFonts w:ascii="Arial Narrow" w:hAnsi="Arial Narrow" w:cs="Times New Roman"/>
          <w:sz w:val="22"/>
          <w:szCs w:val="22"/>
        </w:rPr>
        <w:t xml:space="preserve"> Z. z. </w:t>
      </w:r>
      <w:r w:rsidRPr="003B614B">
        <w:rPr>
          <w:rFonts w:ascii="Arial Narrow" w:hAnsi="Arial Narrow" w:cs="Times New Roman"/>
          <w:sz w:val="22"/>
          <w:szCs w:val="22"/>
        </w:rPr>
        <w:t>upravujúca najmä daňovú uznateľnosť tvorby opravných položiek pre podnikateľov a banky ako aj tvorby technických rezerv poisťovní), ktorá spôsobí, že akruálny dopad sa premietne v hotovostnom plnení až v nasledujúcom roku.</w:t>
      </w:r>
    </w:p>
    <w:p w:rsidR="00782712" w:rsidRPr="00DF45EC" w:rsidP="00782712">
      <w:pPr>
        <w:ind w:firstLine="708"/>
        <w:jc w:val="both"/>
        <w:rPr>
          <w:rFonts w:cs="Times New Roman"/>
        </w:rPr>
      </w:pPr>
    </w:p>
    <w:p w:rsidR="00782712" w:rsidRPr="00DF45EC" w:rsidP="00782712">
      <w:pPr>
        <w:ind w:firstLine="708"/>
        <w:jc w:val="both"/>
        <w:rPr>
          <w:rFonts w:ascii="Arial Narrow" w:hAnsi="Arial Narrow" w:cs="Times New Roman"/>
          <w:sz w:val="22"/>
          <w:szCs w:val="22"/>
        </w:rPr>
      </w:pPr>
      <w:r w:rsidRPr="003B614B">
        <w:rPr>
          <w:rFonts w:ascii="Arial Narrow" w:hAnsi="Arial Narrow" w:cs="Times New Roman"/>
          <w:sz w:val="22"/>
          <w:szCs w:val="22"/>
        </w:rPr>
        <w:t>Na druhej strane, na rozdiel medzi akruálnym a hotovostným výnosom pozitívne vplýva najmä odlišné zaznamenávanie sumy 2</w:t>
      </w:r>
      <w:r w:rsidR="00850B6F">
        <w:rPr>
          <w:rFonts w:ascii="Arial Narrow" w:hAnsi="Arial Narrow" w:cs="Times New Roman"/>
          <w:sz w:val="22"/>
          <w:szCs w:val="22"/>
        </w:rPr>
        <w:t xml:space="preserve"> </w:t>
      </w:r>
      <w:r w:rsidRPr="003B614B">
        <w:rPr>
          <w:rFonts w:ascii="Arial Narrow" w:hAnsi="Arial Narrow" w:cs="Times New Roman"/>
          <w:sz w:val="22"/>
          <w:szCs w:val="22"/>
        </w:rPr>
        <w:t>%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00850B6F">
        <w:rPr>
          <w:rFonts w:ascii="Arial Narrow" w:hAnsi="Arial Narrow" w:cs="Times New Roman"/>
          <w:sz w:val="22"/>
          <w:szCs w:val="22"/>
        </w:rPr>
        <w:t xml:space="preserve"> </w:t>
      </w:r>
      <w:r w:rsidRPr="003B614B">
        <w:rPr>
          <w:rFonts w:ascii="Arial Narrow" w:hAnsi="Arial Narrow" w:cs="Times New Roman"/>
          <w:sz w:val="22"/>
          <w:szCs w:val="22"/>
        </w:rPr>
        <w:t>95.</w:t>
      </w:r>
      <w:r w:rsidRPr="00DF45EC">
        <w:rPr>
          <w:rFonts w:ascii="Arial Narrow" w:hAnsi="Arial Narrow" w:cs="Times New Roman"/>
          <w:sz w:val="22"/>
          <w:szCs w:val="22"/>
        </w:rPr>
        <w:t xml:space="preserve"> </w:t>
      </w:r>
    </w:p>
    <w:p w:rsidR="00782712" w:rsidP="00782712">
      <w:pPr>
        <w:rPr>
          <w:rFonts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880"/>
        <w:gridCol w:w="900"/>
        <w:gridCol w:w="900"/>
        <w:gridCol w:w="900"/>
        <w:gridCol w:w="900"/>
        <w:gridCol w:w="900"/>
        <w:gridCol w:w="900"/>
        <w:gridCol w:w="792"/>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9072" w:type="dxa"/>
            <w:gridSpan w:val="8"/>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782712" w:rsidRPr="00DF45EC" w:rsidP="00782712">
            <w:pPr>
              <w:rPr>
                <w:rFonts w:ascii="Arial Narrow" w:hAnsi="Arial Narrow" w:cs="Times New Roman"/>
                <w:b/>
                <w:bCs/>
                <w:color w:val="FFFFFF"/>
                <w:sz w:val="20"/>
              </w:rPr>
            </w:pPr>
            <w:r w:rsidRPr="00DF45EC">
              <w:rPr>
                <w:rFonts w:ascii="Arial Narrow" w:hAnsi="Arial Narrow" w:cs="Times New Roman"/>
                <w:b/>
                <w:bCs/>
                <w:color w:val="FFFFFF"/>
                <w:sz w:val="20"/>
              </w:rPr>
              <w:t>Vplyv prevodu prostriedkov na ver</w:t>
            </w:r>
            <w:r>
              <w:rPr>
                <w:rFonts w:ascii="Arial Narrow" w:hAnsi="Arial Narrow" w:cs="Times New Roman"/>
                <w:b/>
                <w:bCs/>
                <w:color w:val="FFFFFF"/>
                <w:sz w:val="20"/>
              </w:rPr>
              <w:t xml:space="preserve">ejnoprospešný účel v rokoch 2005 </w:t>
            </w:r>
            <w:r w:rsidR="00850B6F">
              <w:rPr>
                <w:rFonts w:ascii="Arial Narrow" w:hAnsi="Arial Narrow" w:cs="Times New Roman"/>
                <w:b/>
                <w:bCs/>
                <w:color w:val="FFFFFF"/>
                <w:sz w:val="20"/>
              </w:rPr>
              <w:t>až</w:t>
            </w:r>
            <w:r>
              <w:rPr>
                <w:rFonts w:ascii="Arial Narrow" w:hAnsi="Arial Narrow" w:cs="Times New Roman"/>
                <w:b/>
                <w:bCs/>
                <w:color w:val="FFFFFF"/>
                <w:sz w:val="20"/>
              </w:rPr>
              <w:t xml:space="preserve"> 2011</w:t>
            </w:r>
            <w:r w:rsidRPr="00DF45EC">
              <w:rPr>
                <w:rFonts w:ascii="Arial Narrow" w:hAnsi="Arial Narrow" w:cs="Times New Roman"/>
                <w:b/>
                <w:bCs/>
                <w:color w:val="FFFFFF"/>
                <w:sz w:val="20"/>
              </w:rPr>
              <w:t xml:space="preserve"> na rozpočet (v </w:t>
            </w:r>
            <w:r>
              <w:rPr>
                <w:rFonts w:ascii="Arial Narrow" w:hAnsi="Arial Narrow" w:cs="Times New Roman"/>
                <w:b/>
                <w:bCs/>
                <w:color w:val="FFFFFF"/>
                <w:sz w:val="20"/>
              </w:rPr>
              <w:t>tis. eur</w:t>
            </w:r>
            <w:r w:rsidRPr="00DF45EC">
              <w:rPr>
                <w:rFonts w:ascii="Arial Narrow" w:hAnsi="Arial Narrow" w:cs="Times New Roman"/>
                <w:b/>
                <w:bCs/>
                <w:color w:val="FFFFFF"/>
                <w:sz w:val="20"/>
              </w:rPr>
              <w:t>)</w:t>
            </w:r>
            <w:r w:rsidRPr="00DF45EC">
              <w:rPr>
                <w:rFonts w:ascii="Arial Narrow" w:hAnsi="Arial Narrow" w:cs="Times New Roman"/>
                <w:sz w:val="20"/>
              </w:rPr>
              <w:t> </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 </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2005</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2006</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2007</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2008</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2009</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sidRPr="00DF45EC">
              <w:rPr>
                <w:rFonts w:ascii="Arial Narrow" w:hAnsi="Arial Narrow" w:cs="Times New Roman"/>
                <w:b/>
                <w:bCs/>
                <w:sz w:val="18"/>
                <w:szCs w:val="18"/>
              </w:rPr>
              <w:t>2010</w:t>
            </w:r>
          </w:p>
        </w:tc>
        <w:tc>
          <w:tcPr>
            <w:tcW w:w="79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2011</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 xml:space="preserve">Prevod na VPÚ </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30 886</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37 346</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42 125</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48 298</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54 405</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60 712</w:t>
            </w:r>
          </w:p>
        </w:tc>
        <w:tc>
          <w:tcPr>
            <w:tcW w:w="79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6</w:t>
            </w:r>
            <w:r w:rsidRPr="002B3F91">
              <w:rPr>
                <w:rFonts w:ascii="Arial Narrow" w:hAnsi="Arial Narrow" w:cs="Times New Roman"/>
                <w:b/>
                <w:bCs/>
                <w:sz w:val="18"/>
                <w:szCs w:val="18"/>
              </w:rPr>
              <w:t>7 019</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 xml:space="preserve"> - zníženie príjmov na hotovostnej báze</w:t>
            </w: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c>
          <w:tcPr>
            <w:tcW w:w="79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b/>
                <w:bCs/>
                <w:sz w:val="18"/>
                <w:szCs w:val="18"/>
              </w:rPr>
            </w:pP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c>
          <w:tcPr>
            <w:tcW w:w="79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694E16">
            <w:pPr>
              <w:jc w:val="right"/>
              <w:rPr>
                <w:rFonts w:ascii="Arial Narrow" w:hAnsi="Arial Narrow" w:cs="Times New Roman"/>
                <w:sz w:val="18"/>
                <w:szCs w:val="18"/>
              </w:rPr>
            </w:pP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782712">
            <w:pPr>
              <w:rPr>
                <w:rFonts w:ascii="Arial Narrow" w:hAnsi="Arial Narrow" w:cs="Times New Roman"/>
                <w:b/>
                <w:bCs/>
                <w:sz w:val="18"/>
                <w:szCs w:val="18"/>
              </w:rPr>
            </w:pPr>
            <w:r w:rsidRPr="002B3F91">
              <w:rPr>
                <w:rFonts w:ascii="Arial Narrow" w:hAnsi="Arial Narrow" w:cs="Times New Roman"/>
                <w:b/>
                <w:bCs/>
                <w:sz w:val="18"/>
                <w:szCs w:val="18"/>
              </w:rPr>
              <w:t>Prevod na VPÚ spolu ESA</w:t>
            </w:r>
            <w:r w:rsidR="00850B6F">
              <w:rPr>
                <w:rFonts w:ascii="Arial Narrow" w:hAnsi="Arial Narrow" w:cs="Times New Roman"/>
                <w:b/>
                <w:bCs/>
                <w:sz w:val="18"/>
                <w:szCs w:val="18"/>
              </w:rPr>
              <w:t xml:space="preserve"> </w:t>
            </w:r>
            <w:r w:rsidRPr="002B3F91">
              <w:rPr>
                <w:rFonts w:ascii="Arial Narrow" w:hAnsi="Arial Narrow" w:cs="Times New Roman"/>
                <w:b/>
                <w:bCs/>
                <w:sz w:val="18"/>
                <w:szCs w:val="18"/>
              </w:rPr>
              <w:t>95</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30 886</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37 346</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42 125</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48 298</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54 405</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60 712</w:t>
            </w:r>
          </w:p>
        </w:tc>
        <w:tc>
          <w:tcPr>
            <w:tcW w:w="79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r w:rsidRPr="002B3F91">
              <w:rPr>
                <w:rFonts w:ascii="Arial Narrow" w:hAnsi="Arial Narrow" w:cs="Times New Roman"/>
                <w:b/>
                <w:bCs/>
                <w:sz w:val="18"/>
                <w:szCs w:val="18"/>
              </w:rPr>
              <w:t>67 019</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782712">
            <w:pPr>
              <w:rPr>
                <w:rFonts w:ascii="Arial Narrow" w:hAnsi="Arial Narrow" w:cs="Times New Roman"/>
                <w:sz w:val="18"/>
                <w:szCs w:val="18"/>
              </w:rPr>
            </w:pPr>
            <w:r w:rsidRPr="002B3F91">
              <w:rPr>
                <w:rFonts w:ascii="Arial Narrow" w:hAnsi="Arial Narrow" w:cs="Times New Roman"/>
                <w:sz w:val="18"/>
                <w:szCs w:val="18"/>
              </w:rPr>
              <w:t xml:space="preserve"> - zvýšenie výdavkov v</w:t>
            </w:r>
            <w:r w:rsidR="00850B6F">
              <w:rPr>
                <w:rFonts w:ascii="Arial Narrow" w:hAnsi="Arial Narrow" w:cs="Times New Roman"/>
                <w:sz w:val="18"/>
                <w:szCs w:val="18"/>
              </w:rPr>
              <w:t> </w:t>
            </w:r>
            <w:r w:rsidRPr="002B3F91">
              <w:rPr>
                <w:rFonts w:ascii="Arial Narrow" w:hAnsi="Arial Narrow" w:cs="Times New Roman"/>
                <w:sz w:val="18"/>
                <w:szCs w:val="18"/>
              </w:rPr>
              <w:t>ESA</w:t>
            </w:r>
            <w:r w:rsidR="00850B6F">
              <w:rPr>
                <w:rFonts w:ascii="Arial Narrow" w:hAnsi="Arial Narrow" w:cs="Times New Roman"/>
                <w:sz w:val="18"/>
                <w:szCs w:val="18"/>
              </w:rPr>
              <w:t xml:space="preserve"> </w:t>
            </w:r>
            <w:r w:rsidRPr="002B3F91">
              <w:rPr>
                <w:rFonts w:ascii="Arial Narrow" w:hAnsi="Arial Narrow" w:cs="Times New Roman"/>
                <w:sz w:val="18"/>
                <w:szCs w:val="18"/>
              </w:rPr>
              <w:t>95</w:t>
            </w: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c>
          <w:tcPr>
            <w:tcW w:w="79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b/>
                <w:bCs/>
                <w:sz w:val="18"/>
                <w:szCs w:val="18"/>
              </w:rPr>
            </w:pP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782712">
            <w:pPr>
              <w:rPr>
                <w:rFonts w:ascii="Arial Narrow" w:hAnsi="Arial Narrow" w:cs="Times New Roman"/>
                <w:sz w:val="18"/>
                <w:szCs w:val="18"/>
              </w:rPr>
            </w:pPr>
            <w:r w:rsidRPr="002B3F91">
              <w:rPr>
                <w:rFonts w:ascii="Arial Narrow" w:hAnsi="Arial Narrow" w:cs="Times New Roman"/>
                <w:sz w:val="18"/>
                <w:szCs w:val="18"/>
              </w:rPr>
              <w:t>Prevod na VPÚ z DPFO</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10 360</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11 717</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12 819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14 971</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17 294</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19 186</w:t>
            </w:r>
          </w:p>
        </w:tc>
        <w:tc>
          <w:tcPr>
            <w:tcW w:w="79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20 846</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782712">
            <w:pPr>
              <w:rPr>
                <w:rFonts w:ascii="Arial Narrow" w:hAnsi="Arial Narrow" w:cs="Times New Roman"/>
                <w:sz w:val="18"/>
                <w:szCs w:val="18"/>
              </w:rPr>
            </w:pPr>
            <w:r w:rsidRPr="002B3F91">
              <w:rPr>
                <w:rFonts w:ascii="Arial Narrow" w:hAnsi="Arial Narrow" w:cs="Times New Roman"/>
                <w:sz w:val="18"/>
                <w:szCs w:val="18"/>
              </w:rPr>
              <w:t>Prevod</w:t>
            </w:r>
            <w:r w:rsidRPr="002B3F91">
              <w:rPr>
                <w:rFonts w:ascii="Arial Narrow" w:hAnsi="Arial Narrow" w:cs="Times New Roman"/>
                <w:sz w:val="18"/>
                <w:szCs w:val="18"/>
              </w:rPr>
              <w:t xml:space="preserve"> na VPÚ z DPPO</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20 525</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25 629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29 306</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33 327</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37 111</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41 526</w:t>
            </w:r>
          </w:p>
        </w:tc>
        <w:tc>
          <w:tcPr>
            <w:tcW w:w="79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2B3F91" w:rsidP="00694E16">
            <w:pPr>
              <w:jc w:val="right"/>
              <w:rPr>
                <w:rFonts w:ascii="Arial Narrow" w:hAnsi="Arial Narrow" w:cs="Times New Roman"/>
                <w:sz w:val="18"/>
                <w:szCs w:val="18"/>
              </w:rPr>
            </w:pPr>
            <w:r w:rsidRPr="002B3F91">
              <w:rPr>
                <w:rFonts w:ascii="Arial Narrow" w:hAnsi="Arial Narrow" w:cs="Times New Roman"/>
                <w:sz w:val="18"/>
                <w:szCs w:val="18"/>
              </w:rPr>
              <w:t>46 173</w:t>
            </w:r>
          </w:p>
        </w:tc>
      </w:tr>
    </w:tbl>
    <w:p w:rsidR="00782712" w:rsidRPr="00DF45EC" w:rsidP="00782712">
      <w:pPr>
        <w:rPr>
          <w:rFonts w:cs="Times New Roman"/>
          <w:highlight w:val="yellow"/>
        </w:rPr>
      </w:pPr>
    </w:p>
    <w:p w:rsidR="00782712" w:rsidP="00782712">
      <w:pPr>
        <w:jc w:val="both"/>
        <w:rPr>
          <w:rFonts w:ascii="Arial Narrow" w:hAnsi="Arial Narrow" w:cs="Times New Roman"/>
          <w:sz w:val="22"/>
          <w:szCs w:val="22"/>
        </w:rPr>
      </w:pPr>
      <w:r w:rsidRPr="00DF45EC">
        <w:rPr>
          <w:rFonts w:ascii="Arial Narrow" w:hAnsi="Arial Narrow" w:cs="Times New Roman"/>
          <w:b/>
          <w:sz w:val="22"/>
          <w:szCs w:val="22"/>
        </w:rPr>
        <w:t>Daňové príjmy na akruálnej báze</w:t>
      </w:r>
      <w:r w:rsidRPr="00DF45EC">
        <w:rPr>
          <w:rFonts w:ascii="Arial Narrow" w:hAnsi="Arial Narrow" w:cs="Times New Roman"/>
          <w:sz w:val="22"/>
          <w:szCs w:val="22"/>
        </w:rPr>
        <w:t xml:space="preserve"> (metodika ESA</w:t>
      </w:r>
      <w:r w:rsidR="00850B6F">
        <w:rPr>
          <w:rFonts w:ascii="Arial Narrow" w:hAnsi="Arial Narrow" w:cs="Times New Roman"/>
          <w:sz w:val="22"/>
          <w:szCs w:val="22"/>
        </w:rPr>
        <w:t xml:space="preserve"> </w:t>
      </w:r>
      <w:r w:rsidRPr="00DF45EC">
        <w:rPr>
          <w:rFonts w:ascii="Arial Narrow" w:hAnsi="Arial Narrow" w:cs="Times New Roman"/>
          <w:sz w:val="22"/>
          <w:szCs w:val="22"/>
        </w:rPr>
        <w:t xml:space="preserve">95) </w:t>
      </w:r>
      <w:r w:rsidRPr="00156985">
        <w:rPr>
          <w:rFonts w:ascii="Arial Narrow" w:hAnsi="Arial Narrow" w:cs="Times New Roman"/>
          <w:b/>
          <w:sz w:val="22"/>
          <w:szCs w:val="22"/>
        </w:rPr>
        <w:t>bez sankcií</w:t>
      </w:r>
      <w:r w:rsidRPr="00DF45EC">
        <w:rPr>
          <w:rFonts w:ascii="Arial Narrow" w:hAnsi="Arial Narrow" w:cs="Times New Roman"/>
          <w:sz w:val="22"/>
          <w:szCs w:val="22"/>
        </w:rPr>
        <w:t xml:space="preserve"> sú prezentované v nasledovnej tabuľke.</w:t>
      </w: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rPr>
      </w:pPr>
    </w:p>
    <w:p w:rsidR="00F678B0" w:rsidP="00782712">
      <w:pPr>
        <w:jc w:val="both"/>
        <w:rPr>
          <w:rFonts w:ascii="Arial Narrow" w:hAnsi="Arial Narrow" w:cs="Times New Roman"/>
          <w:sz w:val="22"/>
          <w:szCs w:val="22"/>
          <w:highlight w:val="yellow"/>
        </w:rPr>
      </w:pPr>
    </w:p>
    <w:tbl>
      <w:tblPr>
        <w:tblW w:w="9072" w:type="dxa"/>
        <w:jc w:val="center"/>
        <w:tblCellMar>
          <w:left w:w="70" w:type="dxa"/>
          <w:right w:w="70" w:type="dxa"/>
        </w:tblCellMar>
      </w:tblPr>
      <w:tblGrid>
        <w:gridCol w:w="4159"/>
        <w:gridCol w:w="1011"/>
        <w:gridCol w:w="976"/>
        <w:gridCol w:w="976"/>
        <w:gridCol w:w="976"/>
        <w:gridCol w:w="974"/>
      </w:tblGrid>
      <w:tr>
        <w:tblPrEx>
          <w:tblW w:w="9072" w:type="dxa"/>
          <w:jc w:val="center"/>
          <w:tblCellMar>
            <w:left w:w="70" w:type="dxa"/>
            <w:right w:w="70" w:type="dxa"/>
          </w:tblCellMar>
        </w:tblPrEx>
        <w:trPr>
          <w:trHeight w:val="282"/>
          <w:jc w:val="center"/>
        </w:trPr>
        <w:tc>
          <w:tcPr>
            <w:tcW w:w="2292" w:type="pct"/>
            <w:vMerge w:val="restart"/>
            <w:tcBorders>
              <w:top w:val="single" w:sz="12" w:space="0" w:color="auto"/>
              <w:left w:val="single" w:sz="12" w:space="0" w:color="auto"/>
              <w:bottom w:val="single" w:sz="8" w:space="0" w:color="000000"/>
              <w:right w:val="single" w:sz="12"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v tis. eur</w:t>
            </w:r>
          </w:p>
        </w:tc>
        <w:tc>
          <w:tcPr>
            <w:tcW w:w="557" w:type="pct"/>
            <w:tcBorders>
              <w:top w:val="single" w:sz="12" w:space="0" w:color="auto"/>
              <w:left w:val="single" w:sz="12" w:space="0" w:color="auto"/>
              <w:bottom w:val="nil"/>
              <w:right w:val="single" w:sz="8"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Skutočnosť</w:t>
            </w:r>
          </w:p>
        </w:tc>
        <w:tc>
          <w:tcPr>
            <w:tcW w:w="538" w:type="pct"/>
            <w:tcBorders>
              <w:top w:val="single" w:sz="12" w:space="0" w:color="auto"/>
              <w:left w:val="nil"/>
              <w:bottom w:val="nil"/>
              <w:right w:val="single" w:sz="8"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Odhad</w:t>
            </w:r>
          </w:p>
        </w:tc>
        <w:tc>
          <w:tcPr>
            <w:tcW w:w="1613" w:type="pct"/>
            <w:gridSpan w:val="3"/>
            <w:tcBorders>
              <w:top w:val="single" w:sz="12" w:space="0" w:color="auto"/>
              <w:left w:val="single" w:sz="8" w:space="0" w:color="auto"/>
              <w:bottom w:val="single" w:sz="4" w:space="0" w:color="auto"/>
              <w:right w:val="single" w:sz="12" w:space="0" w:color="auto"/>
              <w:tl2br w:val="nil"/>
              <w:tr2bl w:val="nil"/>
            </w:tcBorders>
            <w:shd w:val="clear" w:color="auto" w:fill="00000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Prognóza</w:t>
            </w:r>
          </w:p>
        </w:tc>
      </w:tr>
      <w:tr>
        <w:tblPrEx>
          <w:tblW w:w="9072" w:type="dxa"/>
          <w:jc w:val="center"/>
          <w:tblCellMar>
            <w:left w:w="70" w:type="dxa"/>
            <w:right w:w="70" w:type="dxa"/>
          </w:tblCellMar>
        </w:tblPrEx>
        <w:trPr>
          <w:trHeight w:val="282"/>
          <w:jc w:val="center"/>
        </w:trPr>
        <w:tc>
          <w:tcPr>
            <w:tcW w:w="2292" w:type="pct"/>
            <w:vMerge/>
            <w:tcBorders>
              <w:top w:val="single" w:sz="8" w:space="0" w:color="auto"/>
              <w:left w:val="single" w:sz="12" w:space="0" w:color="auto"/>
              <w:bottom w:val="single" w:sz="12" w:space="0" w:color="auto"/>
              <w:right w:val="single" w:sz="12" w:space="0" w:color="auto"/>
              <w:tl2br w:val="nil"/>
              <w:tr2bl w:val="nil"/>
            </w:tcBorders>
            <w:textDirection w:val="lrTb"/>
            <w:vAlign w:val="center"/>
          </w:tcPr>
          <w:p w:rsidR="00782712" w:rsidRPr="00DF45EC" w:rsidP="00782712">
            <w:pPr>
              <w:rPr>
                <w:rFonts w:ascii="Arial Narrow" w:hAnsi="Arial Narrow" w:cs="Times New Roman"/>
                <w:b/>
                <w:bCs/>
                <w:sz w:val="18"/>
                <w:szCs w:val="18"/>
              </w:rPr>
            </w:pPr>
          </w:p>
        </w:tc>
        <w:tc>
          <w:tcPr>
            <w:tcW w:w="557" w:type="pct"/>
            <w:tcBorders>
              <w:top w:val="nil"/>
              <w:left w:val="single" w:sz="12" w:space="0" w:color="auto"/>
              <w:bottom w:val="single" w:sz="12" w:space="0" w:color="auto"/>
              <w:right w:val="single" w:sz="8" w:space="0" w:color="auto"/>
              <w:tl2br w:val="nil"/>
              <w:tr2bl w:val="nil"/>
            </w:tcBorders>
            <w:shd w:val="clear" w:color="auto" w:fill="00000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2007</w:t>
            </w:r>
          </w:p>
        </w:tc>
        <w:tc>
          <w:tcPr>
            <w:tcW w:w="538" w:type="pct"/>
            <w:tcBorders>
              <w:top w:val="nil"/>
              <w:left w:val="nil"/>
              <w:bottom w:val="single" w:sz="12" w:space="0" w:color="auto"/>
              <w:right w:val="single" w:sz="4"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2008</w:t>
            </w:r>
          </w:p>
        </w:tc>
        <w:tc>
          <w:tcPr>
            <w:tcW w:w="538" w:type="pct"/>
            <w:tcBorders>
              <w:top w:val="nil"/>
              <w:left w:val="nil"/>
              <w:bottom w:val="single" w:sz="12" w:space="0" w:color="auto"/>
              <w:right w:val="single" w:sz="4"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w:t>
            </w:r>
            <w:r>
              <w:rPr>
                <w:rFonts w:ascii="Arial Narrow" w:hAnsi="Arial Narrow" w:cs="Times New Roman"/>
                <w:b/>
                <w:bCs/>
                <w:sz w:val="18"/>
                <w:szCs w:val="18"/>
              </w:rPr>
              <w:t>009</w:t>
            </w:r>
          </w:p>
        </w:tc>
        <w:tc>
          <w:tcPr>
            <w:tcW w:w="538" w:type="pct"/>
            <w:tcBorders>
              <w:top w:val="nil"/>
              <w:left w:val="nil"/>
              <w:bottom w:val="single" w:sz="12" w:space="0" w:color="auto"/>
              <w:right w:val="nil"/>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2010</w:t>
            </w:r>
          </w:p>
        </w:tc>
        <w:tc>
          <w:tcPr>
            <w:tcW w:w="537" w:type="pct"/>
            <w:tcBorders>
              <w:top w:val="nil"/>
              <w:left w:val="single" w:sz="4" w:space="0" w:color="auto"/>
              <w:bottom w:val="single" w:sz="12" w:space="0" w:color="auto"/>
              <w:right w:val="single" w:sz="12" w:space="0" w:color="auto"/>
              <w:tl2br w:val="nil"/>
              <w:tr2bl w:val="nil"/>
            </w:tcBorders>
            <w:shd w:val="clear" w:color="auto" w:fill="000000"/>
            <w:noWrap/>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2011</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z príjmov, ziskov a kapitálového majetku</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3 606 357</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4 173 314</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4 722 937</w:t>
            </w:r>
          </w:p>
        </w:tc>
        <w:tc>
          <w:tcPr>
            <w:tcW w:w="538" w:type="pct"/>
            <w:tcBorders>
              <w:top w:val="single" w:sz="12" w:space="0" w:color="auto"/>
              <w:left w:val="nil"/>
              <w:bottom w:val="single" w:sz="12" w:space="0" w:color="auto"/>
              <w:right w:val="nil"/>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5 094 747</w:t>
            </w:r>
          </w:p>
        </w:tc>
        <w:tc>
          <w:tcPr>
            <w:tcW w:w="537" w:type="pct"/>
            <w:tcBorders>
              <w:top w:val="single" w:sz="12" w:space="0" w:color="auto"/>
              <w:left w:val="single" w:sz="4" w:space="0" w:color="auto"/>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5 594 660</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príjmov fyzických osôb</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1 601 136</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1 869 680</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2 078 604</w:t>
            </w:r>
          </w:p>
        </w:tc>
        <w:tc>
          <w:tcPr>
            <w:tcW w:w="538" w:type="pct"/>
            <w:tcBorders>
              <w:top w:val="single" w:sz="12" w:space="0" w:color="auto"/>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2 268 837</w:t>
            </w:r>
          </w:p>
        </w:tc>
        <w:tc>
          <w:tcPr>
            <w:tcW w:w="537" w:type="pct"/>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2 515 866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DPFO zo závislej činnosti</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1 405 093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1 653 455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1 844 520</w:t>
            </w:r>
          </w:p>
        </w:tc>
        <w:tc>
          <w:tcPr>
            <w:tcW w:w="538" w:type="pct"/>
            <w:tcBorders>
              <w:top w:val="nil"/>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2 013 24</w:t>
            </w:r>
            <w:r>
              <w:rPr>
                <w:rFonts w:ascii="Arial Narrow" w:hAnsi="Arial Narrow" w:cs="Times New Roman"/>
                <w:sz w:val="18"/>
                <w:szCs w:val="18"/>
              </w:rPr>
              <w:t>4</w:t>
            </w:r>
          </w:p>
        </w:tc>
        <w:tc>
          <w:tcPr>
            <w:tcW w:w="537" w:type="pct"/>
            <w:tcBorders>
              <w:top w:val="nil"/>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2 235 942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Pr>
                <w:rFonts w:ascii="Arial Narrow" w:hAnsi="Arial Narrow" w:cs="Times New Roman"/>
                <w:sz w:val="18"/>
                <w:szCs w:val="18"/>
              </w:rPr>
              <w:t>DPFO z podnikania (rok 2007 je odhad)</w:t>
            </w:r>
          </w:p>
        </w:tc>
        <w:tc>
          <w:tcPr>
            <w:tcW w:w="557" w:type="pct"/>
            <w:tcBorders>
              <w:top w:val="nil"/>
              <w:left w:val="single" w:sz="12" w:space="0" w:color="auto"/>
              <w:bottom w:val="nil"/>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196 043</w:t>
            </w:r>
          </w:p>
        </w:tc>
        <w:tc>
          <w:tcPr>
            <w:tcW w:w="538" w:type="pct"/>
            <w:tcBorders>
              <w:top w:val="nil"/>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216 225</w:t>
            </w:r>
          </w:p>
        </w:tc>
        <w:tc>
          <w:tcPr>
            <w:tcW w:w="538" w:type="pct"/>
            <w:tcBorders>
              <w:top w:val="nil"/>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234 084</w:t>
            </w:r>
          </w:p>
        </w:tc>
        <w:tc>
          <w:tcPr>
            <w:tcW w:w="538" w:type="pct"/>
            <w:tcBorders>
              <w:top w:val="nil"/>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255 593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279 924</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štátneho rozpočtu </w:t>
            </w:r>
          </w:p>
        </w:tc>
        <w:tc>
          <w:tcPr>
            <w:tcW w:w="557" w:type="pct"/>
            <w:tcBorders>
              <w:top w:val="single" w:sz="4"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99 270</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153 499</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174 529</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198 588</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226 696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1 125 599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1 286 221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1 427 041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1 551 583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1 715 657</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VÚC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376 267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429 960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477 034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518 666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57</w:t>
            </w:r>
            <w:r>
              <w:rPr>
                <w:rFonts w:ascii="Arial Narrow" w:hAnsi="Arial Narrow" w:cs="Times New Roman"/>
                <w:sz w:val="18"/>
                <w:szCs w:val="18"/>
              </w:rPr>
              <w:t>3 513</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w:t>
            </w:r>
            <w:r>
              <w:rPr>
                <w:rFonts w:ascii="Arial Narrow" w:hAnsi="Arial Narrow" w:cs="Times New Roman"/>
                <w:sz w:val="18"/>
                <w:szCs w:val="18"/>
              </w:rPr>
              <w:t>ov právnických osôb (rok 2007 je odhad)</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1 816 205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2 104 902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2 434 481</w:t>
            </w:r>
          </w:p>
        </w:tc>
        <w:tc>
          <w:tcPr>
            <w:tcW w:w="538" w:type="pct"/>
            <w:tcBorders>
              <w:top w:val="nil"/>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2 601 785</w:t>
            </w:r>
          </w:p>
        </w:tc>
        <w:tc>
          <w:tcPr>
            <w:tcW w:w="537" w:type="pct"/>
            <w:tcBorders>
              <w:top w:val="nil"/>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2 848 926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príjmov vyberaná zrážkou</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189 016</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198 732</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209 852</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224 125</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229 868</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na tovary a služby</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6 318 366</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6 564 114</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6 969 313</w:t>
            </w:r>
          </w:p>
        </w:tc>
        <w:tc>
          <w:tcPr>
            <w:tcW w:w="538" w:type="pct"/>
            <w:tcBorders>
              <w:top w:val="single" w:sz="12" w:space="0" w:color="auto"/>
              <w:left w:val="nil"/>
              <w:bottom w:val="single" w:sz="12" w:space="0" w:color="auto"/>
              <w:right w:val="nil"/>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7 648 627</w:t>
            </w:r>
          </w:p>
        </w:tc>
        <w:tc>
          <w:tcPr>
            <w:tcW w:w="537" w:type="pct"/>
            <w:tcBorders>
              <w:top w:val="single" w:sz="12" w:space="0" w:color="auto"/>
              <w:left w:val="single" w:sz="4" w:space="0" w:color="auto"/>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8 156 926</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pridanej hodnoty</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4 147 091</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4 711 943</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5 010 091</w:t>
            </w:r>
          </w:p>
        </w:tc>
        <w:tc>
          <w:tcPr>
            <w:tcW w:w="538" w:type="pct"/>
            <w:tcBorders>
              <w:top w:val="single" w:sz="12" w:space="0" w:color="auto"/>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5 397 066</w:t>
            </w:r>
          </w:p>
        </w:tc>
        <w:tc>
          <w:tcPr>
            <w:tcW w:w="537" w:type="pct"/>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5 837 980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Spotrebné dane</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2 171 274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1 852 171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1 959 222</w:t>
            </w:r>
          </w:p>
        </w:tc>
        <w:tc>
          <w:tcPr>
            <w:tcW w:w="538" w:type="pct"/>
            <w:tcBorders>
              <w:top w:val="nil"/>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2 251 561</w:t>
            </w:r>
          </w:p>
        </w:tc>
        <w:tc>
          <w:tcPr>
            <w:tcW w:w="537" w:type="pct"/>
            <w:tcBorders>
              <w:top w:val="nil"/>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2 318 946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minerálnych olejov</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1 117 943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1 190 435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1 217 509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1 268 628</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1 318 028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liehu</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200 571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213 417</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218 112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222 692</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 xml:space="preserve">227 </w:t>
            </w:r>
            <w:r>
              <w:rPr>
                <w:rFonts w:ascii="Arial Narrow" w:hAnsi="Arial Narrow" w:cs="Times New Roman"/>
                <w:sz w:val="18"/>
                <w:szCs w:val="18"/>
              </w:rPr>
              <w:t>146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piva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66 333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65 359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67 516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69 541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71 488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vína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3 702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3 718</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tabaku a tabakových výrobkov</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782 725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365 034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423 090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630 187</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640 244</w:t>
            </w:r>
          </w:p>
        </w:tc>
      </w:tr>
      <w:tr>
        <w:tblPrEx>
          <w:tblW w:w="9072" w:type="dxa"/>
          <w:jc w:val="center"/>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elektrickej energie</w:t>
            </w:r>
          </w:p>
        </w:tc>
        <w:tc>
          <w:tcPr>
            <w:tcW w:w="557" w:type="pct"/>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4 382</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9 062</w:t>
            </w:r>
          </w:p>
        </w:tc>
        <w:tc>
          <w:tcPr>
            <w:tcW w:w="538" w:type="pct"/>
            <w:tcBorders>
              <w:top w:val="single" w:sz="4"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18 755</w:t>
            </w:r>
          </w:p>
        </w:tc>
        <w:tc>
          <w:tcPr>
            <w:tcW w:w="537" w:type="pct"/>
            <w:tcBorders>
              <w:top w:val="single" w:sz="4"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19 319</w:t>
            </w:r>
          </w:p>
        </w:tc>
      </w:tr>
      <w:tr>
        <w:tblPrEx>
          <w:tblW w:w="9072" w:type="dxa"/>
          <w:jc w:val="center"/>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Zo zemného plynu</w:t>
            </w:r>
          </w:p>
        </w:tc>
        <w:tc>
          <w:tcPr>
            <w:tcW w:w="557" w:type="pct"/>
            <w:tcBorders>
              <w:top w:val="single" w:sz="4"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single" w:sz="4" w:space="0" w:color="auto"/>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8 133</w:t>
            </w:r>
          </w:p>
        </w:tc>
        <w:tc>
          <w:tcPr>
            <w:tcW w:w="538" w:type="pct"/>
            <w:tcBorders>
              <w:top w:val="single" w:sz="4" w:space="0" w:color="auto"/>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16 763</w:t>
            </w:r>
          </w:p>
        </w:tc>
        <w:tc>
          <w:tcPr>
            <w:tcW w:w="538" w:type="pct"/>
            <w:tcBorders>
              <w:top w:val="single" w:sz="4" w:space="0" w:color="auto"/>
              <w:left w:val="nil"/>
              <w:bottom w:val="nil"/>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34 555</w:t>
            </w:r>
          </w:p>
        </w:tc>
        <w:tc>
          <w:tcPr>
            <w:tcW w:w="537" w:type="pct"/>
            <w:tcBorders>
              <w:top w:val="single" w:sz="4"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35 484</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720"/>
              <w:rPr>
                <w:rFonts w:ascii="Arial Narrow" w:hAnsi="Arial Narrow" w:cs="Times New Roman"/>
                <w:sz w:val="18"/>
                <w:szCs w:val="18"/>
              </w:rPr>
            </w:pPr>
            <w:r w:rsidRPr="00DF45EC">
              <w:rPr>
                <w:rFonts w:ascii="Arial Narrow" w:hAnsi="Arial Narrow" w:cs="Times New Roman"/>
                <w:sz w:val="18"/>
                <w:szCs w:val="18"/>
              </w:rPr>
              <w:t>Z uhlia</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1 693</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3 452</w:t>
            </w:r>
          </w:p>
        </w:tc>
        <w:tc>
          <w:tcPr>
            <w:tcW w:w="538" w:type="pct"/>
            <w:tcBorders>
              <w:top w:val="single" w:sz="4"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3 485</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3 519</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Dane z medzinárodného obchodu a transakcií</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33 821</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38 842</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39 629</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40 501</w:t>
            </w:r>
          </w:p>
        </w:tc>
        <w:tc>
          <w:tcPr>
            <w:tcW w:w="537" w:type="pct"/>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41 392</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Dovozné clo</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421</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single" w:sz="12"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Dovozná prirážka</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272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Podiel na vybratých finančných prostriedkoch</w:t>
            </w:r>
            <w:r>
              <w:rPr>
                <w:rFonts w:ascii="Arial Narrow" w:hAnsi="Arial Narrow" w:cs="Times New Roman"/>
                <w:sz w:val="18"/>
                <w:szCs w:val="18"/>
              </w:rPr>
              <w:t xml:space="preserve"> EÚ</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33 110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38 776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39 629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40 501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41 392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Ostatné colné príjmy</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17</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66</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Miestne dane</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481 906</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497 510</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509 793</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522 340</w:t>
            </w:r>
          </w:p>
        </w:tc>
        <w:tc>
          <w:tcPr>
            <w:tcW w:w="537" w:type="pct"/>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535 153</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nehnuteľností</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227 476</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232 025</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236 673</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241 419</w:t>
            </w:r>
          </w:p>
        </w:tc>
        <w:tc>
          <w:tcPr>
            <w:tcW w:w="537" w:type="pct"/>
            <w:tcBorders>
              <w:top w:val="single" w:sz="12"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24</w:t>
            </w:r>
            <w:r>
              <w:rPr>
                <w:rFonts w:ascii="Arial Narrow" w:hAnsi="Arial Narrow" w:cs="Times New Roman"/>
                <w:sz w:val="18"/>
                <w:szCs w:val="18"/>
              </w:rPr>
              <w:t>6 266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Dane za špecifické služby</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138 228</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142 833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145 323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147 813</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150 302</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motorových vozidiel</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116 202</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122 652</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127 797</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133 108</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138 585</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Ostatné dane</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73 423</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81 161</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92 322</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96 505</w:t>
            </w:r>
          </w:p>
        </w:tc>
        <w:tc>
          <w:tcPr>
            <w:tcW w:w="537" w:type="pct"/>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97 347</w:t>
            </w:r>
          </w:p>
        </w:tc>
      </w:tr>
      <w:tr>
        <w:tblPrEx>
          <w:tblW w:w="9072" w:type="dxa"/>
          <w:jc w:val="center"/>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Úhrada za služby verejnosti poskytované STV a SRo</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71 141</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79 035</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90</w:t>
            </w:r>
            <w:r>
              <w:rPr>
                <w:rFonts w:ascii="Arial Narrow" w:hAnsi="Arial Narrow" w:cs="Times New Roman"/>
                <w:sz w:val="18"/>
                <w:szCs w:val="18"/>
              </w:rPr>
              <w:t xml:space="preserve"> 895</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94 978</w:t>
            </w:r>
          </w:p>
        </w:tc>
        <w:tc>
          <w:tcPr>
            <w:tcW w:w="537" w:type="pct"/>
            <w:tcBorders>
              <w:top w:val="single" w:sz="12" w:space="0" w:color="auto"/>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95 820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úhrad za dobývací priestor</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531</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štátneho rozpočtu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1080"/>
              <w:rPr>
                <w:rFonts w:ascii="Arial Narrow" w:hAnsi="Arial Narrow" w:cs="Times New Roman"/>
                <w:sz w:val="18"/>
                <w:szCs w:val="18"/>
              </w:rPr>
            </w:pPr>
            <w:r w:rsidRPr="00DF45EC">
              <w:rPr>
                <w:rFonts w:ascii="Arial Narrow" w:hAnsi="Arial Narrow" w:cs="Times New Roman"/>
                <w:sz w:val="18"/>
                <w:szCs w:val="18"/>
              </w:rPr>
              <w:t xml:space="preserve">do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150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425</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 z úhrad za uskladňovanie plynov alebo kvapalín</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1 221</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Majetkové dane (do ŠR)</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1 064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Iné dane</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-223</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c>
          <w:tcPr>
            <w:tcW w:w="537" w:type="pct"/>
            <w:tcBorders>
              <w:top w:val="nil"/>
              <w:left w:val="nil"/>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0</w:t>
            </w:r>
          </w:p>
        </w:tc>
      </w:tr>
      <w:tr>
        <w:tblPrEx>
          <w:tblW w:w="9072" w:type="dxa"/>
          <w:jc w:val="center"/>
          <w:tblCellMar>
            <w:left w:w="70" w:type="dxa"/>
            <w:right w:w="70" w:type="dxa"/>
          </w:tblCellMar>
        </w:tblPrEx>
        <w:trPr>
          <w:trHeight w:val="227"/>
          <w:jc w:val="center"/>
        </w:trPr>
        <w:tc>
          <w:tcPr>
            <w:tcW w:w="2292" w:type="pct"/>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Daňové príjmy VS spolu</w:t>
            </w:r>
          </w:p>
        </w:tc>
        <w:tc>
          <w:tcPr>
            <w:tcW w:w="557" w:type="pct"/>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10 513 873</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11 354 941</w:t>
            </w:r>
          </w:p>
        </w:tc>
        <w:tc>
          <w:tcPr>
            <w:tcW w:w="538" w:type="pct"/>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12 333 994</w:t>
            </w:r>
          </w:p>
        </w:tc>
        <w:tc>
          <w:tcPr>
            <w:tcW w:w="538" w:type="pct"/>
            <w:tcBorders>
              <w:top w:val="single" w:sz="12" w:space="0" w:color="auto"/>
              <w:left w:val="nil"/>
              <w:bottom w:val="single" w:sz="12" w:space="0" w:color="auto"/>
              <w:right w:val="nil"/>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13 402 720</w:t>
            </w:r>
          </w:p>
        </w:tc>
        <w:tc>
          <w:tcPr>
            <w:tcW w:w="537" w:type="pct"/>
            <w:tcBorders>
              <w:top w:val="single" w:sz="12" w:space="0" w:color="auto"/>
              <w:left w:val="single" w:sz="4" w:space="0" w:color="auto"/>
              <w:bottom w:val="single" w:sz="12" w:space="0" w:color="auto"/>
              <w:right w:val="single" w:sz="12" w:space="0" w:color="auto"/>
              <w:tl2br w:val="nil"/>
              <w:tr2bl w:val="nil"/>
            </w:tcBorders>
            <w:shd w:val="clear" w:color="auto" w:fill="C0C0C0"/>
            <w:noWrap/>
            <w:textDirection w:val="lrTb"/>
            <w:vAlign w:val="center"/>
          </w:tcPr>
          <w:p w:rsidR="00782712" w:rsidP="00782712">
            <w:pPr>
              <w:jc w:val="right"/>
              <w:rPr>
                <w:rFonts w:ascii="Arial Narrow" w:hAnsi="Arial Narrow" w:cs="Times New Roman"/>
                <w:b/>
                <w:bCs/>
                <w:sz w:val="18"/>
                <w:szCs w:val="18"/>
              </w:rPr>
            </w:pPr>
            <w:r>
              <w:rPr>
                <w:rFonts w:ascii="Arial Narrow" w:hAnsi="Arial Narrow" w:cs="Times New Roman"/>
                <w:b/>
                <w:bCs/>
                <w:sz w:val="18"/>
                <w:szCs w:val="18"/>
              </w:rPr>
              <w:t>14 425 478</w:t>
            </w:r>
          </w:p>
        </w:tc>
      </w:tr>
      <w:tr>
        <w:tblPrEx>
          <w:tblW w:w="9072" w:type="dxa"/>
          <w:jc w:val="center"/>
          <w:tblCellMar>
            <w:left w:w="70" w:type="dxa"/>
            <w:right w:w="70" w:type="dxa"/>
          </w:tblCellMar>
        </w:tblPrEx>
        <w:trPr>
          <w:trHeight w:val="227"/>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Daňové príjmy ŠR</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8 457 188</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9 060 894</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9 827 910</w:t>
            </w:r>
          </w:p>
        </w:tc>
        <w:tc>
          <w:tcPr>
            <w:tcW w:w="538" w:type="pct"/>
            <w:tcBorders>
              <w:top w:val="single" w:sz="12" w:space="0" w:color="auto"/>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10 713 732</w:t>
            </w:r>
          </w:p>
        </w:tc>
        <w:tc>
          <w:tcPr>
            <w:tcW w:w="537" w:type="pct"/>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11 503 914</w:t>
            </w:r>
          </w:p>
        </w:tc>
      </w:tr>
      <w:tr>
        <w:tblPrEx>
          <w:tblW w:w="9072" w:type="dxa"/>
          <w:jc w:val="center"/>
          <w:tblCellMar>
            <w:left w:w="70" w:type="dxa"/>
            <w:right w:w="70" w:type="dxa"/>
          </w:tblCellMar>
        </w:tblPrEx>
        <w:trPr>
          <w:trHeight w:val="227"/>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 xml:space="preserve">Daňové príjmy obcí </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1 491 853</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1 661 504</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1 809 462</w:t>
            </w:r>
          </w:p>
        </w:tc>
        <w:tc>
          <w:tcPr>
            <w:tcW w:w="538" w:type="pct"/>
            <w:tcBorders>
              <w:top w:val="nil"/>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1 941 240</w:t>
            </w:r>
          </w:p>
        </w:tc>
        <w:tc>
          <w:tcPr>
            <w:tcW w:w="537" w:type="pct"/>
            <w:tcBorders>
              <w:top w:val="nil"/>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2 112 650</w:t>
            </w:r>
          </w:p>
        </w:tc>
      </w:tr>
      <w:tr>
        <w:tblPrEx>
          <w:tblW w:w="9072" w:type="dxa"/>
          <w:jc w:val="center"/>
          <w:tblCellMar>
            <w:left w:w="70" w:type="dxa"/>
            <w:right w:w="70" w:type="dxa"/>
          </w:tblCellMar>
        </w:tblPrEx>
        <w:trPr>
          <w:trHeight w:val="227"/>
          <w:jc w:val="center"/>
        </w:trPr>
        <w:tc>
          <w:tcPr>
            <w:tcW w:w="2292" w:type="pct"/>
            <w:tcBorders>
              <w:top w:val="nil"/>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Daňové p</w:t>
            </w:r>
            <w:r w:rsidRPr="00DF45EC">
              <w:rPr>
                <w:rFonts w:ascii="Arial Narrow" w:hAnsi="Arial Narrow" w:cs="Times New Roman"/>
                <w:sz w:val="18"/>
                <w:szCs w:val="18"/>
              </w:rPr>
              <w:t>ríjmy VÚC</w:t>
            </w:r>
          </w:p>
        </w:tc>
        <w:tc>
          <w:tcPr>
            <w:tcW w:w="557" w:type="pct"/>
            <w:tcBorders>
              <w:top w:val="nil"/>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492 469</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552 612</w:t>
            </w:r>
          </w:p>
        </w:tc>
        <w:tc>
          <w:tcPr>
            <w:tcW w:w="538" w:type="pct"/>
            <w:tcBorders>
              <w:top w:val="nil"/>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604 831</w:t>
            </w:r>
          </w:p>
        </w:tc>
        <w:tc>
          <w:tcPr>
            <w:tcW w:w="538" w:type="pct"/>
            <w:tcBorders>
              <w:top w:val="nil"/>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651 774</w:t>
            </w:r>
          </w:p>
        </w:tc>
        <w:tc>
          <w:tcPr>
            <w:tcW w:w="537" w:type="pct"/>
            <w:tcBorders>
              <w:top w:val="nil"/>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712 098</w:t>
            </w:r>
          </w:p>
        </w:tc>
      </w:tr>
      <w:tr>
        <w:tblPrEx>
          <w:tblW w:w="9072" w:type="dxa"/>
          <w:jc w:val="center"/>
          <w:tblCellMar>
            <w:left w:w="70" w:type="dxa"/>
            <w:right w:w="70" w:type="dxa"/>
          </w:tblCellMar>
        </w:tblPrEx>
        <w:trPr>
          <w:trHeight w:val="227"/>
          <w:jc w:val="center"/>
        </w:trPr>
        <w:tc>
          <w:tcPr>
            <w:tcW w:w="2292" w:type="pct"/>
            <w:tcBorders>
              <w:top w:val="single" w:sz="4" w:space="0" w:color="auto"/>
              <w:left w:val="single" w:sz="12" w:space="0" w:color="auto"/>
              <w:bottom w:val="single" w:sz="8"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Daňové príjmy STV</w:t>
            </w:r>
          </w:p>
        </w:tc>
        <w:tc>
          <w:tcPr>
            <w:tcW w:w="557" w:type="pct"/>
            <w:tcBorders>
              <w:top w:val="single" w:sz="4" w:space="0" w:color="auto"/>
              <w:left w:val="single" w:sz="12" w:space="0" w:color="auto"/>
              <w:bottom w:val="single" w:sz="8"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49 562</w:t>
            </w:r>
          </w:p>
        </w:tc>
        <w:tc>
          <w:tcPr>
            <w:tcW w:w="538" w:type="pct"/>
            <w:tcBorders>
              <w:top w:val="single" w:sz="4" w:space="0" w:color="auto"/>
              <w:left w:val="nil"/>
              <w:bottom w:val="single" w:sz="8"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57 027</w:t>
            </w:r>
          </w:p>
        </w:tc>
        <w:tc>
          <w:tcPr>
            <w:tcW w:w="538" w:type="pct"/>
            <w:tcBorders>
              <w:top w:val="single" w:sz="4" w:space="0" w:color="auto"/>
              <w:left w:val="nil"/>
              <w:bottom w:val="single" w:sz="8"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67 227</w:t>
            </w:r>
          </w:p>
        </w:tc>
        <w:tc>
          <w:tcPr>
            <w:tcW w:w="538" w:type="pct"/>
            <w:tcBorders>
              <w:top w:val="single" w:sz="4" w:space="0" w:color="auto"/>
              <w:left w:val="nil"/>
              <w:bottom w:val="single" w:sz="8"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69 651</w:t>
            </w:r>
          </w:p>
        </w:tc>
        <w:tc>
          <w:tcPr>
            <w:tcW w:w="537" w:type="pct"/>
            <w:tcBorders>
              <w:top w:val="single" w:sz="4" w:space="0" w:color="auto"/>
              <w:left w:val="single" w:sz="4" w:space="0" w:color="auto"/>
              <w:bottom w:val="single" w:sz="8"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70 493</w:t>
            </w:r>
          </w:p>
        </w:tc>
      </w:tr>
      <w:tr>
        <w:tblPrEx>
          <w:tblW w:w="9072" w:type="dxa"/>
          <w:jc w:val="center"/>
          <w:tblCellMar>
            <w:left w:w="70" w:type="dxa"/>
            <w:right w:w="70" w:type="dxa"/>
          </w:tblCellMar>
        </w:tblPrEx>
        <w:trPr>
          <w:trHeight w:val="227"/>
          <w:jc w:val="center"/>
        </w:trPr>
        <w:tc>
          <w:tcPr>
            <w:tcW w:w="2292" w:type="pct"/>
            <w:tcBorders>
              <w:top w:val="single" w:sz="8" w:space="0" w:color="auto"/>
              <w:left w:val="single" w:sz="12" w:space="0" w:color="auto"/>
              <w:bottom w:val="single" w:sz="8"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Pr>
                <w:rFonts w:ascii="Arial Narrow" w:hAnsi="Arial Narrow" w:cs="Times New Roman"/>
                <w:sz w:val="18"/>
                <w:szCs w:val="18"/>
              </w:rPr>
              <w:t>Daňové príjmy SRo</w:t>
            </w:r>
          </w:p>
        </w:tc>
        <w:tc>
          <w:tcPr>
            <w:tcW w:w="557" w:type="pct"/>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21 579</w:t>
            </w:r>
          </w:p>
        </w:tc>
        <w:tc>
          <w:tcPr>
            <w:tcW w:w="538" w:type="pct"/>
            <w:tcBorders>
              <w:top w:val="single" w:sz="8" w:space="0" w:color="auto"/>
              <w:left w:val="nil"/>
              <w:bottom w:val="single" w:sz="8"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22 008</w:t>
            </w:r>
          </w:p>
        </w:tc>
        <w:tc>
          <w:tcPr>
            <w:tcW w:w="538" w:type="pct"/>
            <w:tcBorders>
              <w:top w:val="single" w:sz="8" w:space="0" w:color="auto"/>
              <w:left w:val="nil"/>
              <w:bottom w:val="single" w:sz="8"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23 667</w:t>
            </w:r>
          </w:p>
        </w:tc>
        <w:tc>
          <w:tcPr>
            <w:tcW w:w="538" w:type="pct"/>
            <w:tcBorders>
              <w:top w:val="single" w:sz="8" w:space="0" w:color="auto"/>
              <w:left w:val="nil"/>
              <w:bottom w:val="single" w:sz="8"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25 327</w:t>
            </w:r>
          </w:p>
        </w:tc>
        <w:tc>
          <w:tcPr>
            <w:tcW w:w="537" w:type="pct"/>
            <w:tcBorders>
              <w:top w:val="single" w:sz="8" w:space="0" w:color="auto"/>
              <w:left w:val="single" w:sz="4" w:space="0" w:color="auto"/>
              <w:bottom w:val="single" w:sz="8"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25 327</w:t>
            </w:r>
          </w:p>
        </w:tc>
      </w:tr>
      <w:tr>
        <w:tblPrEx>
          <w:tblW w:w="9072" w:type="dxa"/>
          <w:jc w:val="center"/>
          <w:tblCellMar>
            <w:left w:w="70" w:type="dxa"/>
            <w:right w:w="70" w:type="dxa"/>
          </w:tblCellMar>
        </w:tblPrEx>
        <w:trPr>
          <w:trHeight w:val="227"/>
          <w:jc w:val="center"/>
        </w:trPr>
        <w:tc>
          <w:tcPr>
            <w:tcW w:w="2292" w:type="pct"/>
            <w:tcBorders>
              <w:top w:val="single" w:sz="8" w:space="0" w:color="auto"/>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ind w:firstLine="360"/>
              <w:rPr>
                <w:rFonts w:ascii="Arial Narrow" w:hAnsi="Arial Narrow" w:cs="Times New Roman"/>
                <w:sz w:val="18"/>
                <w:szCs w:val="18"/>
              </w:rPr>
            </w:pPr>
            <w:r w:rsidRPr="00DF45EC">
              <w:rPr>
                <w:rFonts w:ascii="Arial Narrow" w:hAnsi="Arial Narrow" w:cs="Times New Roman"/>
                <w:sz w:val="18"/>
                <w:szCs w:val="18"/>
              </w:rPr>
              <w:t>Environmentálny fond</w:t>
            </w:r>
          </w:p>
        </w:tc>
        <w:tc>
          <w:tcPr>
            <w:tcW w:w="557" w:type="pct"/>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1 221</w:t>
            </w:r>
          </w:p>
        </w:tc>
        <w:tc>
          <w:tcPr>
            <w:tcW w:w="538" w:type="pct"/>
            <w:tcBorders>
              <w:top w:val="single" w:sz="8"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single" w:sz="8" w:space="0" w:color="auto"/>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896</w:t>
            </w:r>
          </w:p>
        </w:tc>
        <w:tc>
          <w:tcPr>
            <w:tcW w:w="538" w:type="pct"/>
            <w:tcBorders>
              <w:top w:val="single" w:sz="8" w:space="0" w:color="auto"/>
              <w:left w:val="nil"/>
              <w:bottom w:val="single" w:sz="12"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c>
          <w:tcPr>
            <w:tcW w:w="537" w:type="pct"/>
            <w:tcBorders>
              <w:top w:val="single" w:sz="8" w:space="0" w:color="auto"/>
              <w:left w:val="single" w:sz="4" w:space="0" w:color="auto"/>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996</w:t>
            </w:r>
          </w:p>
        </w:tc>
      </w:tr>
      <w:tr>
        <w:tblPrEx>
          <w:tblW w:w="9072" w:type="dxa"/>
          <w:jc w:val="center"/>
          <w:tblCellMar>
            <w:left w:w="70" w:type="dxa"/>
            <w:right w:w="70" w:type="dxa"/>
          </w:tblCellMar>
        </w:tblPrEx>
        <w:trPr>
          <w:trHeight w:val="227"/>
          <w:jc w:val="center"/>
        </w:trPr>
        <w:tc>
          <w:tcPr>
            <w:tcW w:w="2292" w:type="pct"/>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Daňové príjmy VS – medziročný rast v %</w:t>
            </w:r>
          </w:p>
        </w:tc>
        <w:tc>
          <w:tcPr>
            <w:tcW w:w="557" w:type="pct"/>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12,0</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8,0</w:t>
            </w:r>
          </w:p>
        </w:tc>
        <w:tc>
          <w:tcPr>
            <w:tcW w:w="538" w:type="pct"/>
            <w:tcBorders>
              <w:top w:val="single" w:sz="12" w:space="0" w:color="auto"/>
              <w:left w:val="nil"/>
              <w:bottom w:val="single" w:sz="4"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8,6</w:t>
            </w:r>
          </w:p>
        </w:tc>
        <w:tc>
          <w:tcPr>
            <w:tcW w:w="538" w:type="pct"/>
            <w:tcBorders>
              <w:top w:val="single" w:sz="12" w:space="0" w:color="auto"/>
              <w:left w:val="nil"/>
              <w:bottom w:val="single" w:sz="4"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8</w:t>
            </w:r>
            <w:r>
              <w:rPr>
                <w:rFonts w:ascii="Arial Narrow" w:hAnsi="Arial Narrow" w:cs="Times New Roman"/>
                <w:sz w:val="18"/>
                <w:szCs w:val="18"/>
              </w:rPr>
              <w:t>,7</w:t>
            </w:r>
          </w:p>
        </w:tc>
        <w:tc>
          <w:tcPr>
            <w:tcW w:w="537" w:type="pct"/>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7,6</w:t>
            </w:r>
          </w:p>
        </w:tc>
      </w:tr>
      <w:tr>
        <w:tblPrEx>
          <w:tblW w:w="9072" w:type="dxa"/>
          <w:jc w:val="center"/>
          <w:tblCellMar>
            <w:left w:w="70" w:type="dxa"/>
            <w:right w:w="70" w:type="dxa"/>
          </w:tblCellMar>
        </w:tblPrEx>
        <w:trPr>
          <w:trHeight w:val="227"/>
          <w:jc w:val="center"/>
        </w:trPr>
        <w:tc>
          <w:tcPr>
            <w:tcW w:w="2292" w:type="pct"/>
            <w:tcBorders>
              <w:top w:val="nil"/>
              <w:left w:val="single" w:sz="12" w:space="0" w:color="auto"/>
              <w:bottom w:val="single" w:sz="12" w:space="0" w:color="auto"/>
              <w:right w:val="single" w:sz="12" w:space="0" w:color="auto"/>
              <w:tl2br w:val="nil"/>
              <w:tr2bl w:val="nil"/>
            </w:tcBorders>
            <w:noWrap/>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Daňové príjmy VS – podiel na HDP v %</w:t>
            </w:r>
          </w:p>
        </w:tc>
        <w:tc>
          <w:tcPr>
            <w:tcW w:w="557" w:type="pct"/>
            <w:tcBorders>
              <w:top w:val="nil"/>
              <w:left w:val="single" w:sz="12" w:space="0" w:color="auto"/>
              <w:bottom w:val="single" w:sz="12" w:space="0" w:color="auto"/>
              <w:right w:val="single" w:sz="8"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17,1</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16,6</w:t>
            </w:r>
          </w:p>
        </w:tc>
        <w:tc>
          <w:tcPr>
            <w:tcW w:w="538" w:type="pct"/>
            <w:tcBorders>
              <w:top w:val="nil"/>
              <w:left w:val="nil"/>
              <w:bottom w:val="single" w:sz="12" w:space="0" w:color="auto"/>
              <w:right w:val="single" w:sz="4"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16,5</w:t>
            </w:r>
          </w:p>
        </w:tc>
        <w:tc>
          <w:tcPr>
            <w:tcW w:w="538" w:type="pct"/>
            <w:tcBorders>
              <w:top w:val="nil"/>
              <w:left w:val="nil"/>
              <w:bottom w:val="single" w:sz="12" w:space="0" w:color="auto"/>
              <w:right w:val="nil"/>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16,5</w:t>
            </w:r>
          </w:p>
        </w:tc>
        <w:tc>
          <w:tcPr>
            <w:tcW w:w="537" w:type="pct"/>
            <w:tcBorders>
              <w:top w:val="nil"/>
              <w:left w:val="single" w:sz="4" w:space="0" w:color="auto"/>
              <w:bottom w:val="single" w:sz="12" w:space="0" w:color="auto"/>
              <w:right w:val="single" w:sz="12" w:space="0" w:color="auto"/>
              <w:tl2br w:val="nil"/>
              <w:tr2bl w:val="nil"/>
            </w:tcBorders>
            <w:noWrap/>
            <w:textDirection w:val="lrTb"/>
            <w:vAlign w:val="center"/>
          </w:tcPr>
          <w:p w:rsidR="00782712" w:rsidP="00782712">
            <w:pPr>
              <w:jc w:val="right"/>
              <w:rPr>
                <w:rFonts w:ascii="Arial Narrow" w:hAnsi="Arial Narrow" w:cs="Times New Roman"/>
                <w:sz w:val="18"/>
                <w:szCs w:val="18"/>
              </w:rPr>
            </w:pPr>
            <w:r>
              <w:rPr>
                <w:rFonts w:ascii="Arial Narrow" w:hAnsi="Arial Narrow" w:cs="Times New Roman"/>
                <w:sz w:val="18"/>
                <w:szCs w:val="18"/>
              </w:rPr>
              <w:t>16,3</w:t>
            </w:r>
          </w:p>
        </w:tc>
      </w:tr>
    </w:tbl>
    <w:p w:rsidR="00782712" w:rsidRPr="00DF45EC" w:rsidP="00CC0A61">
      <w:pPr>
        <w:outlineLvl w:val="1"/>
        <w:rPr>
          <w:rFonts w:ascii="Arial Narrow" w:hAnsi="Arial Narrow" w:cs="Times New Roman"/>
          <w:b/>
        </w:rPr>
      </w:pPr>
      <w:bookmarkStart w:id="39" w:name="_Toc211592397"/>
      <w:r w:rsidR="00CC0A61">
        <w:rPr>
          <w:rFonts w:ascii="Arial Narrow" w:hAnsi="Arial Narrow" w:cs="Times New Roman"/>
          <w:b/>
        </w:rPr>
        <w:t>3.3</w:t>
      </w:r>
      <w:r w:rsidR="0079009C">
        <w:rPr>
          <w:rFonts w:ascii="Arial Narrow" w:hAnsi="Arial Narrow" w:cs="Times New Roman"/>
          <w:b/>
        </w:rPr>
        <w:t>.</w:t>
      </w:r>
      <w:r w:rsidR="00CC0A61">
        <w:rPr>
          <w:rFonts w:ascii="Arial Narrow" w:hAnsi="Arial Narrow" w:cs="Times New Roman"/>
          <w:b/>
        </w:rPr>
        <w:t xml:space="preserve"> </w:t>
      </w:r>
      <w:r w:rsidRPr="00DF45EC">
        <w:rPr>
          <w:rFonts w:ascii="Arial Narrow" w:hAnsi="Arial Narrow" w:cs="Times New Roman"/>
          <w:b/>
        </w:rPr>
        <w:t>Porovnanie aktuálneho odhadu daní s rozpočtom verejnej správy na roky 20</w:t>
      </w:r>
      <w:r>
        <w:rPr>
          <w:rFonts w:ascii="Arial Narrow" w:hAnsi="Arial Narrow" w:cs="Times New Roman"/>
          <w:b/>
        </w:rPr>
        <w:t xml:space="preserve">08 </w:t>
      </w:r>
      <w:r w:rsidR="00850B6F">
        <w:rPr>
          <w:rFonts w:ascii="Arial Narrow" w:hAnsi="Arial Narrow" w:cs="Times New Roman"/>
          <w:b/>
        </w:rPr>
        <w:t>až</w:t>
      </w:r>
      <w:r>
        <w:rPr>
          <w:rFonts w:ascii="Arial Narrow" w:hAnsi="Arial Narrow" w:cs="Times New Roman"/>
          <w:b/>
        </w:rPr>
        <w:t xml:space="preserve"> 2010</w:t>
      </w:r>
      <w:bookmarkEnd w:id="39"/>
    </w:p>
    <w:p w:rsidR="00782712" w:rsidRPr="006B6D82" w:rsidP="00782712">
      <w:pPr>
        <w:rPr>
          <w:rFonts w:cs="Times New Roman"/>
        </w:rPr>
      </w:pPr>
    </w:p>
    <w:p w:rsidR="00782712" w:rsidP="00782712">
      <w:pPr>
        <w:ind w:firstLine="708"/>
        <w:jc w:val="both"/>
        <w:rPr>
          <w:rFonts w:ascii="Arial Narrow" w:hAnsi="Arial Narrow" w:cs="Times New Roman"/>
          <w:sz w:val="22"/>
          <w:szCs w:val="22"/>
        </w:rPr>
      </w:pPr>
      <w:r w:rsidRPr="00DF45EC">
        <w:rPr>
          <w:rFonts w:ascii="Arial Narrow" w:hAnsi="Arial Narrow" w:cs="Times New Roman"/>
          <w:sz w:val="22"/>
          <w:szCs w:val="22"/>
        </w:rPr>
        <w:t>Nižšie uvedená tabuľka prezentuje rozdiely aktuálnej prognózy daní v metodike ESA</w:t>
      </w:r>
      <w:r w:rsidR="00850B6F">
        <w:rPr>
          <w:rFonts w:ascii="Arial Narrow" w:hAnsi="Arial Narrow" w:cs="Times New Roman"/>
          <w:sz w:val="22"/>
          <w:szCs w:val="22"/>
        </w:rPr>
        <w:t xml:space="preserve"> </w:t>
      </w:r>
      <w:r w:rsidRPr="00DF45EC">
        <w:rPr>
          <w:rFonts w:ascii="Arial Narrow" w:hAnsi="Arial Narrow" w:cs="Times New Roman"/>
          <w:sz w:val="22"/>
          <w:szCs w:val="22"/>
        </w:rPr>
        <w:t>95 oproti rozpočtu verejnej správy na roky 200</w:t>
      </w:r>
      <w:r>
        <w:rPr>
          <w:rFonts w:ascii="Arial Narrow" w:hAnsi="Arial Narrow" w:cs="Times New Roman"/>
          <w:sz w:val="22"/>
          <w:szCs w:val="22"/>
        </w:rPr>
        <w:t>8</w:t>
      </w:r>
      <w:r w:rsidRPr="00DF45EC">
        <w:rPr>
          <w:rFonts w:ascii="Arial Narrow" w:hAnsi="Arial Narrow" w:cs="Times New Roman"/>
          <w:sz w:val="22"/>
          <w:szCs w:val="22"/>
        </w:rPr>
        <w:t xml:space="preserve"> </w:t>
      </w:r>
      <w:r w:rsidR="00850B6F">
        <w:rPr>
          <w:rFonts w:ascii="Arial Narrow" w:hAnsi="Arial Narrow" w:cs="Times New Roman"/>
          <w:sz w:val="22"/>
          <w:szCs w:val="22"/>
        </w:rPr>
        <w:t>až</w:t>
      </w:r>
      <w:r w:rsidRPr="00DF45EC">
        <w:rPr>
          <w:rFonts w:ascii="Arial Narrow" w:hAnsi="Arial Narrow" w:cs="Times New Roman"/>
          <w:sz w:val="22"/>
          <w:szCs w:val="22"/>
        </w:rPr>
        <w:t xml:space="preserve"> </w:t>
      </w:r>
      <w:r>
        <w:rPr>
          <w:rFonts w:ascii="Arial Narrow" w:hAnsi="Arial Narrow" w:cs="Times New Roman"/>
          <w:sz w:val="22"/>
          <w:szCs w:val="22"/>
        </w:rPr>
        <w:t>2010</w:t>
      </w:r>
      <w:r w:rsidRPr="00DF45EC">
        <w:rPr>
          <w:rFonts w:ascii="Arial Narrow" w:hAnsi="Arial Narrow" w:cs="Times New Roman"/>
          <w:sz w:val="22"/>
          <w:szCs w:val="22"/>
        </w:rPr>
        <w:t xml:space="preserve">. Aktuálna prognóza je v porovnaní so schváleným rozpočtom </w:t>
      </w:r>
      <w:r>
        <w:rPr>
          <w:rFonts w:ascii="Arial Narrow" w:hAnsi="Arial Narrow" w:cs="Times New Roman"/>
          <w:sz w:val="22"/>
          <w:szCs w:val="22"/>
        </w:rPr>
        <w:t>v roku 2009 vyššia o 495,4 mil. eur</w:t>
      </w:r>
      <w:r w:rsidRPr="00DF45EC">
        <w:rPr>
          <w:rFonts w:ascii="Arial Narrow" w:hAnsi="Arial Narrow" w:cs="Times New Roman"/>
          <w:sz w:val="22"/>
          <w:szCs w:val="22"/>
        </w:rPr>
        <w:t xml:space="preserve"> </w:t>
      </w:r>
      <w:r>
        <w:rPr>
          <w:rFonts w:ascii="Arial Narrow" w:hAnsi="Arial Narrow" w:cs="Times New Roman"/>
          <w:sz w:val="22"/>
          <w:szCs w:val="22"/>
        </w:rPr>
        <w:t>a</w:t>
      </w:r>
      <w:r w:rsidRPr="00DF45EC">
        <w:rPr>
          <w:rFonts w:ascii="Arial Narrow" w:hAnsi="Arial Narrow" w:cs="Times New Roman"/>
          <w:sz w:val="22"/>
          <w:szCs w:val="22"/>
        </w:rPr>
        <w:t xml:space="preserve"> </w:t>
      </w:r>
      <w:r>
        <w:rPr>
          <w:rFonts w:ascii="Arial Narrow" w:hAnsi="Arial Narrow" w:cs="Times New Roman"/>
          <w:sz w:val="22"/>
          <w:szCs w:val="22"/>
        </w:rPr>
        <w:t>v roku 2010 vyššia o 803,3 mil. eur</w:t>
      </w:r>
      <w:r w:rsidRPr="00DF45EC">
        <w:rPr>
          <w:rFonts w:ascii="Arial Narrow" w:hAnsi="Arial Narrow" w:cs="Times New Roman"/>
          <w:sz w:val="22"/>
          <w:szCs w:val="22"/>
        </w:rPr>
        <w:t>.</w:t>
      </w:r>
      <w:r>
        <w:rPr>
          <w:rFonts w:ascii="Arial Narrow" w:hAnsi="Arial Narrow" w:cs="Times New Roman"/>
          <w:sz w:val="22"/>
          <w:szCs w:val="22"/>
        </w:rPr>
        <w:t xml:space="preserve"> Výrazný nárast prognózy u DPFO súvisí s dobrým plnením v roku 2008 a aktualizácio</w:t>
      </w:r>
      <w:r>
        <w:rPr>
          <w:rFonts w:ascii="Arial Narrow" w:hAnsi="Arial Narrow" w:cs="Times New Roman"/>
          <w:sz w:val="22"/>
          <w:szCs w:val="22"/>
        </w:rPr>
        <w:t>u makroekonomického vývoja.</w:t>
      </w:r>
      <w:r w:rsidRPr="00DF45EC">
        <w:rPr>
          <w:rFonts w:ascii="Arial Narrow" w:hAnsi="Arial Narrow" w:cs="Times New Roman"/>
          <w:sz w:val="22"/>
          <w:szCs w:val="22"/>
        </w:rPr>
        <w:t xml:space="preserve"> Úprava prognózy DPH smerom na</w:t>
      </w:r>
      <w:r>
        <w:rPr>
          <w:rFonts w:ascii="Arial Narrow" w:hAnsi="Arial Narrow" w:cs="Times New Roman"/>
          <w:sz w:val="22"/>
          <w:szCs w:val="22"/>
        </w:rPr>
        <w:t>hor je v roku 2008 spôsobená pozitívnym vplyvom skoršieho vrátenia nadmerných odpočtov v roku 2007. V</w:t>
      </w:r>
      <w:r w:rsidRPr="00DF45EC">
        <w:rPr>
          <w:rFonts w:ascii="Arial Narrow" w:hAnsi="Arial Narrow" w:cs="Times New Roman"/>
          <w:sz w:val="22"/>
          <w:szCs w:val="22"/>
        </w:rPr>
        <w:t xml:space="preserve"> ďalších rokoch </w:t>
      </w:r>
      <w:r>
        <w:rPr>
          <w:rFonts w:ascii="Arial Narrow" w:hAnsi="Arial Narrow" w:cs="Times New Roman"/>
          <w:sz w:val="22"/>
          <w:szCs w:val="22"/>
        </w:rPr>
        <w:t xml:space="preserve">je prognóza ovplyvnená vyšším </w:t>
      </w:r>
      <w:r w:rsidRPr="00DF45EC">
        <w:rPr>
          <w:rFonts w:ascii="Arial Narrow" w:hAnsi="Arial Narrow" w:cs="Times New Roman"/>
          <w:sz w:val="22"/>
          <w:szCs w:val="22"/>
        </w:rPr>
        <w:t xml:space="preserve">rastom </w:t>
      </w:r>
      <w:r>
        <w:rPr>
          <w:rFonts w:ascii="Arial Narrow" w:hAnsi="Arial Narrow" w:cs="Times New Roman"/>
          <w:sz w:val="22"/>
          <w:szCs w:val="22"/>
        </w:rPr>
        <w:t>makroekonomickej základne (</w:t>
      </w:r>
      <w:r w:rsidRPr="00DF45EC">
        <w:rPr>
          <w:rFonts w:ascii="Arial Narrow" w:hAnsi="Arial Narrow" w:cs="Times New Roman"/>
          <w:sz w:val="22"/>
          <w:szCs w:val="22"/>
        </w:rPr>
        <w:t xml:space="preserve">konečnej spotreby </w:t>
      </w:r>
      <w:r w:rsidRPr="00495032">
        <w:rPr>
          <w:rFonts w:ascii="Arial Narrow" w:hAnsi="Arial Narrow" w:cs="Times New Roman"/>
          <w:sz w:val="22"/>
          <w:szCs w:val="22"/>
        </w:rPr>
        <w:t>domácností). Priaznivejšie očakávania ohľadom výnosu DPPO sú postavené predovšetkým na vysokom hospodárskom raste a na základe posledných informácií z agregovaných daňových priznaní za zdaňovacie obdobie 2007. Výnos</w:t>
      </w:r>
      <w:r w:rsidRPr="00495032">
        <w:rPr>
          <w:rFonts w:ascii="Arial Narrow" w:hAnsi="Arial Narrow" w:cs="Helv"/>
          <w:color w:val="000000"/>
          <w:sz w:val="22"/>
          <w:szCs w:val="22"/>
        </w:rPr>
        <w:t xml:space="preserve"> spotrebnej dane z minerálneho oleja v ro</w:t>
      </w:r>
      <w:r w:rsidRPr="00495032">
        <w:rPr>
          <w:rFonts w:ascii="Arial Narrow" w:hAnsi="Arial Narrow" w:cs="Helv"/>
          <w:color w:val="000000"/>
          <w:sz w:val="22"/>
          <w:szCs w:val="22"/>
        </w:rPr>
        <w:t>ku 2007</w:t>
      </w:r>
      <w:r>
        <w:rPr>
          <w:rFonts w:ascii="Arial Narrow" w:hAnsi="Arial Narrow" w:cs="Helv"/>
          <w:color w:val="000000"/>
          <w:sz w:val="22"/>
          <w:szCs w:val="22"/>
        </w:rPr>
        <w:t>, negatívny vplyv biopalív v rokoch 2009</w:t>
      </w:r>
      <w:r w:rsidR="00850B6F">
        <w:rPr>
          <w:rFonts w:ascii="Arial Narrow" w:hAnsi="Arial Narrow" w:cs="Helv"/>
          <w:color w:val="000000"/>
          <w:sz w:val="22"/>
          <w:szCs w:val="22"/>
        </w:rPr>
        <w:t xml:space="preserve"> a </w:t>
      </w:r>
      <w:r>
        <w:rPr>
          <w:rFonts w:ascii="Arial Narrow" w:hAnsi="Arial Narrow" w:cs="Helv"/>
          <w:color w:val="000000"/>
          <w:sz w:val="22"/>
          <w:szCs w:val="22"/>
        </w:rPr>
        <w:t xml:space="preserve">2010 a </w:t>
      </w:r>
      <w:r w:rsidRPr="00495032">
        <w:rPr>
          <w:rFonts w:ascii="Arial Narrow" w:hAnsi="Arial Narrow" w:cs="Helv"/>
          <w:color w:val="000000"/>
          <w:sz w:val="22"/>
          <w:szCs w:val="22"/>
        </w:rPr>
        <w:t>predzás</w:t>
      </w:r>
      <w:r>
        <w:rPr>
          <w:rFonts w:ascii="Arial Narrow" w:hAnsi="Arial Narrow" w:cs="Helv"/>
          <w:color w:val="000000"/>
          <w:sz w:val="22"/>
          <w:szCs w:val="22"/>
        </w:rPr>
        <w:t>obenie</w:t>
      </w:r>
      <w:r w:rsidRPr="00495032">
        <w:rPr>
          <w:rFonts w:ascii="Arial Narrow" w:hAnsi="Arial Narrow" w:cs="Helv"/>
          <w:color w:val="000000"/>
          <w:sz w:val="22"/>
          <w:szCs w:val="22"/>
        </w:rPr>
        <w:t xml:space="preserve"> sa tabakovými výrobkami v roku 2008 negatívne</w:t>
      </w:r>
      <w:r w:rsidRPr="00495032">
        <w:rPr>
          <w:rFonts w:ascii="Arial Narrow" w:hAnsi="Arial Narrow" w:cs="Times New Roman"/>
          <w:sz w:val="22"/>
          <w:szCs w:val="22"/>
        </w:rPr>
        <w:t xml:space="preserve"> ovplyvn</w:t>
      </w:r>
      <w:r>
        <w:rPr>
          <w:rFonts w:ascii="Arial Narrow" w:hAnsi="Arial Narrow" w:cs="Times New Roman"/>
          <w:sz w:val="22"/>
          <w:szCs w:val="22"/>
        </w:rPr>
        <w:t xml:space="preserve">ili </w:t>
      </w:r>
      <w:r w:rsidRPr="00495032">
        <w:rPr>
          <w:rFonts w:ascii="Arial Narrow" w:hAnsi="Arial Narrow" w:cs="Times New Roman"/>
          <w:sz w:val="22"/>
          <w:szCs w:val="22"/>
        </w:rPr>
        <w:t>výnos spotrebných daní. V nadväznosti na aktualizáciu prognózy DPFO a DPPO došlo k miernemu zvýšeniu odhadu prevodu 2</w:t>
      </w:r>
      <w:r w:rsidR="00850B6F">
        <w:rPr>
          <w:rFonts w:ascii="Arial Narrow" w:hAnsi="Arial Narrow" w:cs="Times New Roman"/>
          <w:sz w:val="22"/>
          <w:szCs w:val="22"/>
        </w:rPr>
        <w:t xml:space="preserve"> </w:t>
      </w:r>
      <w:r w:rsidRPr="00495032">
        <w:rPr>
          <w:rFonts w:ascii="Arial Narrow" w:hAnsi="Arial Narrow" w:cs="Times New Roman"/>
          <w:sz w:val="22"/>
          <w:szCs w:val="22"/>
        </w:rPr>
        <w:t>% z daní na ve</w:t>
      </w:r>
      <w:r w:rsidRPr="00495032">
        <w:rPr>
          <w:rFonts w:ascii="Arial Narrow" w:hAnsi="Arial Narrow" w:cs="Times New Roman"/>
          <w:sz w:val="22"/>
          <w:szCs w:val="22"/>
        </w:rPr>
        <w:t>rejnoprospešný účel.</w:t>
      </w:r>
      <w:r>
        <w:rPr>
          <w:rFonts w:ascii="Arial Narrow" w:hAnsi="Arial Narrow" w:cs="Times New Roman"/>
          <w:sz w:val="22"/>
          <w:szCs w:val="22"/>
        </w:rPr>
        <w:t xml:space="preserve"> Rozdiel v prognóze ostatných daní v porovnaní s rozpočtom verejnej správy na roky 2008 </w:t>
      </w:r>
      <w:r w:rsidR="00850B6F">
        <w:rPr>
          <w:rFonts w:ascii="Arial Narrow" w:hAnsi="Arial Narrow" w:cs="Times New Roman"/>
          <w:sz w:val="22"/>
          <w:szCs w:val="22"/>
        </w:rPr>
        <w:t>až</w:t>
      </w:r>
      <w:r>
        <w:rPr>
          <w:rFonts w:ascii="Arial Narrow" w:hAnsi="Arial Narrow" w:cs="Times New Roman"/>
          <w:sz w:val="22"/>
          <w:szCs w:val="22"/>
        </w:rPr>
        <w:t xml:space="preserve"> 2010 je spôsobený najmä novou daňou – úhradou za služby verejnosti poskytovaných S</w:t>
      </w:r>
      <w:r w:rsidR="00850B6F">
        <w:rPr>
          <w:rFonts w:ascii="Arial Narrow" w:hAnsi="Arial Narrow" w:cs="Times New Roman"/>
          <w:sz w:val="22"/>
          <w:szCs w:val="22"/>
        </w:rPr>
        <w:t xml:space="preserve">lovenskou televíziou </w:t>
      </w:r>
      <w:r>
        <w:rPr>
          <w:rFonts w:ascii="Arial Narrow" w:hAnsi="Arial Narrow" w:cs="Times New Roman"/>
          <w:sz w:val="22"/>
          <w:szCs w:val="22"/>
        </w:rPr>
        <w:t>a</w:t>
      </w:r>
      <w:r w:rsidR="00850B6F">
        <w:rPr>
          <w:rFonts w:ascii="Arial Narrow" w:hAnsi="Arial Narrow" w:cs="Times New Roman"/>
          <w:sz w:val="22"/>
          <w:szCs w:val="22"/>
        </w:rPr>
        <w:t> </w:t>
      </w:r>
      <w:r>
        <w:rPr>
          <w:rFonts w:ascii="Arial Narrow" w:hAnsi="Arial Narrow" w:cs="Times New Roman"/>
          <w:sz w:val="22"/>
          <w:szCs w:val="22"/>
        </w:rPr>
        <w:t>S</w:t>
      </w:r>
      <w:r w:rsidR="00850B6F">
        <w:rPr>
          <w:rFonts w:ascii="Arial Narrow" w:hAnsi="Arial Narrow" w:cs="Times New Roman"/>
          <w:sz w:val="22"/>
          <w:szCs w:val="22"/>
        </w:rPr>
        <w:t>lovenským rozhlasom</w:t>
      </w:r>
      <w:r>
        <w:rPr>
          <w:rFonts w:ascii="Arial Narrow" w:hAnsi="Arial Narrow" w:cs="Times New Roman"/>
          <w:sz w:val="22"/>
          <w:szCs w:val="22"/>
        </w:rPr>
        <w:t>.</w:t>
      </w:r>
    </w:p>
    <w:p w:rsidR="00782712" w:rsidRPr="006B6D82" w:rsidP="00782712">
      <w:pPr>
        <w:ind w:firstLine="708"/>
        <w:jc w:val="both"/>
        <w:rPr>
          <w:rFonts w:cs="Times New Roman"/>
        </w:rPr>
      </w:pPr>
      <w:r w:rsidRPr="006B6D82">
        <w:rPr>
          <w:rFonts w:cs="Times New Roman"/>
        </w:rPr>
        <w:t xml:space="preserve"> </w:t>
      </w:r>
    </w:p>
    <w:tbl>
      <w:tblPr>
        <w:tblW w:w="9072" w:type="dxa"/>
        <w:jc w:val="center"/>
        <w:tblCellMar>
          <w:left w:w="70" w:type="dxa"/>
          <w:right w:w="70" w:type="dxa"/>
        </w:tblCellMar>
      </w:tblPr>
      <w:tblGrid>
        <w:gridCol w:w="5229"/>
        <w:gridCol w:w="1281"/>
        <w:gridCol w:w="1281"/>
        <w:gridCol w:w="1281"/>
      </w:tblGrid>
      <w:tr>
        <w:tblPrEx>
          <w:tblW w:w="9072" w:type="dxa"/>
          <w:jc w:val="center"/>
          <w:tblCellMar>
            <w:left w:w="70" w:type="dxa"/>
            <w:right w:w="70" w:type="dxa"/>
          </w:tblCellMar>
        </w:tblPrEx>
        <w:trPr>
          <w:trHeight w:val="340"/>
          <w:jc w:val="center"/>
        </w:trPr>
        <w:tc>
          <w:tcPr>
            <w:tcW w:w="9072" w:type="dxa"/>
            <w:gridSpan w:val="4"/>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782712" w:rsidRPr="00DF45EC" w:rsidP="00782712">
            <w:pPr>
              <w:rPr>
                <w:rFonts w:ascii="Arial Narrow" w:hAnsi="Arial Narrow" w:cs="Times New Roman"/>
                <w:b/>
                <w:bCs/>
                <w:color w:val="FFFFFF"/>
                <w:sz w:val="20"/>
              </w:rPr>
            </w:pPr>
            <w:r w:rsidRPr="00DF45EC">
              <w:rPr>
                <w:rFonts w:ascii="Arial Narrow" w:hAnsi="Arial Narrow" w:cs="Times New Roman"/>
                <w:b/>
                <w:bCs/>
                <w:color w:val="FFFFFF"/>
                <w:sz w:val="20"/>
              </w:rPr>
              <w:t>Rozdiely medzi aktuálnym odhadom daní a rozpoč</w:t>
            </w:r>
            <w:r>
              <w:rPr>
                <w:rFonts w:ascii="Arial Narrow" w:hAnsi="Arial Narrow" w:cs="Times New Roman"/>
                <w:b/>
                <w:bCs/>
                <w:color w:val="FFFFFF"/>
                <w:sz w:val="20"/>
              </w:rPr>
              <w:t>tom verejnej správy na roky 2008</w:t>
            </w:r>
            <w:r w:rsidR="00850B6F">
              <w:rPr>
                <w:rFonts w:ascii="Arial Narrow" w:hAnsi="Arial Narrow" w:cs="Times New Roman"/>
                <w:b/>
                <w:bCs/>
                <w:color w:val="FFFFFF"/>
                <w:sz w:val="20"/>
              </w:rPr>
              <w:t xml:space="preserve"> až </w:t>
            </w:r>
            <w:r>
              <w:rPr>
                <w:rFonts w:ascii="Arial Narrow" w:hAnsi="Arial Narrow" w:cs="Times New Roman"/>
                <w:b/>
                <w:bCs/>
                <w:color w:val="FFFFFF"/>
                <w:sz w:val="20"/>
              </w:rPr>
              <w:t>2010</w:t>
            </w:r>
            <w:r w:rsidRPr="00DF45EC">
              <w:rPr>
                <w:rFonts w:ascii="Arial Narrow" w:hAnsi="Arial Narrow" w:cs="Times New Roman"/>
                <w:b/>
                <w:bCs/>
                <w:color w:val="FFFFFF"/>
                <w:sz w:val="20"/>
              </w:rPr>
              <w:t xml:space="preserve"> (</w:t>
            </w:r>
            <w:r>
              <w:rPr>
                <w:rFonts w:ascii="Arial Narrow" w:hAnsi="Arial Narrow" w:cs="Arial"/>
                <w:b/>
                <w:bCs/>
                <w:color w:val="FFFFFF"/>
                <w:sz w:val="20"/>
              </w:rPr>
              <w:t>ESA</w:t>
            </w:r>
            <w:r w:rsidR="00850B6F">
              <w:rPr>
                <w:rFonts w:ascii="Arial Narrow" w:hAnsi="Arial Narrow" w:cs="Arial"/>
                <w:b/>
                <w:bCs/>
                <w:color w:val="FFFFFF"/>
                <w:sz w:val="20"/>
              </w:rPr>
              <w:t xml:space="preserve"> </w:t>
            </w:r>
            <w:r>
              <w:rPr>
                <w:rFonts w:ascii="Arial Narrow" w:hAnsi="Arial Narrow" w:cs="Arial"/>
                <w:b/>
                <w:bCs/>
                <w:color w:val="FFFFFF"/>
                <w:sz w:val="20"/>
              </w:rPr>
              <w:t>95, tis. eur</w:t>
            </w:r>
            <w:r w:rsidRPr="00DF45EC">
              <w:rPr>
                <w:rFonts w:ascii="Arial Narrow" w:hAnsi="Arial Narrow" w:cs="Times New Roman"/>
                <w:b/>
                <w:bCs/>
                <w:color w:val="FFFFFF"/>
                <w:sz w:val="20"/>
              </w:rPr>
              <w:t>)</w:t>
            </w:r>
          </w:p>
        </w:tc>
      </w:tr>
      <w:tr>
        <w:tblPrEx>
          <w:tblW w:w="9072" w:type="dxa"/>
          <w:jc w:val="center"/>
          <w:tblCellMar>
            <w:left w:w="70" w:type="dxa"/>
            <w:right w:w="70" w:type="dxa"/>
          </w:tblCellMar>
        </w:tblPrEx>
        <w:trPr>
          <w:trHeight w:val="270"/>
          <w:jc w:val="center"/>
        </w:trPr>
        <w:tc>
          <w:tcPr>
            <w:tcW w:w="5229" w:type="dxa"/>
            <w:tcBorders>
              <w:top w:val="nil"/>
              <w:left w:val="single" w:sz="4" w:space="0" w:color="auto"/>
              <w:bottom w:val="single" w:sz="4" w:space="0" w:color="auto"/>
              <w:right w:val="nil"/>
              <w:tl2br w:val="nil"/>
              <w:tr2bl w:val="nil"/>
            </w:tcBorders>
            <w:shd w:val="clear" w:color="auto" w:fill="C0C0C0"/>
            <w:textDirection w:val="lrTb"/>
            <w:vAlign w:val="center"/>
          </w:tcPr>
          <w:p w:rsidR="00782712" w:rsidRPr="00DF45EC" w:rsidP="00782712">
            <w:pPr>
              <w:rPr>
                <w:rFonts w:ascii="Arial Narrow" w:hAnsi="Arial Narrow" w:cs="Times New Roman"/>
                <w:sz w:val="18"/>
                <w:szCs w:val="18"/>
              </w:rPr>
            </w:pPr>
            <w:r w:rsidRPr="00DF45EC">
              <w:rPr>
                <w:rFonts w:ascii="Arial Narrow" w:hAnsi="Arial Narrow" w:cs="Times New Roman"/>
                <w:sz w:val="18"/>
                <w:szCs w:val="18"/>
              </w:rPr>
              <w:t> </w:t>
            </w:r>
          </w:p>
        </w:tc>
        <w:tc>
          <w:tcPr>
            <w:tcW w:w="1281"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2008</w:t>
            </w:r>
          </w:p>
        </w:tc>
        <w:tc>
          <w:tcPr>
            <w:tcW w:w="1281" w:type="dxa"/>
            <w:tcBorders>
              <w:top w:val="nil"/>
              <w:left w:val="nil"/>
              <w:bottom w:val="single" w:sz="4" w:space="0" w:color="auto"/>
              <w:right w:val="nil"/>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2009</w:t>
            </w:r>
          </w:p>
        </w:tc>
        <w:tc>
          <w:tcPr>
            <w:tcW w:w="1281" w:type="dxa"/>
            <w:tcBorders>
              <w:top w:val="nil"/>
              <w:left w:val="nil"/>
              <w:bottom w:val="single" w:sz="4" w:space="0" w:color="auto"/>
              <w:right w:val="single" w:sz="4" w:space="0" w:color="auto"/>
              <w:tl2br w:val="nil"/>
              <w:tr2bl w:val="nil"/>
            </w:tcBorders>
            <w:shd w:val="clear" w:color="auto" w:fill="C0C0C0"/>
            <w:textDirection w:val="lrTb"/>
            <w:vAlign w:val="center"/>
          </w:tcPr>
          <w:p w:rsidR="00782712" w:rsidRPr="00DF45EC" w:rsidP="00782712">
            <w:pPr>
              <w:jc w:val="center"/>
              <w:rPr>
                <w:rFonts w:ascii="Arial Narrow" w:hAnsi="Arial Narrow" w:cs="Times New Roman"/>
                <w:b/>
                <w:bCs/>
                <w:sz w:val="18"/>
                <w:szCs w:val="18"/>
              </w:rPr>
            </w:pPr>
            <w:r>
              <w:rPr>
                <w:rFonts w:ascii="Arial Narrow" w:hAnsi="Arial Narrow" w:cs="Times New Roman"/>
                <w:b/>
                <w:bCs/>
                <w:sz w:val="18"/>
                <w:szCs w:val="18"/>
              </w:rPr>
              <w:t>2010</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rPr>
                <w:rFonts w:ascii="Arial Narrow" w:hAnsi="Arial Narrow" w:cs="Times New Roman"/>
                <w:b/>
                <w:bCs/>
                <w:sz w:val="18"/>
                <w:szCs w:val="18"/>
              </w:rPr>
            </w:pPr>
            <w:r w:rsidRPr="00DF45EC">
              <w:rPr>
                <w:rFonts w:ascii="Arial Narrow" w:hAnsi="Arial Narrow" w:cs="Times New Roman"/>
                <w:b/>
                <w:bCs/>
                <w:sz w:val="18"/>
                <w:szCs w:val="18"/>
              </w:rPr>
              <w:t>Daňové príjmy na akruálnej báze spolu</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243 409</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495 449</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803 271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fyzických osôb</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158 500</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215 463</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245 303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právnických osôb</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123 590</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252 147</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351 071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vyberaná zrážkou</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11 850</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16 298</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26 024</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pridanej hodnoty</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44 314</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25 294</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103 599</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Spotrebné dane</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-187 197</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-117 323</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-30 853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Pr>
                <w:rFonts w:ascii="Arial Narrow" w:hAnsi="Arial Narrow" w:cs="Times New Roman"/>
                <w:sz w:val="18"/>
                <w:szCs w:val="18"/>
              </w:rPr>
              <w:t>Dane z medzinárodného obchodu a transakcií</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6 976</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7 365</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7 971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Miestne dane</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5 576</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5 245</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 xml:space="preserve">5 </w:t>
            </w:r>
            <w:r>
              <w:rPr>
                <w:rFonts w:ascii="Arial Narrow" w:hAnsi="Arial Narrow" w:cs="Times New Roman"/>
                <w:sz w:val="18"/>
                <w:szCs w:val="18"/>
              </w:rPr>
              <w:t>013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Ostatné dane</w:t>
            </w:r>
          </w:p>
        </w:tc>
        <w:tc>
          <w:tcPr>
            <w:tcW w:w="128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79 800</w:t>
            </w:r>
          </w:p>
        </w:tc>
        <w:tc>
          <w:tcPr>
            <w:tcW w:w="128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90 961</w:t>
            </w:r>
          </w:p>
        </w:tc>
        <w:tc>
          <w:tcPr>
            <w:tcW w:w="128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95 144</w:t>
            </w:r>
          </w:p>
        </w:tc>
      </w:tr>
      <w:tr>
        <w:tblPrEx>
          <w:tblW w:w="9072" w:type="dxa"/>
          <w:jc w:val="center"/>
          <w:tblCellMar>
            <w:left w:w="70" w:type="dxa"/>
            <w:right w:w="70" w:type="dxa"/>
          </w:tblCellMar>
        </w:tblPrEx>
        <w:trPr>
          <w:trHeight w:val="270"/>
          <w:jc w:val="center"/>
        </w:trPr>
        <w:tc>
          <w:tcPr>
            <w:tcW w:w="5229"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782712" w:rsidRPr="00C05316" w:rsidP="00782712">
            <w:pPr>
              <w:rPr>
                <w:rFonts w:ascii="Arial Narrow" w:hAnsi="Arial Narrow" w:cs="Times New Roman"/>
                <w:b/>
                <w:sz w:val="18"/>
                <w:szCs w:val="18"/>
              </w:rPr>
            </w:pPr>
            <w:r w:rsidRPr="00C05316">
              <w:rPr>
                <w:rFonts w:ascii="Arial Narrow" w:hAnsi="Arial Narrow" w:cs="Times New Roman"/>
                <w:b/>
                <w:sz w:val="18"/>
                <w:szCs w:val="18"/>
              </w:rPr>
              <w:t>Výdavky na verejnoprospešný účel</w:t>
            </w:r>
          </w:p>
        </w:tc>
        <w:tc>
          <w:tcPr>
            <w:tcW w:w="1281"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2 457</w:t>
            </w:r>
          </w:p>
        </w:tc>
        <w:tc>
          <w:tcPr>
            <w:tcW w:w="1281"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4 183</w:t>
            </w:r>
          </w:p>
        </w:tc>
        <w:tc>
          <w:tcPr>
            <w:tcW w:w="1281"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782712" w:rsidP="00694E16">
            <w:pPr>
              <w:jc w:val="right"/>
              <w:rPr>
                <w:rFonts w:ascii="Arial Narrow" w:hAnsi="Arial Narrow" w:cs="Times New Roman"/>
                <w:b/>
                <w:bCs/>
                <w:sz w:val="18"/>
                <w:szCs w:val="18"/>
              </w:rPr>
            </w:pPr>
            <w:r>
              <w:rPr>
                <w:rFonts w:ascii="Arial Narrow" w:hAnsi="Arial Narrow" w:cs="Times New Roman"/>
                <w:b/>
                <w:bCs/>
                <w:sz w:val="18"/>
                <w:szCs w:val="18"/>
              </w:rPr>
              <w:t>7 203</w:t>
            </w:r>
          </w:p>
        </w:tc>
      </w:tr>
      <w:tr>
        <w:tblPrEx>
          <w:tblW w:w="9072" w:type="dxa"/>
          <w:jc w:val="center"/>
          <w:tblCellMar>
            <w:left w:w="70" w:type="dxa"/>
            <w:right w:w="70" w:type="dxa"/>
          </w:tblCellMar>
        </w:tblPrEx>
        <w:trPr>
          <w:trHeight w:val="270"/>
          <w:jc w:val="center"/>
        </w:trPr>
        <w:tc>
          <w:tcPr>
            <w:tcW w:w="5229"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fyzických osôb</w:t>
            </w:r>
          </w:p>
        </w:tc>
        <w:tc>
          <w:tcPr>
            <w:tcW w:w="128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1 196</w:t>
            </w:r>
          </w:p>
        </w:tc>
        <w:tc>
          <w:tcPr>
            <w:tcW w:w="128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1 892</w:t>
            </w:r>
          </w:p>
        </w:tc>
        <w:tc>
          <w:tcPr>
            <w:tcW w:w="128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2 390</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RPr="00DF45EC" w:rsidP="00782712">
            <w:pPr>
              <w:ind w:firstLine="180"/>
              <w:rPr>
                <w:rFonts w:ascii="Arial Narrow" w:hAnsi="Arial Narrow" w:cs="Times New Roman"/>
                <w:sz w:val="18"/>
                <w:szCs w:val="18"/>
              </w:rPr>
            </w:pPr>
            <w:r w:rsidRPr="00DF45EC">
              <w:rPr>
                <w:rFonts w:ascii="Arial Narrow" w:hAnsi="Arial Narrow" w:cs="Times New Roman"/>
                <w:sz w:val="18"/>
                <w:szCs w:val="18"/>
              </w:rPr>
              <w:t>Daň z príjmov právnických osôb</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1 262</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2 291</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82712" w:rsidP="00694E16">
            <w:pPr>
              <w:jc w:val="right"/>
              <w:rPr>
                <w:rFonts w:ascii="Arial Narrow" w:hAnsi="Arial Narrow" w:cs="Times New Roman"/>
                <w:sz w:val="18"/>
                <w:szCs w:val="18"/>
              </w:rPr>
            </w:pPr>
            <w:r>
              <w:rPr>
                <w:rFonts w:ascii="Arial Narrow" w:hAnsi="Arial Narrow" w:cs="Times New Roman"/>
                <w:sz w:val="18"/>
                <w:szCs w:val="18"/>
              </w:rPr>
              <w:t>4 814</w:t>
            </w:r>
          </w:p>
        </w:tc>
      </w:tr>
      <w:tr>
        <w:tblPrEx>
          <w:tblW w:w="9072" w:type="dxa"/>
          <w:jc w:val="center"/>
          <w:tblCellMar>
            <w:left w:w="70" w:type="dxa"/>
            <w:right w:w="70" w:type="dxa"/>
          </w:tblCellMar>
        </w:tblPrEx>
        <w:trPr>
          <w:trHeight w:val="270"/>
          <w:jc w:val="center"/>
        </w:trPr>
        <w:tc>
          <w:tcPr>
            <w:tcW w:w="9072" w:type="dxa"/>
            <w:gridSpan w:val="4"/>
            <w:tcBorders>
              <w:top w:val="single" w:sz="4" w:space="0" w:color="auto"/>
              <w:left w:val="nil"/>
              <w:bottom w:val="nil"/>
              <w:right w:val="nil"/>
              <w:tl2br w:val="nil"/>
              <w:tr2bl w:val="nil"/>
            </w:tcBorders>
            <w:textDirection w:val="lrTb"/>
            <w:vAlign w:val="center"/>
          </w:tcPr>
          <w:p w:rsidR="00782712" w:rsidP="00782712">
            <w:pPr>
              <w:rPr>
                <w:rFonts w:ascii="Arial Narrow" w:hAnsi="Arial Narrow" w:cs="Times New Roman"/>
                <w:i/>
                <w:iCs/>
                <w:sz w:val="16"/>
                <w:szCs w:val="16"/>
              </w:rPr>
            </w:pPr>
            <w:r w:rsidRPr="00DF45EC">
              <w:rPr>
                <w:rFonts w:ascii="Arial Narrow" w:hAnsi="Arial Narrow" w:cs="Times New Roman"/>
                <w:i/>
                <w:iCs/>
                <w:sz w:val="16"/>
                <w:szCs w:val="16"/>
              </w:rPr>
              <w:t>(+)  indikuje aktuálny odhad vyšší ako rozpočet, (-)  indikuje a</w:t>
            </w:r>
            <w:r>
              <w:rPr>
                <w:rFonts w:ascii="Arial Narrow" w:hAnsi="Arial Narrow" w:cs="Times New Roman"/>
                <w:i/>
                <w:iCs/>
                <w:sz w:val="16"/>
                <w:szCs w:val="16"/>
              </w:rPr>
              <w:t>ktuálny odhad nižší ako rozpočet</w:t>
            </w:r>
          </w:p>
          <w:p w:rsidR="00782712" w:rsidRPr="00DF45EC" w:rsidP="00782712">
            <w:pPr>
              <w:rPr>
                <w:rFonts w:ascii="Arial Narrow" w:hAnsi="Arial Narrow" w:cs="Times New Roman"/>
                <w:i/>
                <w:iCs/>
                <w:sz w:val="16"/>
                <w:szCs w:val="16"/>
              </w:rPr>
            </w:pPr>
            <w:r>
              <w:rPr>
                <w:rFonts w:ascii="Arial Narrow" w:hAnsi="Arial Narrow" w:cs="Times New Roman"/>
                <w:i/>
                <w:iCs/>
                <w:sz w:val="16"/>
                <w:szCs w:val="16"/>
              </w:rPr>
              <w:t>Rozdiely sú robené na prognózach bez sankcií.</w:t>
            </w:r>
          </w:p>
        </w:tc>
      </w:tr>
    </w:tbl>
    <w:p w:rsidR="00782712" w:rsidP="00782712">
      <w:pPr>
        <w:outlineLvl w:val="0"/>
        <w:rPr>
          <w:rFonts w:ascii="Arial Narrow" w:hAnsi="Arial Narrow" w:cs="Times New Roman"/>
          <w:b/>
        </w:rPr>
      </w:pPr>
    </w:p>
    <w:p w:rsidR="00782712" w:rsidRPr="00336860" w:rsidP="0079009C">
      <w:pPr>
        <w:rPr>
          <w:rFonts w:ascii="Arial Narrow" w:hAnsi="Arial Narrow" w:cs="Times New Roman"/>
          <w:b/>
        </w:rPr>
      </w:pPr>
      <w:r w:rsidRPr="00336860">
        <w:rPr>
          <w:rFonts w:ascii="Arial Narrow" w:hAnsi="Arial Narrow" w:cs="Times New Roman"/>
          <w:b/>
        </w:rPr>
        <w:t>Vyjadrenia členov daňového výboru k prognózam</w:t>
      </w:r>
    </w:p>
    <w:p w:rsidR="00782712" w:rsidRPr="00336860" w:rsidP="00782712">
      <w:pPr>
        <w:jc w:val="both"/>
        <w:rPr>
          <w:rFonts w:ascii="Arial Narrow" w:hAnsi="Arial Narrow" w:cs="Times New Roman"/>
        </w:rPr>
      </w:pPr>
    </w:p>
    <w:p w:rsidR="00782712" w:rsidRPr="00386FFA" w:rsidP="00782712">
      <w:pPr>
        <w:ind w:firstLine="708"/>
        <w:jc w:val="both"/>
        <w:rPr>
          <w:rFonts w:ascii="Arial Narrow" w:hAnsi="Arial Narrow" w:cs="Times New Roman"/>
          <w:sz w:val="22"/>
          <w:szCs w:val="22"/>
        </w:rPr>
      </w:pPr>
      <w:r w:rsidRPr="00336860">
        <w:rPr>
          <w:rFonts w:ascii="Arial Narrow" w:hAnsi="Arial Narrow" w:cs="Times New Roman"/>
          <w:sz w:val="22"/>
          <w:szCs w:val="22"/>
        </w:rPr>
        <w:t>Prognóza daňových príjmov MF SR bola podrobená hodnoteniu v rámci Výboru pre daňové prognózy. Trináste riadne zasadnutie Výboru sa</w:t>
      </w:r>
      <w:r w:rsidRPr="00336860">
        <w:rPr>
          <w:rFonts w:ascii="Arial Narrow" w:hAnsi="Arial Narrow" w:cs="Times New Roman"/>
          <w:sz w:val="22"/>
          <w:szCs w:val="22"/>
        </w:rPr>
        <w:t xml:space="preserve"> konalo 22. </w:t>
      </w:r>
      <w:r w:rsidR="00850B6F">
        <w:rPr>
          <w:rFonts w:ascii="Arial Narrow" w:hAnsi="Arial Narrow" w:cs="Times New Roman"/>
          <w:sz w:val="22"/>
          <w:szCs w:val="22"/>
        </w:rPr>
        <w:t xml:space="preserve">9. </w:t>
      </w:r>
      <w:r w:rsidRPr="00386FFA">
        <w:rPr>
          <w:rFonts w:ascii="Arial Narrow" w:hAnsi="Arial Narrow" w:cs="Times New Roman"/>
          <w:sz w:val="22"/>
          <w:szCs w:val="22"/>
        </w:rPr>
        <w:t xml:space="preserve">2008. Výsledkom je celkové hodnotenie charakteru definitívnej prognózy MF SR na základe stanoveného kritéria. Strednodobá prognóza daňových príjmov a sociálnych odvodov MF SR bola všetkými členmi Výboru s výnimkou Národnej banky Slovenska (NBS) označená ako </w:t>
      </w:r>
      <w:r w:rsidRPr="00386FFA">
        <w:rPr>
          <w:rFonts w:ascii="Arial Narrow" w:hAnsi="Arial Narrow" w:cs="Times New Roman"/>
          <w:b/>
          <w:sz w:val="22"/>
          <w:szCs w:val="22"/>
        </w:rPr>
        <w:t>realistická</w:t>
      </w:r>
      <w:r w:rsidRPr="00386FFA">
        <w:rPr>
          <w:rFonts w:ascii="Arial Narrow" w:hAnsi="Arial Narrow" w:cs="Times New Roman"/>
          <w:sz w:val="22"/>
          <w:szCs w:val="22"/>
        </w:rPr>
        <w:t>. NBS považuje prognózu MF SR za</w:t>
      </w:r>
      <w:r w:rsidRPr="00386FFA">
        <w:rPr>
          <w:rFonts w:ascii="Arial Narrow" w:hAnsi="Arial Narrow" w:cs="Times New Roman"/>
          <w:b/>
          <w:sz w:val="22"/>
          <w:szCs w:val="22"/>
        </w:rPr>
        <w:t xml:space="preserve"> optimistickú.</w:t>
      </w:r>
    </w:p>
    <w:p w:rsidR="00782712" w:rsidRPr="00BB4A9B" w:rsidP="00782712">
      <w:pPr>
        <w:autoSpaceDE/>
        <w:autoSpaceDN/>
        <w:spacing w:line="240" w:lineRule="atLeast"/>
        <w:jc w:val="both"/>
        <w:rPr>
          <w:rFonts w:ascii="Arial Narrow" w:hAnsi="Arial Narrow" w:cs="Courier"/>
          <w:color w:val="000000"/>
          <w:sz w:val="22"/>
          <w:szCs w:val="22"/>
          <w:highlight w:val="yellow"/>
        </w:rPr>
      </w:pPr>
    </w:p>
    <w:p w:rsidR="00782712" w:rsidRPr="00FB0E8B" w:rsidP="00782712">
      <w:pPr>
        <w:jc w:val="both"/>
        <w:rPr>
          <w:rFonts w:ascii="Arial Narrow" w:hAnsi="Arial Narrow" w:cs="Times New Roman"/>
          <w:sz w:val="22"/>
          <w:szCs w:val="22"/>
          <w:u w:val="single"/>
        </w:rPr>
      </w:pPr>
      <w:r w:rsidRPr="00FB0E8B">
        <w:rPr>
          <w:rFonts w:ascii="Arial Narrow" w:hAnsi="Arial Narrow" w:cs="Times New Roman"/>
          <w:sz w:val="22"/>
          <w:szCs w:val="22"/>
          <w:u w:val="single"/>
        </w:rPr>
        <w:t>NBS</w:t>
      </w:r>
    </w:p>
    <w:p w:rsidR="00782712" w:rsidRPr="00BB4A9B" w:rsidP="00782712">
      <w:pPr>
        <w:jc w:val="both"/>
        <w:rPr>
          <w:rFonts w:ascii="Arial Narrow" w:hAnsi="Arial Narrow" w:cs="Courier"/>
          <w:color w:val="000000"/>
          <w:sz w:val="22"/>
          <w:szCs w:val="22"/>
          <w:highlight w:val="yellow"/>
        </w:rPr>
      </w:pPr>
    </w:p>
    <w:p w:rsidR="00094B9C" w:rsidP="00850B6F">
      <w:pPr>
        <w:ind w:firstLine="708"/>
        <w:jc w:val="both"/>
        <w:rPr>
          <w:rFonts w:ascii="Arial Narrow" w:hAnsi="Arial Narrow" w:cs="Times New Roman"/>
          <w:sz w:val="22"/>
          <w:szCs w:val="22"/>
        </w:rPr>
      </w:pPr>
      <w:r w:rsidRPr="00FB0E8B" w:rsidR="00782712">
        <w:rPr>
          <w:rFonts w:ascii="Arial Narrow" w:hAnsi="Arial Narrow" w:cs="Times New Roman"/>
          <w:sz w:val="22"/>
          <w:szCs w:val="22"/>
        </w:rPr>
        <w:t xml:space="preserve">Prognóza daňových a odvodových príjmov NBS je v porovnaní s prognózou </w:t>
      </w:r>
      <w:r w:rsidR="00782712">
        <w:rPr>
          <w:rFonts w:ascii="Arial Narrow" w:hAnsi="Arial Narrow" w:cs="Times New Roman"/>
          <w:sz w:val="22"/>
          <w:szCs w:val="22"/>
        </w:rPr>
        <w:t>MF SR</w:t>
      </w:r>
      <w:r w:rsidRPr="00FB0E8B" w:rsidR="00782712">
        <w:rPr>
          <w:rFonts w:ascii="Arial Narrow" w:hAnsi="Arial Narrow" w:cs="Times New Roman"/>
          <w:sz w:val="22"/>
          <w:szCs w:val="22"/>
        </w:rPr>
        <w:t xml:space="preserve"> konzervatívnejšia. Prehodnotenie makroekonomickej predikcie pozitívne ovplyvnilo najmä očakávanie r</w:t>
      </w:r>
      <w:r w:rsidRPr="00FB0E8B" w:rsidR="00782712">
        <w:rPr>
          <w:rFonts w:ascii="Arial Narrow" w:hAnsi="Arial Narrow" w:cs="Times New Roman"/>
          <w:sz w:val="22"/>
          <w:szCs w:val="22"/>
        </w:rPr>
        <w:t>ýchlejšieho rastu mzdovej bázy a s tým predpoklad vyššieho plnenia dane z príjm</w:t>
      </w:r>
      <w:r w:rsidR="00850B6F">
        <w:rPr>
          <w:rFonts w:ascii="Arial Narrow" w:hAnsi="Arial Narrow" w:cs="Times New Roman"/>
          <w:sz w:val="22"/>
          <w:szCs w:val="22"/>
        </w:rPr>
        <w:t>ov</w:t>
      </w:r>
      <w:r w:rsidRPr="00FB0E8B" w:rsidR="00782712">
        <w:rPr>
          <w:rFonts w:ascii="Arial Narrow" w:hAnsi="Arial Narrow" w:cs="Times New Roman"/>
          <w:sz w:val="22"/>
          <w:szCs w:val="22"/>
        </w:rPr>
        <w:t xml:space="preserve"> fyzických osôb</w:t>
      </w:r>
      <w:r w:rsidR="00782712">
        <w:rPr>
          <w:rFonts w:ascii="Arial Narrow" w:hAnsi="Arial Narrow" w:cs="Times New Roman"/>
          <w:sz w:val="22"/>
          <w:szCs w:val="22"/>
        </w:rPr>
        <w:t xml:space="preserve">, </w:t>
      </w:r>
      <w:r w:rsidRPr="00FB0E8B" w:rsidR="00782712">
        <w:rPr>
          <w:rFonts w:ascii="Arial Narrow" w:hAnsi="Arial Narrow" w:cs="Times New Roman"/>
          <w:sz w:val="22"/>
          <w:szCs w:val="22"/>
        </w:rPr>
        <w:t xml:space="preserve">zdravotných a sociálnych odvodov.  </w:t>
      </w:r>
      <w:r w:rsidR="00850B6F">
        <w:rPr>
          <w:rFonts w:ascii="Arial Narrow" w:hAnsi="Arial Narrow" w:cs="Times New Roman"/>
          <w:sz w:val="22"/>
          <w:szCs w:val="22"/>
        </w:rPr>
        <w:t>Pri</w:t>
      </w:r>
      <w:r w:rsidRPr="00FB0E8B" w:rsidR="00782712">
        <w:rPr>
          <w:rFonts w:ascii="Arial Narrow" w:hAnsi="Arial Narrow" w:cs="Times New Roman"/>
          <w:sz w:val="22"/>
          <w:szCs w:val="22"/>
        </w:rPr>
        <w:t xml:space="preserve"> nepriamych dan</w:t>
      </w:r>
      <w:r w:rsidR="00850B6F">
        <w:rPr>
          <w:rFonts w:ascii="Arial Narrow" w:hAnsi="Arial Narrow" w:cs="Times New Roman"/>
          <w:sz w:val="22"/>
          <w:szCs w:val="22"/>
        </w:rPr>
        <w:t xml:space="preserve">iach </w:t>
      </w:r>
      <w:r w:rsidRPr="00FB0E8B" w:rsidR="00782712">
        <w:rPr>
          <w:rFonts w:ascii="Arial Narrow" w:hAnsi="Arial Narrow" w:cs="Times New Roman"/>
          <w:sz w:val="22"/>
          <w:szCs w:val="22"/>
        </w:rPr>
        <w:t>sa zvýraznilo riziko divergencie ich vývoja od vývoja makroekonomickej bázy, najmä pri DPH.</w:t>
      </w:r>
    </w:p>
    <w:p w:rsidR="00E955FC" w:rsidRPr="00656C18" w:rsidP="00E955FC">
      <w:pPr>
        <w:pStyle w:val="Heading2"/>
        <w:rPr>
          <w:rFonts w:ascii="Arial Narrow" w:hAnsi="Arial Narrow"/>
          <w:i w:val="0"/>
          <w:sz w:val="24"/>
          <w:szCs w:val="24"/>
        </w:rPr>
      </w:pPr>
      <w:bookmarkStart w:id="40" w:name="_Toc211592398"/>
      <w:r w:rsidR="006D4A4F">
        <w:rPr>
          <w:rFonts w:ascii="Arial Narrow" w:hAnsi="Arial Narrow"/>
          <w:i w:val="0"/>
          <w:sz w:val="24"/>
          <w:szCs w:val="24"/>
        </w:rPr>
        <w:t>3</w:t>
      </w:r>
      <w:r>
        <w:rPr>
          <w:rFonts w:ascii="Arial Narrow" w:hAnsi="Arial Narrow"/>
          <w:i w:val="0"/>
          <w:sz w:val="24"/>
          <w:szCs w:val="24"/>
        </w:rPr>
        <w:t>.</w:t>
      </w:r>
      <w:r w:rsidR="0079009C">
        <w:rPr>
          <w:rFonts w:ascii="Arial Narrow" w:hAnsi="Arial Narrow"/>
          <w:i w:val="0"/>
          <w:sz w:val="24"/>
          <w:szCs w:val="24"/>
        </w:rPr>
        <w:t>4</w:t>
      </w:r>
      <w:r w:rsidR="007D00BA">
        <w:rPr>
          <w:rFonts w:ascii="Arial Narrow" w:hAnsi="Arial Narrow"/>
          <w:i w:val="0"/>
          <w:sz w:val="24"/>
          <w:szCs w:val="24"/>
        </w:rPr>
        <w:t>.</w:t>
      </w:r>
      <w:r>
        <w:rPr>
          <w:rFonts w:ascii="Arial Narrow" w:hAnsi="Arial Narrow"/>
          <w:i w:val="0"/>
          <w:sz w:val="24"/>
          <w:szCs w:val="24"/>
        </w:rPr>
        <w:t xml:space="preserve"> </w:t>
      </w:r>
      <w:r w:rsidRPr="00656C18">
        <w:rPr>
          <w:rFonts w:ascii="Arial Narrow" w:hAnsi="Arial Narrow"/>
          <w:i w:val="0"/>
          <w:sz w:val="24"/>
          <w:szCs w:val="24"/>
        </w:rPr>
        <w:t>Roz</w:t>
      </w:r>
      <w:r w:rsidRPr="00656C18">
        <w:rPr>
          <w:rFonts w:ascii="Arial Narrow" w:hAnsi="Arial Narrow"/>
          <w:i w:val="0"/>
          <w:sz w:val="24"/>
          <w:szCs w:val="24"/>
        </w:rPr>
        <w:t>počtovanie iných ako daňových príjmov</w:t>
      </w:r>
      <w:bookmarkEnd w:id="40"/>
    </w:p>
    <w:p w:rsidR="00E955FC" w:rsidP="00E955FC">
      <w:pPr>
        <w:autoSpaceDE/>
        <w:autoSpaceDN/>
        <w:spacing w:line="240" w:lineRule="atLeast"/>
        <w:jc w:val="both"/>
        <w:rPr>
          <w:rFonts w:ascii="Arial Narrow" w:hAnsi="Arial Narrow" w:cs="Courier"/>
          <w:color w:val="000000"/>
          <w:sz w:val="22"/>
          <w:szCs w:val="22"/>
        </w:rPr>
      </w:pPr>
    </w:p>
    <w:p w:rsidR="00E955FC" w:rsidRPr="00BC499A" w:rsidP="00E955FC">
      <w:pPr>
        <w:rPr>
          <w:rFonts w:ascii="Arial Narrow" w:hAnsi="Arial Narrow" w:cs="Times New Roman"/>
          <w:sz w:val="22"/>
          <w:szCs w:val="22"/>
        </w:rPr>
      </w:pPr>
      <w:r w:rsidRPr="00BC499A">
        <w:rPr>
          <w:rFonts w:ascii="Arial Narrow" w:hAnsi="Arial Narrow" w:cs="Times New Roman"/>
          <w:b/>
          <w:sz w:val="22"/>
          <w:szCs w:val="22"/>
        </w:rPr>
        <w:tab/>
      </w:r>
      <w:r w:rsidRPr="00BC499A">
        <w:rPr>
          <w:rFonts w:ascii="Arial Narrow" w:hAnsi="Arial Narrow" w:cs="Times New Roman"/>
          <w:sz w:val="22"/>
          <w:szCs w:val="22"/>
        </w:rPr>
        <w:t xml:space="preserve">Iné ako daňové príjmy štátneho rozpočtu tvoria nedaňové príjmy, granty a transfery. </w:t>
      </w:r>
    </w:p>
    <w:p w:rsidR="00E955FC" w:rsidRPr="00BC499A" w:rsidP="00E955FC">
      <w:pPr>
        <w:rPr>
          <w:rFonts w:ascii="Arial Narrow" w:hAnsi="Arial Narrow" w:cs="Times New Roman"/>
          <w:sz w:val="22"/>
          <w:szCs w:val="22"/>
        </w:rPr>
      </w:pPr>
    </w:p>
    <w:p w:rsidR="00E955FC" w:rsidRPr="00BC499A" w:rsidP="00E955FC">
      <w:pPr>
        <w:rPr>
          <w:rFonts w:ascii="Arial Narrow" w:hAnsi="Arial Narrow" w:cs="Times New Roman"/>
          <w:sz w:val="22"/>
          <w:szCs w:val="22"/>
        </w:rPr>
      </w:pPr>
      <w:r w:rsidRPr="00BC499A">
        <w:rPr>
          <w:rFonts w:ascii="Arial Narrow" w:hAnsi="Arial Narrow" w:cs="Times New Roman"/>
          <w:sz w:val="22"/>
          <w:szCs w:val="22"/>
        </w:rPr>
        <w:tab/>
      </w:r>
      <w:r w:rsidRPr="00BC499A">
        <w:rPr>
          <w:rFonts w:ascii="Arial Narrow" w:hAnsi="Arial Narrow" w:cs="Times New Roman"/>
          <w:b/>
          <w:sz w:val="22"/>
          <w:szCs w:val="22"/>
        </w:rPr>
        <w:t>Nedaňové príjmy</w:t>
      </w:r>
      <w:r w:rsidRPr="00BC499A">
        <w:rPr>
          <w:rFonts w:ascii="Arial Narrow" w:hAnsi="Arial Narrow" w:cs="Times New Roman"/>
          <w:sz w:val="22"/>
          <w:szCs w:val="22"/>
        </w:rPr>
        <w:t xml:space="preserve"> súvisia s činnosťou jednotlivých kapitol štátneho rozpočtu a  tvoria ich</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 xml:space="preserve"> - príjmy z podnikania a z vlastníctva m</w:t>
      </w:r>
      <w:r w:rsidRPr="00BC499A">
        <w:rPr>
          <w:rFonts w:ascii="Arial Narrow" w:hAnsi="Arial Narrow" w:cs="Times New Roman"/>
          <w:sz w:val="22"/>
          <w:szCs w:val="22"/>
        </w:rPr>
        <w:t>ajetku,</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 xml:space="preserve"> - administratívne a iné poplatky a platby,</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 xml:space="preserve"> - kapitálové príjmy, </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 xml:space="preserve"> - úroky z tuzemských a zahraničných úverov, pôžičiek, návratných finančných výpomocí, vkladov</w:t>
      </w:r>
      <w:r>
        <w:rPr>
          <w:rFonts w:ascii="Arial Narrow" w:hAnsi="Arial Narrow" w:cs="Times New Roman"/>
          <w:sz w:val="22"/>
          <w:szCs w:val="22"/>
        </w:rPr>
        <w:t>,</w:t>
      </w:r>
      <w:r w:rsidRPr="00BC499A">
        <w:rPr>
          <w:rFonts w:ascii="Arial Narrow" w:hAnsi="Arial Narrow" w:cs="Times New Roman"/>
          <w:sz w:val="22"/>
          <w:szCs w:val="22"/>
        </w:rPr>
        <w:t xml:space="preserve">        </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 xml:space="preserve"> - iné nedaňové príjmy.</w:t>
      </w:r>
      <w:r>
        <w:rPr>
          <w:rFonts w:ascii="Arial Narrow" w:hAnsi="Arial Narrow" w:cs="Times New Roman"/>
          <w:sz w:val="22"/>
          <w:szCs w:val="22"/>
        </w:rPr>
        <w:t xml:space="preserve"> </w:t>
      </w:r>
    </w:p>
    <w:p w:rsidR="00E955FC" w:rsidP="00E955FC">
      <w:pPr>
        <w:jc w:val="both"/>
        <w:rPr>
          <w:rFonts w:ascii="Arial Narrow" w:hAnsi="Arial Narrow" w:cs="Times New Roman"/>
          <w:sz w:val="22"/>
          <w:szCs w:val="22"/>
        </w:rPr>
      </w:pPr>
      <w:r w:rsidRPr="00BC499A">
        <w:rPr>
          <w:rFonts w:ascii="Arial Narrow" w:hAnsi="Arial Narrow" w:cs="Times New Roman"/>
          <w:sz w:val="22"/>
          <w:szCs w:val="22"/>
        </w:rPr>
        <w:tab/>
      </w:r>
    </w:p>
    <w:p w:rsidR="00E955FC" w:rsidP="00F678B0">
      <w:pPr>
        <w:ind w:firstLine="708"/>
        <w:jc w:val="both"/>
        <w:rPr>
          <w:rFonts w:ascii="Arial Narrow" w:hAnsi="Arial Narrow" w:cs="Times New Roman"/>
          <w:sz w:val="22"/>
          <w:szCs w:val="22"/>
        </w:rPr>
      </w:pPr>
      <w:r w:rsidRPr="00BC499A">
        <w:rPr>
          <w:rFonts w:ascii="Arial Narrow" w:hAnsi="Arial Narrow" w:cs="Times New Roman"/>
          <w:b/>
          <w:sz w:val="22"/>
          <w:szCs w:val="22"/>
        </w:rPr>
        <w:t>Granty a transfery</w:t>
      </w:r>
      <w:r w:rsidRPr="00BC499A">
        <w:rPr>
          <w:rFonts w:ascii="Arial Narrow" w:hAnsi="Arial Narrow" w:cs="Times New Roman"/>
          <w:sz w:val="22"/>
          <w:szCs w:val="22"/>
        </w:rPr>
        <w:t xml:space="preserve"> tvoria bežné, kapitálové a zahraničné granty a transfery. Granty sú dobrovoľné príspevky prijaté od darcov a sponzorov. V rámci transferov sa rozpočtujú transfery v rámci verejnej správy – zo štátnych finančných aktív a zo zdravotných poisťovní a zahraničné transfery – prostriedky z rozpočtu Európskej únie. </w:t>
        <w:tab/>
      </w:r>
    </w:p>
    <w:p w:rsidR="00E955FC" w:rsidRPr="00BC499A" w:rsidP="00E955FC">
      <w:pPr>
        <w:ind w:firstLine="708"/>
        <w:jc w:val="both"/>
        <w:rPr>
          <w:rFonts w:ascii="Arial Narrow" w:hAnsi="Arial Narrow" w:cs="Times New Roman"/>
          <w:sz w:val="22"/>
          <w:szCs w:val="22"/>
        </w:rPr>
      </w:pPr>
      <w:r w:rsidRPr="00BC499A">
        <w:rPr>
          <w:rFonts w:ascii="Arial Narrow" w:hAnsi="Arial Narrow" w:cs="Times New Roman"/>
          <w:sz w:val="22"/>
          <w:szCs w:val="22"/>
        </w:rPr>
        <w:t>Vývoj iných a</w:t>
      </w:r>
      <w:r>
        <w:rPr>
          <w:rFonts w:ascii="Arial Narrow" w:hAnsi="Arial Narrow" w:cs="Times New Roman"/>
          <w:sz w:val="22"/>
          <w:szCs w:val="22"/>
        </w:rPr>
        <w:t>ko daňových príjmov na roky 2009 až 2011</w:t>
      </w:r>
      <w:r w:rsidRPr="00BC499A">
        <w:rPr>
          <w:rFonts w:ascii="Arial Narrow" w:hAnsi="Arial Narrow" w:cs="Times New Roman"/>
          <w:sz w:val="22"/>
          <w:szCs w:val="22"/>
        </w:rPr>
        <w:t xml:space="preserve"> zobrazuje nasledovná tabuľka: </w:t>
      </w:r>
    </w:p>
    <w:p w:rsidR="00E955FC" w:rsidP="00E955FC">
      <w:pPr>
        <w:jc w:val="both"/>
        <w:rPr>
          <w:rFonts w:ascii="Arial Narrow" w:hAnsi="Arial Narrow" w:cs="Times New Roman"/>
          <w:sz w:val="22"/>
          <w:szCs w:val="22"/>
        </w:rPr>
      </w:pPr>
    </w:p>
    <w:tbl>
      <w:tblPr>
        <w:tblW w:w="9015" w:type="dxa"/>
        <w:tblInd w:w="55" w:type="dxa"/>
        <w:tblCellMar>
          <w:left w:w="70" w:type="dxa"/>
          <w:right w:w="70" w:type="dxa"/>
        </w:tblCellMar>
      </w:tblPr>
      <w:tblGrid>
        <w:gridCol w:w="2535"/>
        <w:gridCol w:w="1620"/>
        <w:gridCol w:w="1620"/>
        <w:gridCol w:w="1620"/>
        <w:gridCol w:w="1620"/>
      </w:tblGrid>
      <w:tr>
        <w:tblPrEx>
          <w:tblW w:w="9015" w:type="dxa"/>
          <w:tblInd w:w="55" w:type="dxa"/>
          <w:tblCellMar>
            <w:left w:w="70" w:type="dxa"/>
            <w:right w:w="70" w:type="dxa"/>
          </w:tblCellMar>
        </w:tblPrEx>
        <w:trPr>
          <w:trHeight w:val="255"/>
        </w:trPr>
        <w:tc>
          <w:tcPr>
            <w:tcW w:w="253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62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2008</w:t>
            </w:r>
          </w:p>
        </w:tc>
        <w:tc>
          <w:tcPr>
            <w:tcW w:w="162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62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62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015" w:type="dxa"/>
          <w:tblInd w:w="55" w:type="dxa"/>
          <w:tblCellMar>
            <w:left w:w="70" w:type="dxa"/>
            <w:right w:w="70" w:type="dxa"/>
          </w:tblCellMar>
        </w:tblPrEx>
        <w:trPr>
          <w:trHeight w:val="255"/>
        </w:trPr>
        <w:tc>
          <w:tcPr>
            <w:tcW w:w="253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Nedaňové príjmy</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741 102</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877 598</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631 07</w:t>
            </w:r>
            <w:r w:rsidR="001B161A">
              <w:rPr>
                <w:rFonts w:ascii="Arial Narrow" w:hAnsi="Arial Narrow" w:cs="Arial"/>
                <w:sz w:val="20"/>
                <w:lang w:eastAsia="sk-SK"/>
              </w:rPr>
              <w:t>3</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591 589</w:t>
            </w:r>
          </w:p>
        </w:tc>
      </w:tr>
      <w:tr>
        <w:tblPrEx>
          <w:tblW w:w="9015" w:type="dxa"/>
          <w:tblInd w:w="55" w:type="dxa"/>
          <w:tblCellMar>
            <w:left w:w="70" w:type="dxa"/>
            <w:right w:w="70" w:type="dxa"/>
          </w:tblCellMar>
        </w:tblPrEx>
        <w:trPr>
          <w:trHeight w:val="255"/>
        </w:trPr>
        <w:tc>
          <w:tcPr>
            <w:tcW w:w="253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Granty a transfery</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1 823 982</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2 335 998</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2 980 397</w:t>
            </w:r>
          </w:p>
        </w:tc>
        <w:tc>
          <w:tcPr>
            <w:tcW w:w="162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3 196 005</w:t>
            </w:r>
          </w:p>
        </w:tc>
      </w:tr>
      <w:tr>
        <w:tblPrEx>
          <w:tblW w:w="9015" w:type="dxa"/>
          <w:tblInd w:w="55" w:type="dxa"/>
          <w:tblCellMar>
            <w:left w:w="70" w:type="dxa"/>
            <w:right w:w="70" w:type="dxa"/>
          </w:tblCellMar>
        </w:tblPrEx>
        <w:trPr>
          <w:trHeight w:val="255"/>
        </w:trPr>
        <w:tc>
          <w:tcPr>
            <w:tcW w:w="253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S p</w:t>
            </w:r>
            <w:r w:rsidRPr="00FB3B03">
              <w:rPr>
                <w:rFonts w:ascii="Arial Narrow" w:hAnsi="Arial Narrow" w:cs="Arial"/>
                <w:b/>
                <w:bCs/>
                <w:sz w:val="20"/>
                <w:lang w:eastAsia="sk-SK"/>
              </w:rPr>
              <w:t xml:space="preserve"> o l u</w:t>
            </w:r>
          </w:p>
        </w:tc>
        <w:tc>
          <w:tcPr>
            <w:tcW w:w="162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2 565 084</w:t>
            </w:r>
          </w:p>
        </w:tc>
        <w:tc>
          <w:tcPr>
            <w:tcW w:w="162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3 213 596</w:t>
            </w:r>
          </w:p>
        </w:tc>
        <w:tc>
          <w:tcPr>
            <w:tcW w:w="162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001B161A">
              <w:rPr>
                <w:rFonts w:ascii="Arial Narrow" w:hAnsi="Arial Narrow" w:cs="Arial"/>
                <w:b/>
                <w:bCs/>
                <w:sz w:val="20"/>
                <w:lang w:eastAsia="sk-SK"/>
              </w:rPr>
              <w:t>3 611 470</w:t>
            </w:r>
          </w:p>
        </w:tc>
        <w:tc>
          <w:tcPr>
            <w:tcW w:w="162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3 787 594</w:t>
            </w:r>
          </w:p>
        </w:tc>
      </w:tr>
    </w:tbl>
    <w:p w:rsidR="00F678B0" w:rsidP="00E955FC">
      <w:pPr>
        <w:jc w:val="both"/>
        <w:rPr>
          <w:rFonts w:ascii="Arial Narrow" w:hAnsi="Arial Narrow" w:cs="Times New Roman"/>
          <w:b/>
          <w:sz w:val="22"/>
          <w:szCs w:val="22"/>
        </w:rPr>
      </w:pPr>
    </w:p>
    <w:p w:rsidR="00F678B0" w:rsidP="00E955FC">
      <w:pPr>
        <w:jc w:val="both"/>
        <w:rPr>
          <w:rFonts w:ascii="Arial Narrow" w:hAnsi="Arial Narrow" w:cs="Times New Roman"/>
          <w:b/>
          <w:sz w:val="22"/>
          <w:szCs w:val="22"/>
        </w:rPr>
      </w:pPr>
    </w:p>
    <w:p w:rsidR="00E955FC" w:rsidRPr="00BC499A" w:rsidP="00E955FC">
      <w:pPr>
        <w:jc w:val="both"/>
        <w:rPr>
          <w:rFonts w:ascii="Arial Narrow" w:hAnsi="Arial Narrow" w:cs="Times New Roman"/>
          <w:b/>
          <w:sz w:val="22"/>
          <w:szCs w:val="22"/>
        </w:rPr>
      </w:pPr>
      <w:r w:rsidRPr="00BC499A">
        <w:rPr>
          <w:rFonts w:ascii="Arial Narrow" w:hAnsi="Arial Narrow" w:cs="Times New Roman"/>
          <w:b/>
          <w:sz w:val="22"/>
          <w:szCs w:val="22"/>
        </w:rPr>
        <w:t>3.</w:t>
      </w:r>
      <w:r w:rsidR="000E0056">
        <w:rPr>
          <w:rFonts w:ascii="Arial Narrow" w:hAnsi="Arial Narrow" w:cs="Times New Roman"/>
          <w:b/>
          <w:sz w:val="22"/>
          <w:szCs w:val="22"/>
        </w:rPr>
        <w:t>4</w:t>
      </w:r>
      <w:r w:rsidRPr="00BC499A">
        <w:rPr>
          <w:rFonts w:ascii="Arial Narrow" w:hAnsi="Arial Narrow" w:cs="Times New Roman"/>
          <w:b/>
          <w:sz w:val="22"/>
          <w:szCs w:val="22"/>
        </w:rPr>
        <w:t>.1</w:t>
      </w:r>
      <w:r>
        <w:rPr>
          <w:rFonts w:ascii="Arial Narrow" w:hAnsi="Arial Narrow" w:cs="Times New Roman"/>
          <w:b/>
          <w:sz w:val="22"/>
          <w:szCs w:val="22"/>
        </w:rPr>
        <w:t>.</w:t>
      </w:r>
      <w:r w:rsidRPr="00BC499A">
        <w:rPr>
          <w:rFonts w:ascii="Arial Narrow" w:hAnsi="Arial Narrow" w:cs="Times New Roman"/>
          <w:b/>
          <w:sz w:val="22"/>
          <w:szCs w:val="22"/>
        </w:rPr>
        <w:t xml:space="preserve"> Rozpočtovanie nedaňových príjmov </w:t>
      </w:r>
    </w:p>
    <w:p w:rsidR="00E955FC" w:rsidRPr="00BC499A" w:rsidP="00E955FC">
      <w:pPr>
        <w:jc w:val="both"/>
        <w:rPr>
          <w:rFonts w:ascii="Arial Narrow" w:hAnsi="Arial Narrow" w:cs="Times New Roman"/>
          <w:b/>
          <w:sz w:val="22"/>
          <w:szCs w:val="22"/>
        </w:rPr>
      </w:pPr>
    </w:p>
    <w:p w:rsidR="00E955FC" w:rsidP="00E955FC">
      <w:pPr>
        <w:ind w:firstLine="708"/>
        <w:jc w:val="both"/>
        <w:rPr>
          <w:rFonts w:ascii="Arial Narrow" w:hAnsi="Arial Narrow" w:cs="Times New Roman"/>
          <w:sz w:val="22"/>
          <w:szCs w:val="22"/>
        </w:rPr>
      </w:pPr>
      <w:r w:rsidRPr="00BC499A">
        <w:rPr>
          <w:rFonts w:ascii="Arial Narrow" w:hAnsi="Arial Narrow" w:cs="Times New Roman"/>
          <w:b/>
          <w:sz w:val="22"/>
          <w:szCs w:val="22"/>
        </w:rPr>
        <w:t xml:space="preserve">Nedaňové príjmy </w:t>
      </w:r>
      <w:r w:rsidRPr="00BC499A">
        <w:rPr>
          <w:rFonts w:ascii="Arial Narrow" w:hAnsi="Arial Narrow" w:cs="Times New Roman"/>
          <w:sz w:val="22"/>
          <w:szCs w:val="22"/>
        </w:rPr>
        <w:t>na roky 200</w:t>
      </w:r>
      <w:r>
        <w:rPr>
          <w:rFonts w:ascii="Arial Narrow" w:hAnsi="Arial Narrow" w:cs="Times New Roman"/>
          <w:sz w:val="22"/>
          <w:szCs w:val="22"/>
        </w:rPr>
        <w:t>9 až 2011</w:t>
      </w:r>
      <w:r w:rsidRPr="00BC499A">
        <w:rPr>
          <w:rFonts w:ascii="Arial Narrow" w:hAnsi="Arial Narrow" w:cs="Times New Roman"/>
          <w:sz w:val="22"/>
          <w:szCs w:val="22"/>
        </w:rPr>
        <w:t xml:space="preserve"> sa rozpočtujú vo výške </w:t>
      </w:r>
      <w:r>
        <w:rPr>
          <w:rFonts w:ascii="Arial Narrow" w:hAnsi="Arial Narrow" w:cs="Times New Roman"/>
          <w:sz w:val="22"/>
          <w:szCs w:val="22"/>
        </w:rPr>
        <w:t>877 598 tis. eur, 631 07</w:t>
      </w:r>
      <w:r w:rsidR="00581D62">
        <w:rPr>
          <w:rFonts w:ascii="Arial Narrow" w:hAnsi="Arial Narrow" w:cs="Times New Roman"/>
          <w:sz w:val="22"/>
          <w:szCs w:val="22"/>
        </w:rPr>
        <w:t>3</w:t>
      </w:r>
      <w:r>
        <w:rPr>
          <w:rFonts w:ascii="Arial Narrow" w:hAnsi="Arial Narrow" w:cs="Times New Roman"/>
          <w:sz w:val="22"/>
          <w:szCs w:val="22"/>
        </w:rPr>
        <w:t xml:space="preserve"> tis. eur a 591 589 tis. eur.</w:t>
      </w:r>
      <w:r w:rsidRPr="00BC499A">
        <w:rPr>
          <w:rFonts w:ascii="Arial Narrow" w:hAnsi="Arial Narrow" w:cs="Times New Roman"/>
          <w:sz w:val="22"/>
          <w:szCs w:val="22"/>
        </w:rPr>
        <w:t xml:space="preserve"> </w:t>
      </w:r>
      <w:r>
        <w:rPr>
          <w:rFonts w:ascii="Arial Narrow" w:hAnsi="Arial Narrow" w:cs="Times New Roman"/>
          <w:sz w:val="22"/>
          <w:szCs w:val="22"/>
        </w:rPr>
        <w:t xml:space="preserve">V roku 2009 dochádza v porovnaní so schváleným rozpočtom 2008 k nárastu celkových nedaňových príjmov vo výške </w:t>
      </w:r>
      <w:r w:rsidRPr="00A22D83">
        <w:rPr>
          <w:rFonts w:ascii="Arial Narrow" w:hAnsi="Arial Narrow" w:cs="Times New Roman"/>
          <w:sz w:val="22"/>
          <w:szCs w:val="22"/>
        </w:rPr>
        <w:t>18,4 %.</w:t>
      </w:r>
      <w:r>
        <w:rPr>
          <w:rFonts w:ascii="Arial Narrow" w:hAnsi="Arial Narrow" w:cs="Times New Roman"/>
          <w:sz w:val="22"/>
          <w:szCs w:val="22"/>
        </w:rPr>
        <w:t xml:space="preserve"> V roku 2010 sa oproti roku 2009 predpokladá pokles nedaňových príjmov vo výške </w:t>
      </w:r>
      <w:r w:rsidRPr="00A22D83">
        <w:rPr>
          <w:rFonts w:ascii="Arial Narrow" w:hAnsi="Arial Narrow" w:cs="Times New Roman"/>
          <w:sz w:val="22"/>
          <w:szCs w:val="22"/>
        </w:rPr>
        <w:t>28,1 %</w:t>
      </w:r>
      <w:r>
        <w:rPr>
          <w:rFonts w:ascii="Arial Narrow" w:hAnsi="Arial Narrow" w:cs="Times New Roman"/>
          <w:sz w:val="22"/>
          <w:szCs w:val="22"/>
        </w:rPr>
        <w:t xml:space="preserve"> a v roku 2011 predstavuje pokles </w:t>
      </w:r>
      <w:r w:rsidRPr="00A22D83">
        <w:rPr>
          <w:rFonts w:ascii="Arial Narrow" w:hAnsi="Arial Narrow" w:cs="Times New Roman"/>
          <w:sz w:val="22"/>
          <w:szCs w:val="22"/>
        </w:rPr>
        <w:t>6,3 %</w:t>
      </w:r>
      <w:r>
        <w:rPr>
          <w:rFonts w:ascii="Arial Narrow" w:hAnsi="Arial Narrow" w:cs="Times New Roman"/>
          <w:sz w:val="22"/>
          <w:szCs w:val="22"/>
        </w:rPr>
        <w:t xml:space="preserve"> oproti roku 2010. </w:t>
      </w:r>
      <w:r w:rsidRPr="00A22D83">
        <w:rPr>
          <w:rFonts w:ascii="Arial Narrow" w:hAnsi="Arial Narrow" w:cs="Times New Roman"/>
          <w:sz w:val="22"/>
          <w:szCs w:val="22"/>
        </w:rPr>
        <w:t>Uvedený pokles týchto príjmov v rokoch 2010 a 2011 je spôsobený hlavne poklesom úrokových príjmov zo zhodnocovania dočasne voľných finančných prostriedkov Ministerstva financií SR na peňažnom trhu a kapitálových príjmov</w:t>
      </w:r>
      <w:r>
        <w:rPr>
          <w:rFonts w:ascii="Arial Narrow" w:hAnsi="Arial Narrow" w:cs="Times New Roman"/>
          <w:sz w:val="22"/>
          <w:szCs w:val="22"/>
        </w:rPr>
        <w:t xml:space="preserve">. </w:t>
      </w:r>
    </w:p>
    <w:p w:rsidR="00E955FC" w:rsidP="00E955FC">
      <w:pPr>
        <w:jc w:val="both"/>
        <w:rPr>
          <w:rFonts w:ascii="Arial Narrow" w:hAnsi="Arial Narrow" w:cs="Times New Roman"/>
          <w:sz w:val="22"/>
          <w:szCs w:val="22"/>
        </w:rPr>
      </w:pPr>
    </w:p>
    <w:tbl>
      <w:tblPr>
        <w:tblW w:w="9015" w:type="dxa"/>
        <w:tblInd w:w="55" w:type="dxa"/>
        <w:tblCellMar>
          <w:left w:w="70" w:type="dxa"/>
          <w:right w:w="70" w:type="dxa"/>
        </w:tblCellMar>
      </w:tblPr>
      <w:tblGrid>
        <w:gridCol w:w="460"/>
        <w:gridCol w:w="4235"/>
        <w:gridCol w:w="1080"/>
        <w:gridCol w:w="1080"/>
        <w:gridCol w:w="1080"/>
        <w:gridCol w:w="1080"/>
      </w:tblGrid>
      <w:tr>
        <w:tblPrEx>
          <w:tblW w:w="9015" w:type="dxa"/>
          <w:tblInd w:w="55" w:type="dxa"/>
          <w:tblCellMar>
            <w:left w:w="70" w:type="dxa"/>
            <w:right w:w="70" w:type="dxa"/>
          </w:tblCellMar>
        </w:tblPrEx>
        <w:trPr>
          <w:trHeight w:val="255"/>
        </w:trPr>
        <w:tc>
          <w:tcPr>
            <w:tcW w:w="46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 </w:t>
            </w:r>
          </w:p>
        </w:tc>
        <w:tc>
          <w:tcPr>
            <w:tcW w:w="4235"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2008</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w:t>
            </w:r>
          </w:p>
        </w:tc>
        <w:tc>
          <w:tcPr>
            <w:tcW w:w="4235"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rPr>
                <w:rFonts w:ascii="Arial Narrow" w:hAnsi="Arial Narrow" w:cs="Arial"/>
                <w:b/>
                <w:bCs/>
                <w:sz w:val="20"/>
                <w:lang w:eastAsia="sk-SK"/>
              </w:rPr>
            </w:pPr>
            <w:r w:rsidRPr="00FB3B03">
              <w:rPr>
                <w:rFonts w:ascii="Arial Narrow" w:hAnsi="Arial Narrow" w:cs="Arial"/>
                <w:b/>
                <w:bCs/>
                <w:sz w:val="20"/>
                <w:lang w:eastAsia="sk-SK"/>
              </w:rPr>
              <w:t>Nedaňové príjmy</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741 102</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877 598</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631 07</w:t>
            </w:r>
            <w:r w:rsidR="001B161A">
              <w:rPr>
                <w:rFonts w:ascii="Arial Narrow" w:hAnsi="Arial Narrow" w:cs="Arial"/>
                <w:b/>
                <w:bCs/>
                <w:sz w:val="20"/>
                <w:lang w:eastAsia="sk-SK"/>
              </w:rPr>
              <w:t>3</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591 589</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A.</w:t>
            </w:r>
          </w:p>
        </w:tc>
        <w:tc>
          <w:tcPr>
            <w:tcW w:w="4235" w:type="dxa"/>
            <w:tcBorders>
              <w:top w:val="nil"/>
              <w:left w:val="nil"/>
              <w:bottom w:val="single" w:sz="4" w:space="0" w:color="auto"/>
              <w:right w:val="single" w:sz="4" w:space="0" w:color="auto"/>
              <w:tl2br w:val="nil"/>
              <w:tr2bl w:val="nil"/>
            </w:tcBorders>
            <w:textDirection w:val="lrTb"/>
            <w:vAlign w:val="top"/>
          </w:tcPr>
          <w:p w:rsidR="00E955FC" w:rsidRPr="00FB3B03" w:rsidP="00E955FC">
            <w:pPr>
              <w:rPr>
                <w:rFonts w:ascii="Arial Narrow" w:hAnsi="Arial Narrow" w:cs="Arial"/>
                <w:sz w:val="20"/>
                <w:lang w:eastAsia="sk-SK"/>
              </w:rPr>
            </w:pPr>
            <w:r w:rsidRPr="00FB3B03">
              <w:rPr>
                <w:rFonts w:ascii="Arial Narrow" w:hAnsi="Arial Narrow" w:cs="Arial"/>
                <w:sz w:val="20"/>
                <w:lang w:eastAsia="sk-SK"/>
              </w:rPr>
              <w:t>Príjmy z podnikania a z vlastníctva majetku</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29 852</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97 707</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61 83</w:t>
            </w:r>
            <w:r w:rsidR="001B161A">
              <w:rPr>
                <w:rFonts w:ascii="Arial Narrow" w:hAnsi="Arial Narrow" w:cs="Arial"/>
                <w:sz w:val="20"/>
                <w:lang w:eastAsia="sk-SK"/>
              </w:rPr>
              <w:t>1</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62 165</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B.</w:t>
            </w:r>
          </w:p>
        </w:tc>
        <w:tc>
          <w:tcPr>
            <w:tcW w:w="4235" w:type="dxa"/>
            <w:tcBorders>
              <w:top w:val="nil"/>
              <w:left w:val="nil"/>
              <w:bottom w:val="single" w:sz="4" w:space="0" w:color="auto"/>
              <w:right w:val="single" w:sz="4" w:space="0" w:color="auto"/>
              <w:tl2br w:val="nil"/>
              <w:tr2bl w:val="nil"/>
            </w:tcBorders>
            <w:textDirection w:val="lrTb"/>
            <w:vAlign w:val="top"/>
          </w:tcPr>
          <w:p w:rsidR="00E955FC" w:rsidRPr="00FB3B03" w:rsidP="00E955FC">
            <w:pPr>
              <w:rPr>
                <w:rFonts w:ascii="Arial Narrow" w:hAnsi="Arial Narrow" w:cs="Arial"/>
                <w:sz w:val="20"/>
                <w:lang w:eastAsia="sk-SK"/>
              </w:rPr>
            </w:pPr>
            <w:r w:rsidRPr="00FB3B03">
              <w:rPr>
                <w:rFonts w:ascii="Arial Narrow" w:hAnsi="Arial Narrow" w:cs="Arial"/>
                <w:sz w:val="20"/>
                <w:lang w:eastAsia="sk-SK"/>
              </w:rPr>
              <w:t>Administratívne a iné poplatky a platby</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264 062</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273 447</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268 551</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271 356</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C.</w:t>
            </w:r>
          </w:p>
        </w:tc>
        <w:tc>
          <w:tcPr>
            <w:tcW w:w="4235" w:type="dxa"/>
            <w:tcBorders>
              <w:top w:val="nil"/>
              <w:left w:val="nil"/>
              <w:bottom w:val="single" w:sz="4" w:space="0" w:color="auto"/>
              <w:right w:val="single" w:sz="4" w:space="0" w:color="auto"/>
              <w:tl2br w:val="nil"/>
              <w:tr2bl w:val="nil"/>
            </w:tcBorders>
            <w:textDirection w:val="lrTb"/>
            <w:vAlign w:val="top"/>
          </w:tcPr>
          <w:p w:rsidR="00E955FC" w:rsidRPr="00FB3B03" w:rsidP="00E955FC">
            <w:pPr>
              <w:rPr>
                <w:rFonts w:ascii="Arial Narrow" w:hAnsi="Arial Narrow" w:cs="Arial"/>
                <w:sz w:val="20"/>
                <w:lang w:eastAsia="sk-SK"/>
              </w:rPr>
            </w:pPr>
            <w:r w:rsidRPr="00FB3B03">
              <w:rPr>
                <w:rFonts w:ascii="Arial Narrow" w:hAnsi="Arial Narrow" w:cs="Arial"/>
                <w:sz w:val="20"/>
                <w:lang w:eastAsia="sk-SK"/>
              </w:rPr>
              <w:t>Kapitálové príjmy</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102 059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165 651</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2 399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2 291</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D.</w:t>
            </w:r>
          </w:p>
        </w:tc>
        <w:tc>
          <w:tcPr>
            <w:tcW w:w="4235" w:type="dxa"/>
            <w:tcBorders>
              <w:top w:val="nil"/>
              <w:left w:val="nil"/>
              <w:bottom w:val="single" w:sz="4" w:space="0" w:color="auto"/>
              <w:right w:val="single" w:sz="4" w:space="0" w:color="auto"/>
              <w:tl2br w:val="nil"/>
              <w:tr2bl w:val="nil"/>
            </w:tcBorders>
            <w:textDirection w:val="lrTb"/>
            <w:vAlign w:val="top"/>
          </w:tcPr>
          <w:p w:rsidR="00E955FC" w:rsidRPr="00FB3B03" w:rsidP="00E955FC">
            <w:pPr>
              <w:rPr>
                <w:rFonts w:ascii="Arial Narrow" w:hAnsi="Arial Narrow" w:cs="Arial"/>
                <w:sz w:val="20"/>
                <w:lang w:eastAsia="sk-SK"/>
              </w:rPr>
            </w:pPr>
            <w:r w:rsidRPr="00FB3B03">
              <w:rPr>
                <w:rFonts w:ascii="Arial Narrow" w:hAnsi="Arial Narrow" w:cs="Arial"/>
                <w:sz w:val="20"/>
                <w:lang w:eastAsia="sk-SK"/>
              </w:rPr>
              <w:t>Úroky z tuzem. a zahr. úverov, pôžičiek a</w:t>
            </w:r>
            <w:r w:rsidRPr="00FB3B03">
              <w:rPr>
                <w:rFonts w:ascii="Arial Narrow" w:hAnsi="Arial Narrow" w:cs="Arial"/>
                <w:sz w:val="20"/>
                <w:lang w:eastAsia="sk-SK"/>
              </w:rPr>
              <w:t xml:space="preserve"> vkladov</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238 526</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218 949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179 460</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132 566</w:t>
            </w:r>
          </w:p>
        </w:tc>
      </w:tr>
      <w:tr>
        <w:tblPrEx>
          <w:tblW w:w="9015" w:type="dxa"/>
          <w:tblInd w:w="55"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E.</w:t>
            </w:r>
          </w:p>
        </w:tc>
        <w:tc>
          <w:tcPr>
            <w:tcW w:w="4235" w:type="dxa"/>
            <w:tcBorders>
              <w:top w:val="nil"/>
              <w:left w:val="nil"/>
              <w:bottom w:val="single" w:sz="4" w:space="0" w:color="auto"/>
              <w:right w:val="single" w:sz="4" w:space="0" w:color="auto"/>
              <w:tl2br w:val="nil"/>
              <w:tr2bl w:val="nil"/>
            </w:tcBorders>
            <w:textDirection w:val="lrTb"/>
            <w:vAlign w:val="top"/>
          </w:tcPr>
          <w:p w:rsidR="00E955FC" w:rsidRPr="00FB3B03" w:rsidP="00E955FC">
            <w:pPr>
              <w:rPr>
                <w:rFonts w:ascii="Arial Narrow" w:hAnsi="Arial Narrow" w:cs="Arial"/>
                <w:sz w:val="20"/>
                <w:lang w:eastAsia="sk-SK"/>
              </w:rPr>
            </w:pPr>
            <w:r w:rsidRPr="00FB3B03">
              <w:rPr>
                <w:rFonts w:ascii="Arial Narrow" w:hAnsi="Arial Narrow" w:cs="Arial"/>
                <w:sz w:val="20"/>
                <w:lang w:eastAsia="sk-SK"/>
              </w:rPr>
              <w:t>Iné nedaňové príjmy</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106 603</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121 844</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118 832</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123 211</w:t>
            </w:r>
          </w:p>
        </w:tc>
      </w:tr>
    </w:tbl>
    <w:p w:rsidR="00E955FC" w:rsidP="00E955FC">
      <w:pPr>
        <w:ind w:firstLine="709"/>
        <w:jc w:val="both"/>
        <w:rPr>
          <w:rFonts w:ascii="Arial Narrow" w:hAnsi="Arial Narrow" w:cs="Times New Roman"/>
          <w:b/>
          <w:sz w:val="22"/>
          <w:szCs w:val="22"/>
        </w:rPr>
      </w:pPr>
    </w:p>
    <w:p w:rsidR="00F678B0" w:rsidP="00E955FC">
      <w:pPr>
        <w:ind w:firstLine="709"/>
        <w:jc w:val="both"/>
        <w:rPr>
          <w:rFonts w:ascii="Arial Narrow" w:hAnsi="Arial Narrow" w:cs="Times New Roman"/>
          <w:sz w:val="22"/>
          <w:szCs w:val="22"/>
        </w:rPr>
      </w:pPr>
      <w:r w:rsidRPr="00BC499A" w:rsidR="00E955FC">
        <w:rPr>
          <w:rFonts w:ascii="Arial Narrow" w:hAnsi="Arial Narrow" w:cs="Times New Roman"/>
          <w:b/>
          <w:sz w:val="22"/>
          <w:szCs w:val="22"/>
        </w:rPr>
        <w:t xml:space="preserve">A. Príjmy z podnikania a z vlastníctva majetku </w:t>
      </w:r>
      <w:r w:rsidRPr="00BC499A" w:rsidR="00E955FC">
        <w:rPr>
          <w:rFonts w:ascii="Arial Narrow" w:hAnsi="Arial Narrow" w:cs="Times New Roman"/>
          <w:sz w:val="22"/>
          <w:szCs w:val="22"/>
        </w:rPr>
        <w:t xml:space="preserve">sa rozpočtujú vo výške </w:t>
      </w:r>
      <w:r w:rsidR="00E955FC">
        <w:rPr>
          <w:rFonts w:ascii="Arial Narrow" w:hAnsi="Arial Narrow" w:cs="Times New Roman"/>
          <w:sz w:val="22"/>
          <w:szCs w:val="22"/>
        </w:rPr>
        <w:t>97 707 tis. eur v roku 2009</w:t>
      </w:r>
      <w:r w:rsidRPr="00BC499A" w:rsidR="00E955FC">
        <w:rPr>
          <w:rFonts w:ascii="Arial Narrow" w:hAnsi="Arial Narrow" w:cs="Times New Roman"/>
          <w:sz w:val="22"/>
          <w:szCs w:val="22"/>
        </w:rPr>
        <w:t>,</w:t>
      </w:r>
      <w:r w:rsidR="00E955FC">
        <w:rPr>
          <w:rFonts w:ascii="Arial Narrow" w:hAnsi="Arial Narrow" w:cs="Times New Roman"/>
          <w:sz w:val="22"/>
          <w:szCs w:val="22"/>
        </w:rPr>
        <w:t xml:space="preserve">      </w:t>
      </w:r>
      <w:r w:rsidRPr="00BC499A" w:rsidR="00E955FC">
        <w:rPr>
          <w:rFonts w:ascii="Arial Narrow" w:hAnsi="Arial Narrow" w:cs="Times New Roman"/>
          <w:sz w:val="22"/>
          <w:szCs w:val="22"/>
        </w:rPr>
        <w:t xml:space="preserve"> </w:t>
      </w:r>
      <w:r w:rsidR="00E955FC">
        <w:rPr>
          <w:rFonts w:ascii="Arial Narrow" w:hAnsi="Arial Narrow" w:cs="Times New Roman"/>
          <w:sz w:val="22"/>
          <w:szCs w:val="22"/>
        </w:rPr>
        <w:t>61 83</w:t>
      </w:r>
      <w:r w:rsidR="00581D62">
        <w:rPr>
          <w:rFonts w:ascii="Arial Narrow" w:hAnsi="Arial Narrow" w:cs="Times New Roman"/>
          <w:sz w:val="22"/>
          <w:szCs w:val="22"/>
        </w:rPr>
        <w:t>1</w:t>
      </w:r>
      <w:r w:rsidR="00E955FC">
        <w:rPr>
          <w:rFonts w:ascii="Arial Narrow" w:hAnsi="Arial Narrow" w:cs="Times New Roman"/>
          <w:sz w:val="22"/>
          <w:szCs w:val="22"/>
        </w:rPr>
        <w:t xml:space="preserve"> tis. eur v roku 2010</w:t>
      </w:r>
      <w:r w:rsidRPr="00BC499A" w:rsidR="00E955FC">
        <w:rPr>
          <w:rFonts w:ascii="Arial Narrow" w:hAnsi="Arial Narrow" w:cs="Times New Roman"/>
          <w:sz w:val="22"/>
          <w:szCs w:val="22"/>
        </w:rPr>
        <w:t xml:space="preserve"> a</w:t>
      </w:r>
      <w:r w:rsidR="00E955FC">
        <w:rPr>
          <w:rFonts w:ascii="Arial Narrow" w:hAnsi="Arial Narrow" w:cs="Times New Roman"/>
          <w:sz w:val="22"/>
          <w:szCs w:val="22"/>
        </w:rPr>
        <w:t> 62 165 tis. eur v roku</w:t>
      </w:r>
      <w:r w:rsidR="00E955FC">
        <w:rPr>
          <w:rFonts w:ascii="Arial Narrow" w:hAnsi="Arial Narrow" w:cs="Times New Roman"/>
          <w:sz w:val="22"/>
          <w:szCs w:val="22"/>
        </w:rPr>
        <w:t xml:space="preserve"> 2011</w:t>
      </w:r>
      <w:r w:rsidRPr="00BC499A" w:rsidR="00E955FC">
        <w:rPr>
          <w:rFonts w:ascii="Arial Narrow" w:hAnsi="Arial Narrow" w:cs="Times New Roman"/>
          <w:sz w:val="22"/>
          <w:szCs w:val="22"/>
        </w:rPr>
        <w:t xml:space="preserve"> a vznikajú z vlastníctva majetku a podnikania. Majú podobu dividend, nájomného z prenájmu pozemkov, budov, strojov a pod.  </w:t>
      </w:r>
    </w:p>
    <w:p w:rsidR="00F678B0" w:rsidP="00E955FC">
      <w:pPr>
        <w:ind w:firstLine="709"/>
        <w:jc w:val="both"/>
        <w:rPr>
          <w:rFonts w:ascii="Arial Narrow" w:hAnsi="Arial Narrow" w:cs="Times New Roman"/>
          <w:sz w:val="22"/>
          <w:szCs w:val="22"/>
        </w:rPr>
      </w:pPr>
    </w:p>
    <w:tbl>
      <w:tblPr>
        <w:tblW w:w="9100" w:type="dxa"/>
        <w:tblInd w:w="55" w:type="dxa"/>
        <w:tblCellMar>
          <w:left w:w="70" w:type="dxa"/>
          <w:right w:w="70" w:type="dxa"/>
        </w:tblCellMar>
      </w:tblPr>
      <w:tblGrid>
        <w:gridCol w:w="5200"/>
        <w:gridCol w:w="1300"/>
        <w:gridCol w:w="1300"/>
        <w:gridCol w:w="1300"/>
      </w:tblGrid>
      <w:tr>
        <w:tblPrEx>
          <w:tblW w:w="9100" w:type="dxa"/>
          <w:tblInd w:w="55" w:type="dxa"/>
          <w:tblCellMar>
            <w:left w:w="70" w:type="dxa"/>
            <w:right w:w="70" w:type="dxa"/>
          </w:tblCellMar>
        </w:tblPrEx>
        <w:trPr>
          <w:trHeight w:val="255"/>
        </w:trPr>
        <w:tc>
          <w:tcPr>
            <w:tcW w:w="520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30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30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30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Príjmy z podnikania - dividendy</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90 206</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54 513</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54 724</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Ministerstvo financií SR</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7 303</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5 809</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5 975</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SZRB,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4 315</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3 319</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3 319</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Tipos,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2 988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2 490</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2 656</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Ministerstvo zahraničných vecí SR</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564</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564</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564</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Správa služieb diplomatickému zboru</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564</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564</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564</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Ministerstvo hospodárstva SR</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70 703</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36 505</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36 550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Jadrová vyraďovacia spoločnosť,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2 323</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2 647</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2 692</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Slovak Telecom,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68 380</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33 858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33 858</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Ministerst</w:t>
            </w:r>
            <w:r w:rsidRPr="00FB3B03">
              <w:rPr>
                <w:rFonts w:ascii="Arial Narrow" w:hAnsi="Arial Narrow" w:cs="Arial"/>
                <w:b/>
                <w:bCs/>
                <w:sz w:val="20"/>
                <w:lang w:eastAsia="sk-SK"/>
              </w:rPr>
              <w:t>vo práce, sociálnych vecí a rodiny SR</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17</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17</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Technická inšpekcia,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17</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17</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Všeobecná pokladničná správa</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11 618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11 618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11 618</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Transpetrol, a.s.</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11 618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11 618</w:t>
            </w:r>
          </w:p>
        </w:tc>
        <w:tc>
          <w:tcPr>
            <w:tcW w:w="130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11 618</w:t>
            </w:r>
          </w:p>
        </w:tc>
      </w:tr>
    </w:tbl>
    <w:p w:rsidR="00E955FC" w:rsidP="00E955FC">
      <w:pPr>
        <w:ind w:firstLine="709"/>
        <w:jc w:val="both"/>
        <w:rPr>
          <w:rFonts w:ascii="Arial Narrow" w:hAnsi="Arial Narrow" w:cs="Times New Roman"/>
          <w:sz w:val="22"/>
          <w:szCs w:val="22"/>
        </w:rPr>
      </w:pPr>
      <w:r w:rsidRPr="00BC499A">
        <w:rPr>
          <w:rFonts w:ascii="Arial Narrow" w:hAnsi="Arial Narrow" w:cs="Times New Roman"/>
          <w:sz w:val="22"/>
          <w:szCs w:val="22"/>
        </w:rPr>
        <w:t>Z vlastníckeho podielu štátu, ktorý je zastúpený príslušnými rezortnými ministerstvami v akciových spoločnostiach s majetkovou účasťou štátu</w:t>
      </w:r>
      <w:r>
        <w:rPr>
          <w:rFonts w:ascii="Arial Narrow" w:hAnsi="Arial Narrow" w:cs="Times New Roman"/>
          <w:sz w:val="22"/>
          <w:szCs w:val="22"/>
        </w:rPr>
        <w:t>,</w:t>
      </w:r>
      <w:r w:rsidRPr="00BC499A">
        <w:rPr>
          <w:rFonts w:ascii="Arial Narrow" w:hAnsi="Arial Narrow" w:cs="Times New Roman"/>
          <w:sz w:val="22"/>
          <w:szCs w:val="22"/>
        </w:rPr>
        <w:t xml:space="preserve"> ide predovš</w:t>
      </w:r>
      <w:r>
        <w:rPr>
          <w:rFonts w:ascii="Arial Narrow" w:hAnsi="Arial Narrow" w:cs="Times New Roman"/>
          <w:sz w:val="22"/>
          <w:szCs w:val="22"/>
        </w:rPr>
        <w:t>etkým o dividendy od spoločností</w:t>
      </w:r>
      <w:r w:rsidRPr="00BC499A">
        <w:rPr>
          <w:rFonts w:ascii="Arial Narrow" w:hAnsi="Arial Narrow" w:cs="Times New Roman"/>
          <w:sz w:val="22"/>
          <w:szCs w:val="22"/>
        </w:rPr>
        <w:t xml:space="preserve"> </w:t>
      </w:r>
      <w:r>
        <w:rPr>
          <w:rFonts w:ascii="Arial Narrow" w:hAnsi="Arial Narrow" w:cs="Times New Roman"/>
          <w:sz w:val="22"/>
          <w:szCs w:val="22"/>
        </w:rPr>
        <w:t xml:space="preserve">Slovak Telekom a. s., </w:t>
      </w:r>
      <w:r w:rsidRPr="00BC499A">
        <w:rPr>
          <w:rFonts w:ascii="Arial Narrow" w:hAnsi="Arial Narrow" w:cs="Times New Roman"/>
          <w:sz w:val="22"/>
          <w:szCs w:val="22"/>
        </w:rPr>
        <w:t>Jadrová vyraďovacia spoločnosť, a. s. Jaslovské Bohunice a Transpetrol, a. s. (vo vecnej pôsobnosti rezortu Ministerstva hospodárstva SR, pričom príjem od Transp</w:t>
      </w:r>
      <w:r>
        <w:rPr>
          <w:rFonts w:ascii="Arial Narrow" w:hAnsi="Arial Narrow" w:cs="Times New Roman"/>
          <w:sz w:val="22"/>
          <w:szCs w:val="22"/>
        </w:rPr>
        <w:t>etrolu</w:t>
      </w:r>
      <w:r w:rsidRPr="00BC499A">
        <w:rPr>
          <w:rFonts w:ascii="Arial Narrow" w:hAnsi="Arial Narrow" w:cs="Times New Roman"/>
          <w:sz w:val="22"/>
          <w:szCs w:val="22"/>
        </w:rPr>
        <w:t>, a. s. je príjmom kapitoly Všeobecná pokladničná správa</w:t>
      </w:r>
      <w:r>
        <w:rPr>
          <w:rFonts w:ascii="Arial Narrow" w:hAnsi="Arial Narrow" w:cs="Times New Roman"/>
          <w:sz w:val="22"/>
          <w:szCs w:val="22"/>
        </w:rPr>
        <w:t>)</w:t>
      </w:r>
      <w:r w:rsidRPr="00BC499A">
        <w:rPr>
          <w:rFonts w:ascii="Arial Narrow" w:hAnsi="Arial Narrow" w:cs="Times New Roman"/>
          <w:sz w:val="22"/>
          <w:szCs w:val="22"/>
        </w:rPr>
        <w:t>, od spoločnosti SZRB, a. s. a TIPOS, a. s. (v pôsobno</w:t>
      </w:r>
      <w:r>
        <w:rPr>
          <w:rFonts w:ascii="Arial Narrow" w:hAnsi="Arial Narrow" w:cs="Times New Roman"/>
          <w:sz w:val="22"/>
          <w:szCs w:val="22"/>
        </w:rPr>
        <w:t>sti Ministerstva financií SR)</w:t>
      </w:r>
      <w:r w:rsidRPr="00BC499A">
        <w:rPr>
          <w:rFonts w:ascii="Arial Narrow" w:hAnsi="Arial Narrow" w:cs="Times New Roman"/>
          <w:sz w:val="22"/>
          <w:szCs w:val="22"/>
        </w:rPr>
        <w:t xml:space="preserve"> a </w:t>
      </w:r>
      <w:r>
        <w:rPr>
          <w:rFonts w:ascii="Arial Narrow" w:hAnsi="Arial Narrow" w:cs="Times New Roman"/>
          <w:sz w:val="22"/>
          <w:szCs w:val="22"/>
        </w:rPr>
        <w:t>od Správy služieb diplomatickému zboru, a. s. (</w:t>
      </w:r>
      <w:r w:rsidRPr="00BC499A">
        <w:rPr>
          <w:rFonts w:ascii="Arial Narrow" w:hAnsi="Arial Narrow" w:cs="Times New Roman"/>
          <w:sz w:val="22"/>
          <w:szCs w:val="22"/>
        </w:rPr>
        <w:t xml:space="preserve">vo vecnej pôsobnosti Ministerstva zahraničných vecí SR).  </w:t>
      </w:r>
    </w:p>
    <w:p w:rsidR="00E955FC" w:rsidRPr="0072445C" w:rsidP="00E955FC">
      <w:pPr>
        <w:spacing w:line="360" w:lineRule="atLeast"/>
        <w:jc w:val="both"/>
        <w:rPr>
          <w:rFonts w:ascii="Arial Narrow" w:hAnsi="Arial Narrow" w:cs="Times New Roman"/>
          <w:sz w:val="22"/>
          <w:szCs w:val="22"/>
        </w:rPr>
      </w:pPr>
    </w:p>
    <w:p w:rsidR="00F678B0" w:rsidP="00E955FC">
      <w:pPr>
        <w:ind w:firstLine="708"/>
        <w:jc w:val="both"/>
        <w:rPr>
          <w:rFonts w:ascii="Arial Narrow" w:hAnsi="Arial Narrow" w:cs="Times New Roman"/>
          <w:sz w:val="22"/>
          <w:szCs w:val="22"/>
        </w:rPr>
      </w:pPr>
      <w:r w:rsidRPr="00BC499A" w:rsidR="00E955FC">
        <w:rPr>
          <w:rFonts w:ascii="Arial Narrow" w:hAnsi="Arial Narrow" w:cs="Times New Roman"/>
          <w:b/>
          <w:sz w:val="22"/>
          <w:szCs w:val="22"/>
        </w:rPr>
        <w:t xml:space="preserve">B. </w:t>
      </w:r>
      <w:r w:rsidRPr="00BC499A" w:rsidR="00E955FC">
        <w:rPr>
          <w:rFonts w:ascii="Arial Narrow" w:hAnsi="Arial Narrow" w:cs="Times New Roman"/>
          <w:sz w:val="22"/>
          <w:szCs w:val="22"/>
        </w:rPr>
        <w:t xml:space="preserve">Pri </w:t>
      </w:r>
      <w:r w:rsidRPr="00BC499A" w:rsidR="00E955FC">
        <w:rPr>
          <w:rFonts w:ascii="Arial Narrow" w:hAnsi="Arial Narrow" w:cs="Times New Roman"/>
          <w:b/>
          <w:sz w:val="22"/>
          <w:szCs w:val="22"/>
        </w:rPr>
        <w:t xml:space="preserve">administratívnych a iných poplatkoch a platbách </w:t>
      </w:r>
      <w:r w:rsidRPr="00BC499A" w:rsidR="00E955FC">
        <w:rPr>
          <w:rFonts w:ascii="Arial Narrow" w:hAnsi="Arial Narrow" w:cs="Times New Roman"/>
          <w:sz w:val="22"/>
          <w:szCs w:val="22"/>
        </w:rPr>
        <w:t xml:space="preserve">výška príjmov závisí od počtu jednotlivých aktov konania v priebehu roka. </w:t>
      </w:r>
    </w:p>
    <w:p w:rsidR="00E955FC" w:rsidP="00E955FC">
      <w:pPr>
        <w:ind w:firstLine="708"/>
        <w:jc w:val="both"/>
        <w:rPr>
          <w:rFonts w:ascii="Arial Narrow" w:hAnsi="Arial Narrow" w:cs="Times New Roman"/>
          <w:sz w:val="22"/>
          <w:szCs w:val="22"/>
        </w:rPr>
      </w:pPr>
      <w:r>
        <w:rPr>
          <w:rFonts w:ascii="Arial Narrow" w:hAnsi="Arial Narrow" w:cs="Times New Roman"/>
          <w:sz w:val="22"/>
          <w:szCs w:val="22"/>
        </w:rPr>
        <w:t>Ich vývoj v rozpočtovom rámci 2009 až 2011 je nasledovný</w:t>
      </w:r>
      <w:r w:rsidRPr="00BC499A">
        <w:rPr>
          <w:rFonts w:ascii="Arial Narrow" w:hAnsi="Arial Narrow" w:cs="Times New Roman"/>
          <w:sz w:val="22"/>
          <w:szCs w:val="22"/>
        </w:rPr>
        <w:t xml:space="preserve">: </w:t>
      </w:r>
    </w:p>
    <w:p w:rsidR="00E955FC" w:rsidP="00E955FC">
      <w:pPr>
        <w:ind w:firstLine="708"/>
        <w:jc w:val="both"/>
        <w:rPr>
          <w:rFonts w:ascii="Arial Narrow" w:hAnsi="Arial Narrow" w:cs="Times New Roman"/>
          <w:sz w:val="22"/>
          <w:szCs w:val="22"/>
        </w:rPr>
      </w:pPr>
    </w:p>
    <w:tbl>
      <w:tblPr>
        <w:tblW w:w="9015" w:type="dxa"/>
        <w:tblInd w:w="55" w:type="dxa"/>
        <w:tblCellMar>
          <w:left w:w="70" w:type="dxa"/>
          <w:right w:w="70" w:type="dxa"/>
        </w:tblCellMar>
      </w:tblPr>
      <w:tblGrid>
        <w:gridCol w:w="5775"/>
        <w:gridCol w:w="1080"/>
        <w:gridCol w:w="1080"/>
        <w:gridCol w:w="1080"/>
      </w:tblGrid>
      <w:tr>
        <w:tblPrEx>
          <w:tblW w:w="9015" w:type="dxa"/>
          <w:tblInd w:w="55" w:type="dxa"/>
          <w:tblCellMar>
            <w:left w:w="70" w:type="dxa"/>
            <w:right w:w="70" w:type="dxa"/>
          </w:tblCellMar>
        </w:tblPrEx>
        <w:trPr>
          <w:trHeight w:val="255"/>
        </w:trPr>
        <w:tc>
          <w:tcPr>
            <w:tcW w:w="577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right"/>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right"/>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08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right"/>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Admin</w:t>
            </w:r>
            <w:r w:rsidRPr="00FB3B03">
              <w:rPr>
                <w:rFonts w:ascii="Arial Narrow" w:hAnsi="Arial Narrow" w:cs="Arial"/>
                <w:b/>
                <w:bCs/>
                <w:sz w:val="20"/>
                <w:lang w:eastAsia="sk-SK"/>
              </w:rPr>
              <w:t>istratívne poplatky</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162 945</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160 321</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160 352</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v tom: súdne </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24 969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24 969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24 969</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tržby z predaja kolkových známok         </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112 859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112 859</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112 859</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puncové poplatky                                     </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913</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913</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913</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ostatné </w:t>
            </w:r>
            <w:r w:rsidRPr="00FB3B03">
              <w:rPr>
                <w:rFonts w:ascii="Arial Narrow" w:hAnsi="Arial Narrow" w:cs="Arial"/>
                <w:sz w:val="20"/>
                <w:lang w:eastAsia="sk-SK"/>
              </w:rPr>
              <w:t>poplatky</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24 138</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21 514</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21 545</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licencie</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66</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66</w:t>
            </w:r>
          </w:p>
        </w:tc>
        <w:tc>
          <w:tcPr>
            <w:tcW w:w="108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66</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Pokuty, penále a iné sankcie</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61 269</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57 579</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60 153</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Poplatky a platby z nepriemyselného a náhodného predaja a služieb</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49 233</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50 651</w:t>
            </w:r>
          </w:p>
        </w:tc>
        <w:tc>
          <w:tcPr>
            <w:tcW w:w="108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50 851</w:t>
            </w:r>
          </w:p>
        </w:tc>
      </w:tr>
      <w:tr>
        <w:tblPrEx>
          <w:tblW w:w="9015" w:type="dxa"/>
          <w:tblInd w:w="55" w:type="dxa"/>
          <w:tblCellMar>
            <w:left w:w="70" w:type="dxa"/>
            <w:right w:w="70" w:type="dxa"/>
          </w:tblCellMar>
        </w:tblPrEx>
        <w:trPr>
          <w:trHeight w:val="255"/>
        </w:trPr>
        <w:tc>
          <w:tcPr>
            <w:tcW w:w="5775" w:type="dxa"/>
            <w:tcBorders>
              <w:top w:val="nil"/>
              <w:left w:val="single" w:sz="4" w:space="0" w:color="auto"/>
              <w:bottom w:val="single" w:sz="4" w:space="0" w:color="auto"/>
              <w:right w:val="single" w:sz="4" w:space="0" w:color="auto"/>
              <w:tl2br w:val="nil"/>
              <w:tr2bl w:val="nil"/>
            </w:tcBorders>
            <w:shd w:val="clear" w:color="auto" w:fill="80808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SPOLU</w:t>
            </w:r>
          </w:p>
        </w:tc>
        <w:tc>
          <w:tcPr>
            <w:tcW w:w="1080" w:type="dxa"/>
            <w:tcBorders>
              <w:top w:val="nil"/>
              <w:left w:val="nil"/>
              <w:bottom w:val="single" w:sz="4" w:space="0" w:color="auto"/>
              <w:right w:val="single" w:sz="4" w:space="0" w:color="auto"/>
              <w:tl2br w:val="nil"/>
              <w:tr2bl w:val="nil"/>
            </w:tcBorders>
            <w:shd w:val="clear" w:color="auto" w:fill="80808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273 447</w:t>
            </w:r>
          </w:p>
        </w:tc>
        <w:tc>
          <w:tcPr>
            <w:tcW w:w="1080" w:type="dxa"/>
            <w:tcBorders>
              <w:top w:val="nil"/>
              <w:left w:val="nil"/>
              <w:bottom w:val="single" w:sz="4" w:space="0" w:color="auto"/>
              <w:right w:val="single" w:sz="4" w:space="0" w:color="auto"/>
              <w:tl2br w:val="nil"/>
              <w:tr2bl w:val="nil"/>
            </w:tcBorders>
            <w:shd w:val="clear" w:color="auto" w:fill="80808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268 551</w:t>
            </w:r>
          </w:p>
        </w:tc>
        <w:tc>
          <w:tcPr>
            <w:tcW w:w="1080" w:type="dxa"/>
            <w:tcBorders>
              <w:top w:val="nil"/>
              <w:left w:val="nil"/>
              <w:bottom w:val="single" w:sz="4" w:space="0" w:color="auto"/>
              <w:right w:val="single" w:sz="4" w:space="0" w:color="auto"/>
              <w:tl2br w:val="nil"/>
              <w:tr2bl w:val="nil"/>
            </w:tcBorders>
            <w:shd w:val="clear" w:color="auto" w:fill="80808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271 356</w:t>
            </w:r>
          </w:p>
        </w:tc>
      </w:tr>
    </w:tbl>
    <w:p w:rsidR="00E955FC" w:rsidP="00E955FC">
      <w:pPr>
        <w:jc w:val="both"/>
        <w:rPr>
          <w:rFonts w:ascii="Arial Narrow" w:hAnsi="Arial Narrow" w:cs="Times New Roman"/>
          <w:sz w:val="22"/>
          <w:szCs w:val="22"/>
        </w:rPr>
      </w:pPr>
    </w:p>
    <w:p w:rsidR="00E955FC" w:rsidRPr="00E062F2" w:rsidP="00E955FC">
      <w:pPr>
        <w:ind w:firstLine="708"/>
        <w:jc w:val="both"/>
        <w:rPr>
          <w:rFonts w:ascii="Arial Narrow" w:hAnsi="Arial Narrow" w:cs="Times New Roman"/>
          <w:sz w:val="22"/>
          <w:szCs w:val="22"/>
        </w:rPr>
      </w:pPr>
      <w:r w:rsidRPr="00E062F2">
        <w:rPr>
          <w:rFonts w:ascii="Arial Narrow" w:hAnsi="Arial Narrow" w:cs="Times New Roman"/>
          <w:sz w:val="22"/>
          <w:szCs w:val="22"/>
        </w:rPr>
        <w:t>Najväčší výnos z príjmov z administratívnych poplatkov a platieb bude v období rozpočtového rámca 2009 až 2011 v kapitolách Všeobecná pokladničná správa, Ministerstvo vnútra SR, Ministerstvo práce, sociálnych vecí a rodiny SR a Ministerstvo dopravy, pôšt a telekomunikácií SR.</w:t>
      </w:r>
    </w:p>
    <w:p w:rsidR="00E955FC" w:rsidP="00E955FC">
      <w:pPr>
        <w:jc w:val="both"/>
        <w:rPr>
          <w:rFonts w:ascii="Arial Narrow" w:hAnsi="Arial Narrow" w:cs="Times New Roman"/>
          <w:sz w:val="22"/>
          <w:szCs w:val="22"/>
        </w:rPr>
      </w:pPr>
      <w:r w:rsidRPr="00BC499A">
        <w:rPr>
          <w:rFonts w:ascii="Arial Narrow" w:hAnsi="Arial Narrow" w:cs="Times New Roman"/>
          <w:sz w:val="22"/>
          <w:szCs w:val="22"/>
        </w:rPr>
        <w:tab/>
      </w:r>
    </w:p>
    <w:p w:rsidR="00E955FC" w:rsidP="00E955FC">
      <w:pPr>
        <w:ind w:firstLine="708"/>
        <w:jc w:val="both"/>
        <w:rPr>
          <w:rFonts w:ascii="Arial Narrow" w:hAnsi="Arial Narrow" w:cs="Times New Roman"/>
          <w:sz w:val="22"/>
          <w:szCs w:val="22"/>
        </w:rPr>
      </w:pPr>
      <w:r w:rsidRPr="00BC499A" w:rsidR="0008368F">
        <w:rPr>
          <w:rFonts w:ascii="Arial Narrow" w:hAnsi="Arial Narrow" w:cs="Times New Roman"/>
          <w:b/>
          <w:sz w:val="22"/>
          <w:szCs w:val="22"/>
        </w:rPr>
        <w:t>C</w:t>
      </w:r>
      <w:r w:rsidRPr="00BC499A" w:rsidR="0008368F">
        <w:rPr>
          <w:rFonts w:ascii="Arial Narrow" w:hAnsi="Arial Narrow" w:cs="Times New Roman"/>
          <w:b/>
          <w:sz w:val="22"/>
          <w:szCs w:val="22"/>
        </w:rPr>
        <w:t>.</w:t>
      </w:r>
      <w:r w:rsidRPr="00BC499A" w:rsidR="0008368F">
        <w:rPr>
          <w:rFonts w:ascii="Arial Narrow" w:hAnsi="Arial Narrow" w:cs="Times New Roman"/>
          <w:sz w:val="22"/>
          <w:szCs w:val="22"/>
        </w:rPr>
        <w:t xml:space="preserve"> Výška</w:t>
      </w:r>
      <w:r w:rsidRPr="00BC499A" w:rsidR="0008368F">
        <w:rPr>
          <w:rFonts w:ascii="Arial Narrow" w:hAnsi="Arial Narrow" w:cs="Times New Roman"/>
          <w:b/>
          <w:sz w:val="22"/>
          <w:szCs w:val="22"/>
        </w:rPr>
        <w:t xml:space="preserve"> kapitálových príjmov </w:t>
      </w:r>
      <w:r w:rsidRPr="00BC499A" w:rsidR="0008368F">
        <w:rPr>
          <w:rFonts w:ascii="Arial Narrow" w:hAnsi="Arial Narrow" w:cs="Times New Roman"/>
          <w:sz w:val="22"/>
          <w:szCs w:val="22"/>
        </w:rPr>
        <w:t>závisí od objemu nadbytočného hnuteľného a nehnuteľného majetku v správe jednotlivých kapitol</w:t>
      </w:r>
      <w:r w:rsidR="0008368F">
        <w:rPr>
          <w:rFonts w:ascii="Arial Narrow" w:hAnsi="Arial Narrow" w:cs="Times New Roman"/>
          <w:sz w:val="22"/>
          <w:szCs w:val="22"/>
        </w:rPr>
        <w:t xml:space="preserve"> štátneho rozpočtu</w:t>
      </w:r>
      <w:r w:rsidRPr="00BC499A" w:rsidR="0008368F">
        <w:rPr>
          <w:rFonts w:ascii="Arial Narrow" w:hAnsi="Arial Narrow" w:cs="Times New Roman"/>
          <w:sz w:val="22"/>
          <w:szCs w:val="22"/>
        </w:rPr>
        <w:t xml:space="preserve">, ktorý bude predmetom predaja v príslušných rozpočtových rokoch. </w:t>
      </w:r>
      <w:r w:rsidRPr="005C4D41" w:rsidR="0008368F">
        <w:rPr>
          <w:rFonts w:ascii="Arial Narrow" w:hAnsi="Arial Narrow" w:cs="Times New Roman"/>
          <w:sz w:val="22"/>
          <w:szCs w:val="22"/>
        </w:rPr>
        <w:t>V porovnaní s rokom 2008</w:t>
      </w:r>
      <w:r w:rsidR="0008368F">
        <w:rPr>
          <w:rFonts w:ascii="Arial Narrow" w:hAnsi="Arial Narrow" w:cs="Times New Roman"/>
          <w:sz w:val="22"/>
          <w:szCs w:val="22"/>
        </w:rPr>
        <w:t>,</w:t>
      </w:r>
      <w:r w:rsidRPr="005C4D41" w:rsidR="0008368F">
        <w:rPr>
          <w:rFonts w:ascii="Arial Narrow" w:hAnsi="Arial Narrow" w:cs="Times New Roman"/>
          <w:sz w:val="22"/>
          <w:szCs w:val="22"/>
        </w:rPr>
        <w:t xml:space="preserve"> keď sa tieto pr</w:t>
      </w:r>
      <w:r w:rsidR="0008368F">
        <w:rPr>
          <w:rFonts w:ascii="Arial Narrow" w:hAnsi="Arial Narrow" w:cs="Times New Roman"/>
          <w:sz w:val="22"/>
          <w:szCs w:val="22"/>
        </w:rPr>
        <w:t>íjmy rozpočtovali v sume 102 059 tis. eur,</w:t>
      </w:r>
      <w:r w:rsidRPr="005C4D41" w:rsidR="0008368F">
        <w:rPr>
          <w:rFonts w:ascii="Arial Narrow" w:hAnsi="Arial Narrow" w:cs="Times New Roman"/>
          <w:sz w:val="22"/>
          <w:szCs w:val="22"/>
        </w:rPr>
        <w:t xml:space="preserve"> ide v roku 2009</w:t>
      </w:r>
      <w:r w:rsidR="0008368F">
        <w:rPr>
          <w:rFonts w:ascii="Arial Narrow" w:hAnsi="Arial Narrow" w:cs="Times New Roman"/>
          <w:sz w:val="22"/>
          <w:szCs w:val="22"/>
        </w:rPr>
        <w:t xml:space="preserve"> o nárast </w:t>
      </w:r>
      <w:r w:rsidRPr="005C4D41" w:rsidR="0008368F">
        <w:rPr>
          <w:rFonts w:ascii="Arial Narrow" w:hAnsi="Arial Narrow" w:cs="Times New Roman"/>
          <w:sz w:val="22"/>
          <w:szCs w:val="22"/>
        </w:rPr>
        <w:t xml:space="preserve">vo </w:t>
      </w:r>
      <w:r w:rsidRPr="001A2AD9" w:rsidR="0008368F">
        <w:rPr>
          <w:rFonts w:ascii="Arial Narrow" w:hAnsi="Arial Narrow" w:cs="Times New Roman"/>
          <w:sz w:val="22"/>
          <w:szCs w:val="22"/>
        </w:rPr>
        <w:t>výške </w:t>
      </w:r>
      <w:r w:rsidR="0008368F">
        <w:rPr>
          <w:rFonts w:ascii="Arial Narrow" w:hAnsi="Arial Narrow" w:cs="Times New Roman"/>
          <w:sz w:val="22"/>
          <w:szCs w:val="22"/>
        </w:rPr>
        <w:t>63 592</w:t>
      </w:r>
      <w:r w:rsidRPr="001A2AD9" w:rsidR="0008368F">
        <w:rPr>
          <w:rFonts w:ascii="Arial Narrow" w:hAnsi="Arial Narrow" w:cs="Times New Roman"/>
          <w:sz w:val="22"/>
          <w:szCs w:val="22"/>
        </w:rPr>
        <w:t xml:space="preserve"> </w:t>
      </w:r>
      <w:r w:rsidR="0008368F">
        <w:rPr>
          <w:rFonts w:ascii="Arial Narrow" w:hAnsi="Arial Narrow" w:cs="Times New Roman"/>
          <w:sz w:val="22"/>
          <w:szCs w:val="22"/>
        </w:rPr>
        <w:t>tis. eur, čo je ovplyvnené hlavne zvýšením</w:t>
      </w:r>
      <w:r w:rsidRPr="005C4D41" w:rsidR="0008368F">
        <w:rPr>
          <w:rFonts w:ascii="Arial Narrow" w:hAnsi="Arial Narrow" w:cs="Times New Roman"/>
          <w:sz w:val="22"/>
          <w:szCs w:val="22"/>
        </w:rPr>
        <w:t xml:space="preserve"> príj</w:t>
      </w:r>
      <w:r w:rsidR="0008368F">
        <w:rPr>
          <w:rFonts w:ascii="Arial Narrow" w:hAnsi="Arial Narrow" w:cs="Times New Roman"/>
          <w:sz w:val="22"/>
          <w:szCs w:val="22"/>
        </w:rPr>
        <w:t>mov</w:t>
      </w:r>
      <w:r w:rsidRPr="005C4D41" w:rsidR="0008368F">
        <w:rPr>
          <w:rFonts w:ascii="Arial Narrow" w:hAnsi="Arial Narrow" w:cs="Times New Roman"/>
          <w:sz w:val="22"/>
          <w:szCs w:val="22"/>
        </w:rPr>
        <w:t xml:space="preserve"> z predaja </w:t>
      </w:r>
      <w:r w:rsidR="0008368F">
        <w:rPr>
          <w:rFonts w:ascii="Arial Narrow" w:hAnsi="Arial Narrow" w:cs="Times New Roman"/>
          <w:sz w:val="22"/>
          <w:szCs w:val="22"/>
        </w:rPr>
        <w:t xml:space="preserve">kapitálových aktív a z predaja </w:t>
      </w:r>
      <w:r w:rsidRPr="005C4D41" w:rsidR="0008368F">
        <w:rPr>
          <w:rFonts w:ascii="Arial Narrow" w:hAnsi="Arial Narrow" w:cs="Times New Roman"/>
          <w:sz w:val="22"/>
          <w:szCs w:val="22"/>
        </w:rPr>
        <w:t>pozemkov a nehmotných aktív v kapitole Ministerstva vnútra SR</w:t>
      </w:r>
      <w:r w:rsidR="0008368F">
        <w:rPr>
          <w:rFonts w:ascii="Arial Narrow" w:hAnsi="Arial Narrow" w:cs="Times New Roman"/>
          <w:sz w:val="22"/>
          <w:szCs w:val="22"/>
        </w:rPr>
        <w:t xml:space="preserve">. V roku 2009 sa bude v najväčšej miere na uvedených príjmoch podieľať Ministerstvo zahraničných vecí SR v rozpočtovanej výške 66 388 tis. eur </w:t>
      </w:r>
      <w:r w:rsidRPr="00E066FA" w:rsidR="0008368F">
        <w:rPr>
          <w:rFonts w:ascii="Arial Narrow" w:hAnsi="Arial Narrow" w:cs="Times New Roman"/>
          <w:sz w:val="22"/>
          <w:szCs w:val="22"/>
        </w:rPr>
        <w:t>z predaja nehnuteľného majetku v zahraničí</w:t>
      </w:r>
      <w:r w:rsidR="0008368F">
        <w:rPr>
          <w:rFonts w:ascii="Arial Narrow" w:hAnsi="Arial Narrow" w:cs="Times New Roman"/>
          <w:sz w:val="22"/>
          <w:szCs w:val="22"/>
        </w:rPr>
        <w:t>. V kapitole Ministerstva obrany SR sa predpokladá odpredaj nadbytočného nehnuteľného majetku v sume 21 576 tis. eur. Vývoj týchto príjmov v rokoch 2009 až 2011 je nasledovný:</w:t>
      </w:r>
    </w:p>
    <w:p w:rsidR="00E955FC" w:rsidP="00E955FC">
      <w:pPr>
        <w:ind w:firstLine="708"/>
        <w:jc w:val="both"/>
        <w:rPr>
          <w:rFonts w:ascii="Arial Narrow" w:hAnsi="Arial Narrow" w:cs="Times New Roman"/>
          <w:sz w:val="22"/>
          <w:szCs w:val="22"/>
        </w:rPr>
      </w:pPr>
    </w:p>
    <w:tbl>
      <w:tblPr>
        <w:tblW w:w="9015" w:type="dxa"/>
        <w:tblInd w:w="55" w:type="dxa"/>
        <w:tblCellMar>
          <w:left w:w="70" w:type="dxa"/>
          <w:right w:w="70" w:type="dxa"/>
        </w:tblCellMar>
      </w:tblPr>
      <w:tblGrid>
        <w:gridCol w:w="5235"/>
        <w:gridCol w:w="1260"/>
        <w:gridCol w:w="1260"/>
        <w:gridCol w:w="1260"/>
      </w:tblGrid>
      <w:tr>
        <w:tblPrEx>
          <w:tblW w:w="9015" w:type="dxa"/>
          <w:tblInd w:w="55" w:type="dxa"/>
          <w:tblCellMar>
            <w:left w:w="70" w:type="dxa"/>
            <w:right w:w="70" w:type="dxa"/>
          </w:tblCellMar>
        </w:tblPrEx>
        <w:trPr>
          <w:trHeight w:val="255"/>
        </w:trPr>
        <w:tc>
          <w:tcPr>
            <w:tcW w:w="523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26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right"/>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26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26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015" w:type="dxa"/>
          <w:tblInd w:w="55" w:type="dxa"/>
          <w:tblCellMar>
            <w:left w:w="70" w:type="dxa"/>
            <w:right w:w="70" w:type="dxa"/>
          </w:tblCellMar>
        </w:tblPrEx>
        <w:trPr>
          <w:trHeight w:val="255"/>
        </w:trPr>
        <w:tc>
          <w:tcPr>
            <w:tcW w:w="523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Kapitálové príjmy</w:t>
            </w:r>
          </w:p>
        </w:tc>
        <w:tc>
          <w:tcPr>
            <w:tcW w:w="126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165 651</w:t>
            </w:r>
          </w:p>
        </w:tc>
        <w:tc>
          <w:tcPr>
            <w:tcW w:w="126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2 399</w:t>
            </w:r>
          </w:p>
        </w:tc>
        <w:tc>
          <w:tcPr>
            <w:tcW w:w="126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2 291</w:t>
            </w:r>
          </w:p>
        </w:tc>
      </w:tr>
      <w:tr>
        <w:tblPrEx>
          <w:tblW w:w="9015" w:type="dxa"/>
          <w:tblInd w:w="55" w:type="dxa"/>
          <w:tblCellMar>
            <w:left w:w="70" w:type="dxa"/>
            <w:right w:w="70" w:type="dxa"/>
          </w:tblCellMar>
        </w:tblPrEx>
        <w:trPr>
          <w:trHeight w:val="255"/>
        </w:trPr>
        <w:tc>
          <w:tcPr>
            <w:tcW w:w="523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 z predaja kapitálových aktív</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122 762</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1 354</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1 247</w:t>
            </w:r>
          </w:p>
        </w:tc>
      </w:tr>
      <w:tr>
        <w:tblPrEx>
          <w:tblW w:w="9015" w:type="dxa"/>
          <w:tblInd w:w="55" w:type="dxa"/>
          <w:tblCellMar>
            <w:left w:w="70" w:type="dxa"/>
            <w:right w:w="70" w:type="dxa"/>
          </w:tblCellMar>
        </w:tblPrEx>
        <w:trPr>
          <w:trHeight w:val="255"/>
        </w:trPr>
        <w:tc>
          <w:tcPr>
            <w:tcW w:w="523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 - z predaja pozemkov a nehmotných aktív</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21 313</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1 045</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1 0</w:t>
            </w:r>
            <w:r w:rsidRPr="00FB3B03">
              <w:rPr>
                <w:rFonts w:ascii="Arial Narrow" w:hAnsi="Arial Narrow" w:cs="Arial"/>
                <w:sz w:val="20"/>
                <w:lang w:eastAsia="sk-SK"/>
              </w:rPr>
              <w:t>44</w:t>
            </w:r>
          </w:p>
        </w:tc>
      </w:tr>
      <w:tr>
        <w:tblPrEx>
          <w:tblW w:w="9015" w:type="dxa"/>
          <w:tblInd w:w="55" w:type="dxa"/>
          <w:tblCellMar>
            <w:left w:w="70" w:type="dxa"/>
            <w:right w:w="70" w:type="dxa"/>
          </w:tblCellMar>
        </w:tblPrEx>
        <w:trPr>
          <w:trHeight w:val="255"/>
        </w:trPr>
        <w:tc>
          <w:tcPr>
            <w:tcW w:w="523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ďalšie kapitálové príjmy</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21 576</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w:t>
            </w:r>
          </w:p>
        </w:tc>
        <w:tc>
          <w:tcPr>
            <w:tcW w:w="126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w:t>
            </w:r>
          </w:p>
        </w:tc>
      </w:tr>
    </w:tbl>
    <w:p w:rsidR="00E955FC" w:rsidP="00E955FC">
      <w:pPr>
        <w:ind w:firstLine="708"/>
        <w:jc w:val="both"/>
        <w:rPr>
          <w:rFonts w:ascii="Arial Narrow" w:hAnsi="Arial Narrow" w:cs="Times New Roman"/>
          <w:b/>
          <w:sz w:val="22"/>
          <w:szCs w:val="22"/>
        </w:rPr>
      </w:pPr>
    </w:p>
    <w:p w:rsidR="00E955FC" w:rsidP="00E955FC">
      <w:pPr>
        <w:ind w:firstLine="708"/>
        <w:jc w:val="both"/>
        <w:rPr>
          <w:rFonts w:ascii="Arial Narrow" w:hAnsi="Arial Narrow" w:cs="Times New Roman"/>
          <w:sz w:val="22"/>
          <w:szCs w:val="22"/>
        </w:rPr>
      </w:pPr>
      <w:r w:rsidRPr="00BC499A">
        <w:rPr>
          <w:rFonts w:ascii="Arial Narrow" w:hAnsi="Arial Narrow" w:cs="Times New Roman"/>
          <w:b/>
          <w:sz w:val="22"/>
          <w:szCs w:val="22"/>
        </w:rPr>
        <w:t xml:space="preserve">D. Úroky z tuzemských a zahraničných úverov, pôžičiek, návratných finančných výpomocí a vkladov </w:t>
      </w:r>
      <w:r>
        <w:rPr>
          <w:rFonts w:ascii="Arial Narrow" w:hAnsi="Arial Narrow" w:cs="Times New Roman"/>
          <w:sz w:val="22"/>
          <w:szCs w:val="22"/>
        </w:rPr>
        <w:t>sa v rozpočtovom období 2009 až 2011</w:t>
      </w:r>
      <w:r w:rsidRPr="00BC499A">
        <w:rPr>
          <w:rFonts w:ascii="Arial Narrow" w:hAnsi="Arial Narrow" w:cs="Times New Roman"/>
          <w:sz w:val="22"/>
          <w:szCs w:val="22"/>
        </w:rPr>
        <w:t xml:space="preserve"> rozpočtujú vo výške</w:t>
      </w:r>
      <w:r>
        <w:rPr>
          <w:rFonts w:ascii="Arial Narrow" w:hAnsi="Arial Narrow" w:cs="Times New Roman"/>
          <w:sz w:val="22"/>
          <w:szCs w:val="22"/>
        </w:rPr>
        <w:t xml:space="preserve"> 218 949</w:t>
      </w:r>
      <w:r w:rsidRPr="00BC499A">
        <w:rPr>
          <w:rFonts w:ascii="Arial Narrow" w:hAnsi="Arial Narrow" w:cs="Times New Roman"/>
          <w:sz w:val="22"/>
          <w:szCs w:val="22"/>
        </w:rPr>
        <w:t xml:space="preserve"> </w:t>
      </w:r>
      <w:r>
        <w:rPr>
          <w:rFonts w:ascii="Arial Narrow" w:hAnsi="Arial Narrow" w:cs="Times New Roman"/>
          <w:sz w:val="22"/>
          <w:szCs w:val="22"/>
        </w:rPr>
        <w:t>tis</w:t>
      </w:r>
      <w:r w:rsidRPr="00BC499A">
        <w:rPr>
          <w:rFonts w:ascii="Arial Narrow" w:hAnsi="Arial Narrow" w:cs="Times New Roman"/>
          <w:sz w:val="22"/>
          <w:szCs w:val="22"/>
        </w:rPr>
        <w:t>.</w:t>
      </w:r>
      <w:r>
        <w:rPr>
          <w:rFonts w:ascii="Arial Narrow" w:hAnsi="Arial Narrow" w:cs="Times New Roman"/>
          <w:sz w:val="22"/>
          <w:szCs w:val="22"/>
        </w:rPr>
        <w:t xml:space="preserve"> eur</w:t>
      </w:r>
      <w:r w:rsidRPr="00BC499A">
        <w:rPr>
          <w:rFonts w:ascii="Arial Narrow" w:hAnsi="Arial Narrow" w:cs="Times New Roman"/>
          <w:sz w:val="22"/>
          <w:szCs w:val="22"/>
        </w:rPr>
        <w:t>,</w:t>
      </w:r>
      <w:r w:rsidRPr="001A2AD9">
        <w:rPr>
          <w:rFonts w:ascii="Arial Narrow" w:hAnsi="Arial Narrow" w:cs="Times New Roman"/>
          <w:sz w:val="22"/>
          <w:szCs w:val="22"/>
        </w:rPr>
        <w:t xml:space="preserve"> </w:t>
      </w:r>
      <w:r>
        <w:rPr>
          <w:rFonts w:ascii="Arial Narrow" w:hAnsi="Arial Narrow" w:cs="Times New Roman"/>
          <w:sz w:val="22"/>
          <w:szCs w:val="22"/>
        </w:rPr>
        <w:t>179 460</w:t>
      </w:r>
      <w:r w:rsidRPr="00BC499A">
        <w:rPr>
          <w:rFonts w:ascii="Arial Narrow" w:hAnsi="Arial Narrow" w:cs="Times New Roman"/>
          <w:sz w:val="22"/>
          <w:szCs w:val="22"/>
        </w:rPr>
        <w:t xml:space="preserve"> </w:t>
      </w:r>
      <w:r>
        <w:rPr>
          <w:rFonts w:ascii="Arial Narrow" w:hAnsi="Arial Narrow" w:cs="Times New Roman"/>
          <w:sz w:val="22"/>
          <w:szCs w:val="22"/>
        </w:rPr>
        <w:t>tis. eur</w:t>
      </w:r>
      <w:r w:rsidRPr="00BC499A">
        <w:rPr>
          <w:rFonts w:ascii="Arial Narrow" w:hAnsi="Arial Narrow" w:cs="Times New Roman"/>
          <w:sz w:val="22"/>
          <w:szCs w:val="22"/>
        </w:rPr>
        <w:t xml:space="preserve"> a</w:t>
      </w:r>
      <w:r>
        <w:rPr>
          <w:rFonts w:ascii="Arial Narrow" w:hAnsi="Arial Narrow" w:cs="Times New Roman"/>
          <w:sz w:val="22"/>
          <w:szCs w:val="22"/>
        </w:rPr>
        <w:t>       132 566 tis. eur</w:t>
      </w:r>
      <w:r w:rsidRPr="00BC499A">
        <w:rPr>
          <w:rFonts w:ascii="Arial Narrow" w:hAnsi="Arial Narrow" w:cs="Times New Roman"/>
          <w:sz w:val="22"/>
          <w:szCs w:val="22"/>
        </w:rPr>
        <w:t xml:space="preserve">. </w:t>
      </w:r>
    </w:p>
    <w:p w:rsidR="00E955FC" w:rsidP="00E955FC">
      <w:pPr>
        <w:ind w:firstLine="708"/>
        <w:jc w:val="both"/>
        <w:rPr>
          <w:rFonts w:ascii="Arial Narrow" w:hAnsi="Arial Narrow" w:cs="Times New Roman"/>
          <w:sz w:val="22"/>
          <w:szCs w:val="22"/>
        </w:rPr>
      </w:pPr>
    </w:p>
    <w:p w:rsidR="00E955FC" w:rsidP="00E955FC">
      <w:pPr>
        <w:spacing w:after="120"/>
        <w:ind w:firstLine="709"/>
        <w:jc w:val="both"/>
        <w:rPr>
          <w:rFonts w:ascii="Arial Narrow" w:hAnsi="Arial Narrow" w:cs="Times New Roman"/>
          <w:sz w:val="22"/>
          <w:szCs w:val="22"/>
        </w:rPr>
      </w:pPr>
      <w:r w:rsidRPr="00BC499A">
        <w:rPr>
          <w:rFonts w:ascii="Arial Narrow" w:hAnsi="Arial Narrow" w:cs="Times New Roman"/>
          <w:sz w:val="22"/>
          <w:szCs w:val="22"/>
        </w:rPr>
        <w:t>Najväčší podiel z tohto objemu tvoria</w:t>
      </w:r>
      <w:r>
        <w:rPr>
          <w:rFonts w:ascii="Arial Narrow" w:hAnsi="Arial Narrow" w:cs="Times New Roman"/>
          <w:sz w:val="22"/>
          <w:szCs w:val="22"/>
        </w:rPr>
        <w:t>:</w:t>
      </w:r>
    </w:p>
    <w:p w:rsidR="00E955FC" w:rsidP="00E955FC">
      <w:pPr>
        <w:jc w:val="both"/>
        <w:rPr>
          <w:rFonts w:ascii="Arial Narrow" w:hAnsi="Arial Narrow" w:cs="Times New Roman"/>
          <w:sz w:val="22"/>
          <w:szCs w:val="22"/>
        </w:rPr>
      </w:pPr>
      <w:r>
        <w:rPr>
          <w:rFonts w:ascii="Arial Narrow" w:hAnsi="Arial Narrow" w:cs="Times New Roman"/>
          <w:sz w:val="22"/>
          <w:szCs w:val="22"/>
        </w:rPr>
        <w:t>–</w:t>
      </w:r>
      <w:r w:rsidRPr="00BC499A">
        <w:rPr>
          <w:rFonts w:ascii="Arial Narrow" w:hAnsi="Arial Narrow" w:cs="Times New Roman"/>
          <w:sz w:val="22"/>
          <w:szCs w:val="22"/>
        </w:rPr>
        <w:t xml:space="preserve"> </w:t>
      </w:r>
      <w:r w:rsidRPr="00B95E43">
        <w:rPr>
          <w:rFonts w:ascii="Arial Narrow" w:hAnsi="Arial Narrow" w:cs="Times New Roman"/>
          <w:sz w:val="22"/>
          <w:szCs w:val="22"/>
        </w:rPr>
        <w:t>úrokové príjmy štátneho dlhu zo zhodnocovania dočasne voľných finančných prostriedkov na peňažnom trhu</w:t>
      </w:r>
      <w:r>
        <w:rPr>
          <w:rFonts w:ascii="Arial Narrow" w:hAnsi="Arial Narrow" w:cs="Times New Roman"/>
          <w:sz w:val="22"/>
          <w:szCs w:val="22"/>
        </w:rPr>
        <w:t xml:space="preserve">; </w:t>
      </w:r>
    </w:p>
    <w:p w:rsidR="00E955FC" w:rsidRPr="00BC499A" w:rsidP="00E955FC">
      <w:pPr>
        <w:jc w:val="both"/>
        <w:rPr>
          <w:rFonts w:ascii="Arial Narrow" w:hAnsi="Arial Narrow" w:cs="Times New Roman"/>
          <w:sz w:val="22"/>
          <w:szCs w:val="22"/>
        </w:rPr>
      </w:pPr>
      <w:r>
        <w:rPr>
          <w:rFonts w:ascii="Arial Narrow" w:hAnsi="Arial Narrow" w:cs="Times New Roman"/>
          <w:sz w:val="22"/>
          <w:szCs w:val="22"/>
        </w:rPr>
        <w:t xml:space="preserve">– </w:t>
      </w:r>
      <w:r w:rsidRPr="00B95E43">
        <w:rPr>
          <w:rFonts w:ascii="Arial Narrow" w:hAnsi="Arial Narrow" w:cs="Times New Roman"/>
          <w:sz w:val="22"/>
          <w:szCs w:val="22"/>
        </w:rPr>
        <w:t>úroky z kreditných zostatkov peňažných prostriedkov vedených na účtoch Štátnej pokladnice</w:t>
      </w:r>
      <w:r w:rsidRPr="00BC499A">
        <w:rPr>
          <w:rFonts w:ascii="Arial Narrow" w:hAnsi="Arial Narrow" w:cs="Times New Roman"/>
          <w:sz w:val="22"/>
          <w:szCs w:val="22"/>
        </w:rPr>
        <w:t xml:space="preserve"> v Národnej banke Slovenska, banke alebo pobočke zahraničnej banky vrátane úrokov z finančných operácií vykonaných Štátnou pokladnicou s klientom Štátny dlh znížené o úroky platené Štátnou pokladnicou a výnosy z finančných operácií zabezpečovaných Štátnou pokladnicou znížené o úroky plat</w:t>
      </w:r>
      <w:r>
        <w:rPr>
          <w:rFonts w:ascii="Arial Narrow" w:hAnsi="Arial Narrow" w:cs="Times New Roman"/>
          <w:sz w:val="22"/>
          <w:szCs w:val="22"/>
        </w:rPr>
        <w:t>e</w:t>
      </w:r>
      <w:r w:rsidRPr="00BC499A">
        <w:rPr>
          <w:rFonts w:ascii="Arial Narrow" w:hAnsi="Arial Narrow" w:cs="Times New Roman"/>
          <w:sz w:val="22"/>
          <w:szCs w:val="22"/>
        </w:rPr>
        <w:t xml:space="preserve">né Štátnou pokladnicou a príjmy z poplatkov za služby poskytované Štátnou pokladnicou znížené o náklady súvisiace s ich poskytnutím. </w:t>
      </w:r>
    </w:p>
    <w:p w:rsidR="00E955FC" w:rsidRPr="00BC499A" w:rsidP="00E955FC">
      <w:pPr>
        <w:jc w:val="both"/>
        <w:rPr>
          <w:rFonts w:ascii="Arial Narrow" w:hAnsi="Arial Narrow" w:cs="Times New Roman"/>
          <w:sz w:val="22"/>
          <w:szCs w:val="22"/>
        </w:rPr>
      </w:pPr>
      <w:r w:rsidRPr="00BC499A">
        <w:rPr>
          <w:rFonts w:ascii="Arial Narrow" w:hAnsi="Arial Narrow" w:cs="Times New Roman"/>
          <w:sz w:val="22"/>
          <w:szCs w:val="22"/>
        </w:rPr>
        <w:tab/>
        <w:t>Ďalej sem patria úroky z poskytnutých návratných finančných výpomoc</w:t>
      </w:r>
      <w:r>
        <w:rPr>
          <w:rFonts w:ascii="Arial Narrow" w:hAnsi="Arial Narrow" w:cs="Times New Roman"/>
          <w:sz w:val="22"/>
          <w:szCs w:val="22"/>
        </w:rPr>
        <w:t>í – úroky z úveru poskytnutého m</w:t>
      </w:r>
      <w:r w:rsidRPr="00BC499A">
        <w:rPr>
          <w:rFonts w:ascii="Arial Narrow" w:hAnsi="Arial Narrow" w:cs="Times New Roman"/>
          <w:sz w:val="22"/>
          <w:szCs w:val="22"/>
        </w:rPr>
        <w:t>estu</w:t>
      </w:r>
      <w:r w:rsidRPr="00BC499A">
        <w:rPr>
          <w:rFonts w:ascii="Arial Narrow" w:hAnsi="Arial Narrow" w:cs="Times New Roman"/>
          <w:sz w:val="22"/>
          <w:szCs w:val="22"/>
        </w:rPr>
        <w:t xml:space="preserve"> Košice a úroky z realizovaných štátnych záruk (Vodohospodárska výstavba, š. p.) v zmysle platných splátkových kalendárov.  </w:t>
      </w:r>
    </w:p>
    <w:p w:rsidR="00E955FC" w:rsidRPr="00BC499A" w:rsidP="00E955FC">
      <w:pPr>
        <w:jc w:val="both"/>
        <w:rPr>
          <w:rFonts w:ascii="Arial Narrow" w:hAnsi="Arial Narrow" w:cs="Times New Roman"/>
          <w:sz w:val="22"/>
          <w:szCs w:val="22"/>
        </w:rPr>
      </w:pPr>
    </w:p>
    <w:p w:rsidR="00E955FC" w:rsidRPr="003D4829" w:rsidP="00E955FC">
      <w:pPr>
        <w:tabs>
          <w:tab w:val="left" w:pos="1620"/>
        </w:tabs>
        <w:ind w:firstLine="708"/>
        <w:jc w:val="both"/>
        <w:rPr>
          <w:rFonts w:ascii="Arial Narrow" w:hAnsi="Arial Narrow" w:cs="Times New Roman"/>
          <w:sz w:val="22"/>
          <w:szCs w:val="22"/>
        </w:rPr>
      </w:pPr>
      <w:r>
        <w:rPr>
          <w:rFonts w:ascii="Arial Narrow" w:hAnsi="Arial Narrow" w:cs="Times New Roman"/>
          <w:sz w:val="22"/>
          <w:szCs w:val="22"/>
        </w:rPr>
        <w:t>Ú</w:t>
      </w:r>
      <w:r w:rsidRPr="00BC499A">
        <w:rPr>
          <w:rFonts w:ascii="Arial Narrow" w:hAnsi="Arial Narrow" w:cs="Times New Roman"/>
          <w:sz w:val="22"/>
          <w:szCs w:val="22"/>
        </w:rPr>
        <w:t>roky zo zahraničných úverov, pôžičiek, návratných finančných výpomocí a vkladov tvoria najmä úroky z vládnych úverov poskytnutých do zahraničia</w:t>
      </w:r>
      <w:r>
        <w:rPr>
          <w:rFonts w:ascii="Arial Narrow" w:hAnsi="Arial Narrow" w:cs="Times New Roman"/>
          <w:sz w:val="22"/>
          <w:szCs w:val="22"/>
        </w:rPr>
        <w:t>.</w:t>
      </w:r>
      <w:r w:rsidRPr="00BC499A">
        <w:rPr>
          <w:rFonts w:ascii="Arial Narrow" w:hAnsi="Arial Narrow" w:cs="Times New Roman"/>
          <w:sz w:val="22"/>
          <w:szCs w:val="22"/>
        </w:rPr>
        <w:t xml:space="preserve"> Sú príjmami kapitoly Všeobecná pokladničná správa (štátny dlh). </w:t>
      </w:r>
      <w:r w:rsidRPr="003D4829">
        <w:rPr>
          <w:rFonts w:ascii="Arial Narrow" w:hAnsi="Arial Narrow" w:cs="Times New Roman"/>
          <w:sz w:val="22"/>
          <w:szCs w:val="22"/>
        </w:rPr>
        <w:t xml:space="preserve">V rámci kapitoly Ministerstva zahraničných vecí SR </w:t>
      </w:r>
      <w:r>
        <w:rPr>
          <w:rFonts w:ascii="Arial Narrow" w:hAnsi="Arial Narrow" w:cs="Times New Roman"/>
          <w:sz w:val="22"/>
          <w:szCs w:val="22"/>
        </w:rPr>
        <w:t xml:space="preserve">a Ministerstva obrany SR </w:t>
      </w:r>
      <w:r w:rsidRPr="003D4829">
        <w:rPr>
          <w:rFonts w:ascii="Arial Narrow" w:hAnsi="Arial Narrow" w:cs="Times New Roman"/>
          <w:sz w:val="22"/>
          <w:szCs w:val="22"/>
        </w:rPr>
        <w:t xml:space="preserve">ide o kreditné úroky účtov zastupiteľských úradov Slovenskej republiky v zahraničí. </w:t>
      </w:r>
    </w:p>
    <w:p w:rsidR="00E955FC" w:rsidRPr="003D4829" w:rsidP="00E955FC">
      <w:pPr>
        <w:tabs>
          <w:tab w:val="left" w:pos="1620"/>
        </w:tabs>
        <w:ind w:firstLine="708"/>
        <w:jc w:val="both"/>
        <w:rPr>
          <w:rFonts w:ascii="Arial Narrow" w:hAnsi="Arial Narrow" w:cs="Times New Roman"/>
          <w:sz w:val="22"/>
          <w:szCs w:val="22"/>
        </w:rPr>
      </w:pPr>
    </w:p>
    <w:p w:rsidR="00E955FC" w:rsidP="00E955FC">
      <w:pPr>
        <w:ind w:firstLine="708"/>
        <w:jc w:val="both"/>
        <w:rPr>
          <w:rFonts w:ascii="Arial Narrow" w:hAnsi="Arial Narrow" w:cs="Times New Roman"/>
          <w:sz w:val="22"/>
          <w:szCs w:val="22"/>
        </w:rPr>
      </w:pPr>
      <w:r>
        <w:rPr>
          <w:rFonts w:ascii="Arial Narrow" w:hAnsi="Arial Narrow" w:cs="Times New Roman"/>
          <w:sz w:val="22"/>
          <w:szCs w:val="22"/>
        </w:rPr>
        <w:t xml:space="preserve">Vývoj týchto príjmov v jednotlivých rokoch 2009 až 2011 je nasledovný: </w:t>
      </w:r>
    </w:p>
    <w:p w:rsidR="00E955FC" w:rsidP="00E955FC">
      <w:pPr>
        <w:jc w:val="both"/>
        <w:rPr>
          <w:rFonts w:ascii="Arial Narrow" w:hAnsi="Arial Narrow" w:cs="Times New Roman"/>
          <w:sz w:val="22"/>
          <w:szCs w:val="22"/>
        </w:rPr>
      </w:pPr>
    </w:p>
    <w:tbl>
      <w:tblPr>
        <w:tblW w:w="9015" w:type="dxa"/>
        <w:tblInd w:w="55" w:type="dxa"/>
        <w:tblCellMar>
          <w:left w:w="70" w:type="dxa"/>
          <w:right w:w="70" w:type="dxa"/>
        </w:tblCellMar>
      </w:tblPr>
      <w:tblGrid>
        <w:gridCol w:w="4695"/>
        <w:gridCol w:w="1440"/>
        <w:gridCol w:w="1440"/>
        <w:gridCol w:w="1440"/>
      </w:tblGrid>
      <w:tr>
        <w:tblPrEx>
          <w:tblW w:w="9015" w:type="dxa"/>
          <w:tblInd w:w="55" w:type="dxa"/>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top"/>
          </w:tcPr>
          <w:p w:rsidR="00E955FC" w:rsidRPr="00FB3B03" w:rsidP="00E955FC">
            <w:pPr>
              <w:jc w:val="both"/>
              <w:rPr>
                <w:rFonts w:ascii="Arial Narrow" w:hAnsi="Arial Narrow" w:cs="Arial"/>
                <w:b/>
                <w:bCs/>
                <w:color w:val="FFFFFF"/>
                <w:sz w:val="20"/>
                <w:lang w:eastAsia="sk-SK"/>
              </w:rPr>
            </w:pPr>
            <w:r w:rsidRPr="00FB3B03">
              <w:rPr>
                <w:rFonts w:ascii="Arial Narrow" w:hAnsi="Arial Narrow" w:cs="Arial"/>
                <w:b/>
                <w:bCs/>
                <w:color w:val="FFFFFF"/>
                <w:sz w:val="20"/>
                <w:lang w:eastAsia="sk-SK"/>
              </w:rPr>
              <w:t>(v tis. eur)</w:t>
            </w:r>
          </w:p>
        </w:tc>
        <w:tc>
          <w:tcPr>
            <w:tcW w:w="144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2009</w:t>
            </w:r>
          </w:p>
        </w:tc>
        <w:tc>
          <w:tcPr>
            <w:tcW w:w="144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2010</w:t>
            </w:r>
          </w:p>
        </w:tc>
        <w:tc>
          <w:tcPr>
            <w:tcW w:w="1440" w:type="dxa"/>
            <w:tcBorders>
              <w:top w:val="single" w:sz="4" w:space="0" w:color="auto"/>
              <w:left w:val="nil"/>
              <w:bottom w:val="single" w:sz="4" w:space="0" w:color="auto"/>
              <w:right w:val="single" w:sz="4" w:space="0" w:color="auto"/>
              <w:tl2br w:val="nil"/>
              <w:tr2bl w:val="nil"/>
            </w:tcBorders>
            <w:shd w:val="clear" w:color="auto" w:fill="000000"/>
            <w:textDirection w:val="lrTb"/>
            <w:vAlign w:val="top"/>
          </w:tcPr>
          <w:p w:rsidR="00E955FC" w:rsidRPr="00FB3B03" w:rsidP="00E955FC">
            <w:pPr>
              <w:jc w:val="center"/>
              <w:rPr>
                <w:rFonts w:ascii="Arial Narrow" w:hAnsi="Arial Narrow" w:cs="Arial"/>
                <w:b/>
                <w:bCs/>
                <w:color w:val="FFFFFF"/>
                <w:sz w:val="20"/>
                <w:lang w:eastAsia="sk-SK"/>
              </w:rPr>
            </w:pPr>
            <w:r w:rsidRPr="00FB3B03">
              <w:rPr>
                <w:rFonts w:ascii="Arial Narrow" w:hAnsi="Arial Narrow" w:cs="Arial"/>
                <w:b/>
                <w:bCs/>
                <w:color w:val="FFFFFF"/>
                <w:sz w:val="20"/>
                <w:lang w:eastAsia="sk-SK"/>
              </w:rPr>
              <w:t>2011</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Z úverov a pôžičiek</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498</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498</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498</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 xml:space="preserve">Úroky z finančných operácií </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91 704</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86 648</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69 657</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Úroky z účtov fin. hospodárenia zo ŠP</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113 833</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80 108</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50 922</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Úroky z návratných fin.</w:t>
            </w:r>
            <w:r w:rsidRPr="00FB3B03">
              <w:rPr>
                <w:rFonts w:ascii="Arial Narrow" w:hAnsi="Arial Narrow" w:cs="Arial"/>
                <w:sz w:val="20"/>
                <w:lang w:eastAsia="sk-SK"/>
              </w:rPr>
              <w:t xml:space="preserve"> výpomocí (mesto Košice) a štátnych záruk (VHV š.p.)</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12 667</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11 962</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11 247</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textDirection w:val="lrTb"/>
            <w:vAlign w:val="top"/>
          </w:tcPr>
          <w:p w:rsidR="00E955FC" w:rsidRPr="00FB3B03" w:rsidP="00E955FC">
            <w:pPr>
              <w:jc w:val="both"/>
              <w:rPr>
                <w:rFonts w:ascii="Arial Narrow" w:hAnsi="Arial Narrow" w:cs="Arial"/>
                <w:sz w:val="20"/>
                <w:lang w:eastAsia="sk-SK"/>
              </w:rPr>
            </w:pPr>
            <w:r w:rsidRPr="00FB3B03">
              <w:rPr>
                <w:rFonts w:ascii="Arial Narrow" w:hAnsi="Arial Narrow" w:cs="Arial"/>
                <w:sz w:val="20"/>
                <w:lang w:eastAsia="sk-SK"/>
              </w:rPr>
              <w:t>Úroky z vládnych úverov poskytnutých do zahraničia</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247</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244</w:t>
            </w:r>
          </w:p>
        </w:tc>
        <w:tc>
          <w:tcPr>
            <w:tcW w:w="1440" w:type="dxa"/>
            <w:tcBorders>
              <w:top w:val="nil"/>
              <w:left w:val="nil"/>
              <w:bottom w:val="single" w:sz="4" w:space="0" w:color="auto"/>
              <w:right w:val="single" w:sz="4" w:space="0" w:color="auto"/>
              <w:tl2br w:val="nil"/>
              <w:tr2bl w:val="nil"/>
            </w:tcBorders>
            <w:textDirection w:val="lrTb"/>
            <w:vAlign w:val="top"/>
          </w:tcPr>
          <w:p w:rsidR="00E955FC" w:rsidRPr="00FB3B03" w:rsidP="00E955FC">
            <w:pPr>
              <w:jc w:val="right"/>
              <w:rPr>
                <w:rFonts w:ascii="Arial Narrow" w:hAnsi="Arial Narrow" w:cs="Arial"/>
                <w:sz w:val="20"/>
                <w:lang w:eastAsia="sk-SK"/>
              </w:rPr>
            </w:pPr>
            <w:r w:rsidRPr="00FB3B03">
              <w:rPr>
                <w:rFonts w:ascii="Arial Narrow" w:hAnsi="Arial Narrow" w:cs="Arial"/>
                <w:sz w:val="20"/>
                <w:lang w:eastAsia="sk-SK"/>
              </w:rPr>
              <w:t>242</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FB3B03" w:rsidP="00E955FC">
            <w:pPr>
              <w:jc w:val="both"/>
              <w:rPr>
                <w:rFonts w:ascii="Arial Narrow" w:hAnsi="Arial Narrow" w:cs="Arial"/>
                <w:b/>
                <w:bCs/>
                <w:sz w:val="20"/>
                <w:lang w:eastAsia="sk-SK"/>
              </w:rPr>
            </w:pPr>
            <w:r w:rsidRPr="00FB3B03">
              <w:rPr>
                <w:rFonts w:ascii="Arial Narrow" w:hAnsi="Arial Narrow" w:cs="Arial"/>
                <w:b/>
                <w:bCs/>
                <w:sz w:val="20"/>
                <w:lang w:eastAsia="sk-SK"/>
              </w:rPr>
              <w:t>S p o l u</w:t>
            </w:r>
          </w:p>
        </w:tc>
        <w:tc>
          <w:tcPr>
            <w:tcW w:w="144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218 949</w:t>
            </w:r>
          </w:p>
        </w:tc>
        <w:tc>
          <w:tcPr>
            <w:tcW w:w="144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179 460</w:t>
            </w:r>
          </w:p>
        </w:tc>
        <w:tc>
          <w:tcPr>
            <w:tcW w:w="1440" w:type="dxa"/>
            <w:tcBorders>
              <w:top w:val="nil"/>
              <w:left w:val="nil"/>
              <w:bottom w:val="single" w:sz="4" w:space="0" w:color="auto"/>
              <w:right w:val="single" w:sz="4" w:space="0" w:color="auto"/>
              <w:tl2br w:val="nil"/>
              <w:tr2bl w:val="nil"/>
            </w:tcBorders>
            <w:shd w:val="clear" w:color="auto" w:fill="C0C0C0"/>
            <w:textDirection w:val="lrTb"/>
            <w:vAlign w:val="top"/>
          </w:tcPr>
          <w:p w:rsidR="00E955FC" w:rsidRPr="00FB3B03" w:rsidP="00E955FC">
            <w:pPr>
              <w:jc w:val="right"/>
              <w:rPr>
                <w:rFonts w:ascii="Arial Narrow" w:hAnsi="Arial Narrow" w:cs="Arial"/>
                <w:b/>
                <w:bCs/>
                <w:sz w:val="20"/>
                <w:lang w:eastAsia="sk-SK"/>
              </w:rPr>
            </w:pPr>
            <w:r w:rsidRPr="00FB3B03">
              <w:rPr>
                <w:rFonts w:ascii="Arial Narrow" w:hAnsi="Arial Narrow" w:cs="Arial"/>
                <w:b/>
                <w:bCs/>
                <w:sz w:val="20"/>
                <w:lang w:eastAsia="sk-SK"/>
              </w:rPr>
              <w:t>132 566</w:t>
            </w:r>
          </w:p>
        </w:tc>
      </w:tr>
    </w:tbl>
    <w:p w:rsidR="00E955FC" w:rsidRPr="00BC499A" w:rsidP="00E955FC">
      <w:pPr>
        <w:jc w:val="both"/>
        <w:rPr>
          <w:rFonts w:ascii="Arial Narrow" w:hAnsi="Arial Narrow" w:cs="Times New Roman"/>
          <w:sz w:val="22"/>
          <w:szCs w:val="22"/>
        </w:rPr>
      </w:pPr>
    </w:p>
    <w:p w:rsidR="00E955FC" w:rsidP="00E955FC">
      <w:pPr>
        <w:ind w:firstLine="708"/>
        <w:jc w:val="both"/>
        <w:rPr>
          <w:rFonts w:ascii="Arial Narrow" w:hAnsi="Arial Narrow" w:cs="Times New Roman"/>
          <w:sz w:val="22"/>
          <w:szCs w:val="22"/>
        </w:rPr>
      </w:pPr>
      <w:r w:rsidRPr="00BC499A">
        <w:rPr>
          <w:rFonts w:ascii="Arial Narrow" w:hAnsi="Arial Narrow" w:cs="Times New Roman"/>
          <w:b/>
          <w:sz w:val="22"/>
          <w:szCs w:val="22"/>
        </w:rPr>
        <w:t>E. Iné nedaňové príjmy</w:t>
      </w:r>
      <w:r w:rsidRPr="00BC499A">
        <w:rPr>
          <w:rFonts w:ascii="Arial Narrow" w:hAnsi="Arial Narrow" w:cs="Times New Roman"/>
          <w:sz w:val="22"/>
          <w:szCs w:val="22"/>
        </w:rPr>
        <w:t xml:space="preserve"> tvoria vrátené neoprávnene použité alebo zadržané finančné</w:t>
      </w:r>
      <w:r w:rsidRPr="00BC499A">
        <w:rPr>
          <w:rFonts w:ascii="Arial Narrow" w:hAnsi="Arial Narrow" w:cs="Times New Roman"/>
          <w:sz w:val="22"/>
          <w:szCs w:val="22"/>
        </w:rPr>
        <w:t xml:space="preserve"> prostriedky a ostatné príjmy.</w:t>
      </w:r>
      <w:r>
        <w:rPr>
          <w:rFonts w:ascii="Arial Narrow" w:hAnsi="Arial Narrow" w:cs="Times New Roman"/>
          <w:sz w:val="22"/>
          <w:szCs w:val="22"/>
        </w:rPr>
        <w:t xml:space="preserve"> V rámci rozpočtového obdobia 2009 až 2011 sa predpokladá takmer rovnaká úroveň</w:t>
      </w:r>
      <w:r w:rsidRPr="00BC499A">
        <w:rPr>
          <w:rFonts w:ascii="Arial Narrow" w:hAnsi="Arial Narrow" w:cs="Times New Roman"/>
          <w:sz w:val="22"/>
          <w:szCs w:val="22"/>
        </w:rPr>
        <w:t> uvedených príjmov</w:t>
      </w:r>
      <w:r>
        <w:rPr>
          <w:rFonts w:ascii="Arial Narrow" w:hAnsi="Arial Narrow" w:cs="Times New Roman"/>
          <w:sz w:val="22"/>
          <w:szCs w:val="22"/>
        </w:rPr>
        <w:t xml:space="preserve">. Najväčší objem z týchto príjmov predstavujú príjmy z výťažkov z lotérií a iných podobných hier, ktoré </w:t>
      </w:r>
      <w:r w:rsidRPr="00BC499A">
        <w:rPr>
          <w:rFonts w:ascii="Arial Narrow" w:hAnsi="Arial Narrow" w:cs="Times New Roman"/>
          <w:sz w:val="22"/>
          <w:szCs w:val="22"/>
        </w:rPr>
        <w:t xml:space="preserve">sú rozpočtované v kapitole Všeobecná pokladničná správa. </w:t>
      </w:r>
    </w:p>
    <w:p w:rsidR="00E955FC" w:rsidP="00E955FC">
      <w:pPr>
        <w:jc w:val="both"/>
        <w:rPr>
          <w:rFonts w:ascii="Arial Narrow" w:hAnsi="Arial Narrow" w:cs="Times New Roman"/>
          <w:sz w:val="22"/>
          <w:szCs w:val="22"/>
        </w:rPr>
      </w:pPr>
    </w:p>
    <w:p w:rsidR="00E955FC" w:rsidP="00E955FC">
      <w:pPr>
        <w:jc w:val="both"/>
        <w:rPr>
          <w:rFonts w:ascii="Arial Narrow" w:hAnsi="Arial Narrow" w:cs="Times New Roman"/>
          <w:sz w:val="22"/>
          <w:szCs w:val="22"/>
        </w:rPr>
      </w:pPr>
      <w:r>
        <w:rPr>
          <w:rFonts w:ascii="Arial Narrow" w:hAnsi="Arial Narrow" w:cs="Times New Roman"/>
          <w:sz w:val="22"/>
          <w:szCs w:val="22"/>
        </w:rPr>
        <w:tab/>
        <w:t xml:space="preserve">V rozpočtovom období 2009 až 2011 sa ich výška predpokladá nasledovne: </w:t>
      </w:r>
    </w:p>
    <w:p w:rsidR="00E955FC" w:rsidP="00E955FC">
      <w:pPr>
        <w:jc w:val="both"/>
        <w:rPr>
          <w:rFonts w:ascii="Arial Narrow" w:hAnsi="Arial Narrow" w:cs="Times New Roman"/>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780"/>
        <w:gridCol w:w="1305"/>
        <w:gridCol w:w="1305"/>
        <w:gridCol w:w="1305"/>
        <w:gridCol w:w="1305"/>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7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397561" w:rsidP="00E955FC">
            <w:pPr>
              <w:jc w:val="both"/>
              <w:rPr>
                <w:rFonts w:ascii="Arial Narrow" w:hAnsi="Arial Narrow" w:cs="Times New Roman"/>
                <w:sz w:val="20"/>
              </w:rPr>
            </w:pPr>
            <w:r>
              <w:rPr>
                <w:rFonts w:ascii="Arial Narrow" w:hAnsi="Arial Narrow" w:cs="Times New Roman"/>
                <w:sz w:val="20"/>
              </w:rPr>
              <w:t>(v tis. eur)</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397561" w:rsidP="00E955FC">
            <w:pPr>
              <w:jc w:val="center"/>
              <w:rPr>
                <w:rFonts w:ascii="Arial Narrow" w:hAnsi="Arial Narrow" w:cs="Times New Roman"/>
                <w:b/>
                <w:color w:val="FFFFFF"/>
                <w:sz w:val="20"/>
              </w:rPr>
            </w:pPr>
            <w:r w:rsidRPr="00397561">
              <w:rPr>
                <w:rFonts w:ascii="Arial Narrow" w:hAnsi="Arial Narrow" w:cs="Times New Roman"/>
                <w:b/>
                <w:color w:val="FFFFFF"/>
                <w:sz w:val="20"/>
              </w:rPr>
              <w:t>2008</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397561" w:rsidP="00E955FC">
            <w:pPr>
              <w:jc w:val="center"/>
              <w:rPr>
                <w:rFonts w:ascii="Arial Narrow" w:hAnsi="Arial Narrow" w:cs="Times New Roman"/>
                <w:b/>
                <w:color w:val="FFFFFF"/>
                <w:sz w:val="20"/>
              </w:rPr>
            </w:pPr>
            <w:r w:rsidRPr="00397561">
              <w:rPr>
                <w:rFonts w:ascii="Arial Narrow" w:hAnsi="Arial Narrow" w:cs="Times New Roman"/>
                <w:b/>
                <w:color w:val="FFFFFF"/>
                <w:sz w:val="20"/>
              </w:rPr>
              <w:t>2009</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397561" w:rsidP="00E955FC">
            <w:pPr>
              <w:jc w:val="center"/>
              <w:rPr>
                <w:rFonts w:ascii="Arial Narrow" w:hAnsi="Arial Narrow" w:cs="Times New Roman"/>
                <w:b/>
                <w:color w:val="FFFFFF"/>
                <w:sz w:val="20"/>
              </w:rPr>
            </w:pPr>
            <w:r w:rsidRPr="00397561">
              <w:rPr>
                <w:rFonts w:ascii="Arial Narrow" w:hAnsi="Arial Narrow" w:cs="Times New Roman"/>
                <w:b/>
                <w:color w:val="FFFFFF"/>
                <w:sz w:val="20"/>
              </w:rPr>
              <w:t>2010</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397561" w:rsidP="00E955FC">
            <w:pPr>
              <w:jc w:val="center"/>
              <w:rPr>
                <w:rFonts w:ascii="Arial Narrow" w:hAnsi="Arial Narrow" w:cs="Times New Roman"/>
                <w:b/>
                <w:color w:val="FFFFFF"/>
                <w:sz w:val="20"/>
              </w:rPr>
            </w:pPr>
            <w:r w:rsidRPr="00397561">
              <w:rPr>
                <w:rFonts w:ascii="Arial Narrow" w:hAnsi="Arial Narrow" w:cs="Times New Roman"/>
                <w:b/>
                <w:color w:val="FFFFFF"/>
                <w:sz w:val="20"/>
              </w:rPr>
              <w:t>2011</w:t>
            </w:r>
          </w:p>
        </w:tc>
      </w:tr>
      <w:tr>
        <w:tblPrEx>
          <w:tblW w:w="9000" w:type="dxa"/>
          <w:tblInd w:w="108" w:type="dxa"/>
        </w:tblPrEx>
        <w:trPr>
          <w:trHeight w:hRule="auto" w:val="0"/>
        </w:trPr>
        <w:tc>
          <w:tcPr>
            <w:tcW w:w="378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397561" w:rsidP="00E955FC">
            <w:pPr>
              <w:jc w:val="both"/>
              <w:rPr>
                <w:rFonts w:ascii="Arial Narrow" w:hAnsi="Arial Narrow" w:cs="Times New Roman"/>
                <w:b/>
                <w:sz w:val="20"/>
              </w:rPr>
            </w:pPr>
            <w:r w:rsidRPr="00397561">
              <w:rPr>
                <w:rFonts w:ascii="Arial Narrow" w:hAnsi="Arial Narrow" w:cs="Times New Roman"/>
                <w:b/>
                <w:sz w:val="20"/>
              </w:rPr>
              <w:t>Iné nedaňové príjmy</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397561" w:rsidP="00E955FC">
            <w:pPr>
              <w:jc w:val="right"/>
              <w:rPr>
                <w:rFonts w:ascii="Arial Narrow" w:hAnsi="Arial Narrow" w:cs="Times New Roman"/>
                <w:b/>
                <w:sz w:val="20"/>
              </w:rPr>
            </w:pPr>
            <w:r w:rsidRPr="00397561">
              <w:rPr>
                <w:rFonts w:ascii="Arial Narrow" w:hAnsi="Arial Narrow" w:cs="Times New Roman"/>
                <w:b/>
                <w:sz w:val="20"/>
              </w:rPr>
              <w:t xml:space="preserve">106 603 </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397561" w:rsidP="00E955FC">
            <w:pPr>
              <w:jc w:val="right"/>
              <w:rPr>
                <w:rFonts w:ascii="Arial Narrow" w:hAnsi="Arial Narrow" w:cs="Times New Roman"/>
                <w:b/>
                <w:sz w:val="20"/>
              </w:rPr>
            </w:pPr>
            <w:r w:rsidRPr="00397561">
              <w:rPr>
                <w:rFonts w:ascii="Arial Narrow" w:hAnsi="Arial Narrow" w:cs="Times New Roman"/>
                <w:b/>
                <w:sz w:val="20"/>
              </w:rPr>
              <w:t>121 844</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397561" w:rsidP="00E955FC">
            <w:pPr>
              <w:jc w:val="right"/>
              <w:rPr>
                <w:rFonts w:ascii="Arial Narrow" w:hAnsi="Arial Narrow" w:cs="Times New Roman"/>
                <w:b/>
                <w:sz w:val="20"/>
              </w:rPr>
            </w:pPr>
            <w:r w:rsidRPr="00397561">
              <w:rPr>
                <w:rFonts w:ascii="Arial Narrow" w:hAnsi="Arial Narrow" w:cs="Times New Roman"/>
                <w:b/>
                <w:sz w:val="20"/>
              </w:rPr>
              <w:t>118 832</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E955FC" w:rsidRPr="00397561" w:rsidP="00E955FC">
            <w:pPr>
              <w:jc w:val="right"/>
              <w:rPr>
                <w:rFonts w:ascii="Arial Narrow" w:hAnsi="Arial Narrow" w:cs="Times New Roman"/>
                <w:b/>
                <w:sz w:val="20"/>
              </w:rPr>
            </w:pPr>
            <w:r w:rsidRPr="00397561">
              <w:rPr>
                <w:rFonts w:ascii="Arial Narrow" w:hAnsi="Arial Narrow" w:cs="Times New Roman"/>
                <w:b/>
                <w:sz w:val="20"/>
              </w:rPr>
              <w:t>123 211</w:t>
            </w:r>
          </w:p>
        </w:tc>
      </w:tr>
    </w:tbl>
    <w:p w:rsidR="00E955FC" w:rsidRPr="00BC499A" w:rsidP="00E955FC">
      <w:pPr>
        <w:jc w:val="both"/>
        <w:rPr>
          <w:rFonts w:ascii="Arial Narrow" w:hAnsi="Arial Narrow" w:cs="Times New Roman"/>
          <w:sz w:val="22"/>
          <w:szCs w:val="22"/>
        </w:rPr>
      </w:pPr>
    </w:p>
    <w:p w:rsidR="00E955FC" w:rsidP="00E955FC">
      <w:pPr>
        <w:jc w:val="both"/>
        <w:rPr>
          <w:rFonts w:ascii="Arial Narrow" w:hAnsi="Arial Narrow" w:cs="Times New Roman"/>
          <w:sz w:val="22"/>
          <w:szCs w:val="22"/>
        </w:rPr>
      </w:pPr>
      <w:r w:rsidRPr="00BC499A">
        <w:rPr>
          <w:rFonts w:ascii="Arial Narrow" w:hAnsi="Arial Narrow" w:cs="Times New Roman"/>
          <w:sz w:val="22"/>
          <w:szCs w:val="22"/>
        </w:rPr>
        <w:tab/>
        <w:t xml:space="preserve">Výška iných nedaňových príjmov je v priebehu rozpočtového </w:t>
      </w:r>
      <w:r w:rsidRPr="00BC499A">
        <w:rPr>
          <w:rFonts w:ascii="Arial Narrow" w:hAnsi="Arial Narrow" w:cs="Times New Roman"/>
          <w:sz w:val="22"/>
          <w:szCs w:val="22"/>
        </w:rPr>
        <w:t xml:space="preserve">roka ovplyvnená </w:t>
      </w:r>
      <w:r>
        <w:rPr>
          <w:rFonts w:ascii="Arial Narrow" w:hAnsi="Arial Narrow" w:cs="Times New Roman"/>
          <w:sz w:val="22"/>
          <w:szCs w:val="22"/>
        </w:rPr>
        <w:t xml:space="preserve">najmä </w:t>
      </w:r>
      <w:r w:rsidRPr="00BC499A">
        <w:rPr>
          <w:rFonts w:ascii="Arial Narrow" w:hAnsi="Arial Narrow" w:cs="Times New Roman"/>
          <w:sz w:val="22"/>
          <w:szCs w:val="22"/>
        </w:rPr>
        <w:t>objemom vrátených neoprávnene použitých finančných prostriedkov od neziskových organizácií, rozpočtových organizácií, obcí a ostatných príjmov, medzi kt</w:t>
      </w:r>
      <w:r>
        <w:rPr>
          <w:rFonts w:ascii="Arial Narrow" w:hAnsi="Arial Narrow" w:cs="Times New Roman"/>
          <w:sz w:val="22"/>
          <w:szCs w:val="22"/>
        </w:rPr>
        <w:t>oré patria najmä odvody a vratky.</w:t>
      </w:r>
      <w:r w:rsidRPr="00BC499A">
        <w:rPr>
          <w:rFonts w:ascii="Arial Narrow" w:hAnsi="Arial Narrow" w:cs="Times New Roman"/>
          <w:sz w:val="22"/>
          <w:szCs w:val="22"/>
        </w:rPr>
        <w:t xml:space="preserve"> </w:t>
      </w:r>
    </w:p>
    <w:p w:rsidR="00E955FC" w:rsidP="00E955FC">
      <w:pPr>
        <w:jc w:val="both"/>
        <w:rPr>
          <w:rFonts w:ascii="Arial Narrow" w:hAnsi="Arial Narrow" w:cs="Times New Roman"/>
          <w:b/>
          <w:sz w:val="22"/>
          <w:szCs w:val="22"/>
        </w:rPr>
      </w:pPr>
    </w:p>
    <w:p w:rsidR="00E955FC" w:rsidRPr="00BC499A" w:rsidP="00E955FC">
      <w:pPr>
        <w:jc w:val="both"/>
        <w:rPr>
          <w:rFonts w:ascii="Arial Narrow" w:hAnsi="Arial Narrow" w:cs="Times New Roman"/>
          <w:b/>
          <w:sz w:val="22"/>
          <w:szCs w:val="22"/>
        </w:rPr>
      </w:pPr>
      <w:r>
        <w:rPr>
          <w:rFonts w:ascii="Arial Narrow" w:hAnsi="Arial Narrow" w:cs="Times New Roman"/>
          <w:b/>
          <w:sz w:val="22"/>
          <w:szCs w:val="22"/>
        </w:rPr>
        <w:t>3.</w:t>
      </w:r>
      <w:r w:rsidR="000E0056">
        <w:rPr>
          <w:rFonts w:ascii="Arial Narrow" w:hAnsi="Arial Narrow" w:cs="Times New Roman"/>
          <w:b/>
          <w:sz w:val="22"/>
          <w:szCs w:val="22"/>
        </w:rPr>
        <w:t>4</w:t>
      </w:r>
      <w:r>
        <w:rPr>
          <w:rFonts w:ascii="Arial Narrow" w:hAnsi="Arial Narrow" w:cs="Times New Roman"/>
          <w:b/>
          <w:sz w:val="22"/>
          <w:szCs w:val="22"/>
        </w:rPr>
        <w:t xml:space="preserve">.2. </w:t>
      </w:r>
      <w:r w:rsidRPr="00BC499A">
        <w:rPr>
          <w:rFonts w:ascii="Arial Narrow" w:hAnsi="Arial Narrow" w:cs="Times New Roman"/>
          <w:b/>
          <w:sz w:val="22"/>
          <w:szCs w:val="22"/>
        </w:rPr>
        <w:t>Granty a transfery</w:t>
      </w:r>
    </w:p>
    <w:p w:rsidR="00E955FC" w:rsidRPr="00BC499A" w:rsidP="00E955FC">
      <w:pPr>
        <w:jc w:val="both"/>
        <w:rPr>
          <w:rFonts w:ascii="Arial Narrow" w:hAnsi="Arial Narrow" w:cs="Times New Roman"/>
          <w:b/>
          <w:sz w:val="22"/>
          <w:szCs w:val="22"/>
        </w:rPr>
      </w:pPr>
    </w:p>
    <w:p w:rsidR="00E955FC" w:rsidRPr="00BC499A" w:rsidP="00E955FC">
      <w:pPr>
        <w:ind w:firstLine="704"/>
        <w:jc w:val="both"/>
        <w:rPr>
          <w:rFonts w:ascii="Arial Narrow" w:hAnsi="Arial Narrow" w:cs="Times New Roman"/>
          <w:sz w:val="22"/>
          <w:szCs w:val="22"/>
        </w:rPr>
      </w:pPr>
      <w:r>
        <w:rPr>
          <w:rFonts w:ascii="Arial Narrow" w:hAnsi="Arial Narrow" w:cs="Times New Roman"/>
          <w:sz w:val="22"/>
          <w:szCs w:val="22"/>
        </w:rPr>
        <w:t>V rokoch 2009 až 20</w:t>
      </w:r>
      <w:r>
        <w:rPr>
          <w:rFonts w:ascii="Arial Narrow" w:hAnsi="Arial Narrow" w:cs="Times New Roman"/>
          <w:sz w:val="22"/>
          <w:szCs w:val="22"/>
        </w:rPr>
        <w:t>11</w:t>
      </w:r>
      <w:r w:rsidRPr="00BC499A">
        <w:rPr>
          <w:rFonts w:ascii="Arial Narrow" w:hAnsi="Arial Narrow" w:cs="Times New Roman"/>
          <w:sz w:val="22"/>
          <w:szCs w:val="22"/>
        </w:rPr>
        <w:t xml:space="preserve"> sa predpokladá kontinuálny nárast týchto príjmov a podiel transferov na celk</w:t>
      </w:r>
      <w:r>
        <w:rPr>
          <w:rFonts w:ascii="Arial Narrow" w:hAnsi="Arial Narrow" w:cs="Times New Roman"/>
          <w:sz w:val="22"/>
          <w:szCs w:val="22"/>
        </w:rPr>
        <w:t>ových iných ako daňových príjmoch</w:t>
      </w:r>
      <w:r w:rsidRPr="00BC499A">
        <w:rPr>
          <w:rFonts w:ascii="Arial Narrow" w:hAnsi="Arial Narrow" w:cs="Times New Roman"/>
          <w:sz w:val="22"/>
          <w:szCs w:val="22"/>
        </w:rPr>
        <w:t xml:space="preserve"> dosahuje úroveň </w:t>
      </w:r>
      <w:r w:rsidRPr="001D7103">
        <w:rPr>
          <w:rFonts w:ascii="Arial Narrow" w:hAnsi="Arial Narrow" w:cs="Times New Roman"/>
          <w:sz w:val="22"/>
          <w:szCs w:val="22"/>
        </w:rPr>
        <w:t>72,6 % až 84,4 %.</w:t>
      </w:r>
      <w:r w:rsidRPr="00BC499A">
        <w:rPr>
          <w:rFonts w:ascii="Arial Narrow" w:hAnsi="Arial Narrow" w:cs="Times New Roman"/>
          <w:sz w:val="22"/>
          <w:szCs w:val="22"/>
        </w:rPr>
        <w:t xml:space="preserve"> </w:t>
      </w:r>
    </w:p>
    <w:p w:rsidR="00E955FC" w:rsidRPr="00BC499A" w:rsidP="00E955FC">
      <w:pPr>
        <w:jc w:val="both"/>
        <w:rPr>
          <w:rFonts w:ascii="Arial Narrow" w:hAnsi="Arial Narrow" w:cs="Times New Roman"/>
          <w:b/>
          <w:sz w:val="22"/>
          <w:szCs w:val="22"/>
        </w:rPr>
      </w:pPr>
    </w:p>
    <w:p w:rsidR="00E955FC" w:rsidRPr="00BC499A" w:rsidP="00E955FC">
      <w:pPr>
        <w:ind w:firstLine="705"/>
        <w:jc w:val="both"/>
        <w:rPr>
          <w:rFonts w:ascii="Arial Narrow" w:hAnsi="Arial Narrow" w:cs="Times New Roman"/>
          <w:sz w:val="22"/>
          <w:szCs w:val="22"/>
        </w:rPr>
      </w:pPr>
      <w:r>
        <w:rPr>
          <w:rFonts w:ascii="Arial Narrow" w:hAnsi="Arial Narrow" w:cs="Times New Roman"/>
          <w:sz w:val="22"/>
          <w:szCs w:val="22"/>
        </w:rPr>
        <w:t>V roku 2009</w:t>
      </w:r>
      <w:r w:rsidRPr="00BC499A">
        <w:rPr>
          <w:rFonts w:ascii="Arial Narrow" w:hAnsi="Arial Narrow" w:cs="Times New Roman"/>
          <w:sz w:val="22"/>
          <w:szCs w:val="22"/>
        </w:rPr>
        <w:t xml:space="preserve"> sa </w:t>
      </w:r>
      <w:r w:rsidRPr="00BC499A">
        <w:rPr>
          <w:rFonts w:ascii="Arial Narrow" w:hAnsi="Arial Narrow" w:cs="Times New Roman"/>
          <w:b/>
          <w:sz w:val="22"/>
          <w:szCs w:val="22"/>
        </w:rPr>
        <w:t>transfery</w:t>
      </w:r>
      <w:r w:rsidRPr="00BC499A">
        <w:rPr>
          <w:rFonts w:ascii="Arial Narrow" w:hAnsi="Arial Narrow" w:cs="Times New Roman"/>
          <w:sz w:val="22"/>
          <w:szCs w:val="22"/>
        </w:rPr>
        <w:t xml:space="preserve"> rozpočtujú v</w:t>
      </w:r>
      <w:r>
        <w:rPr>
          <w:rFonts w:ascii="Arial Narrow" w:hAnsi="Arial Narrow" w:cs="Times New Roman"/>
          <w:sz w:val="22"/>
          <w:szCs w:val="22"/>
        </w:rPr>
        <w:t> </w:t>
      </w:r>
      <w:r w:rsidRPr="00BC499A">
        <w:rPr>
          <w:rFonts w:ascii="Arial Narrow" w:hAnsi="Arial Narrow" w:cs="Times New Roman"/>
          <w:sz w:val="22"/>
          <w:szCs w:val="22"/>
        </w:rPr>
        <w:t>objeme</w:t>
      </w:r>
      <w:r>
        <w:rPr>
          <w:rFonts w:ascii="Arial Narrow" w:hAnsi="Arial Narrow" w:cs="Times New Roman"/>
          <w:sz w:val="22"/>
          <w:szCs w:val="22"/>
        </w:rPr>
        <w:t xml:space="preserve"> 2 335 998 tis. eur</w:t>
      </w:r>
      <w:r w:rsidRPr="00BC499A">
        <w:rPr>
          <w:rFonts w:ascii="Arial Narrow" w:hAnsi="Arial Narrow" w:cs="Times New Roman"/>
          <w:sz w:val="22"/>
          <w:szCs w:val="22"/>
        </w:rPr>
        <w:t>. V</w:t>
      </w:r>
      <w:r>
        <w:rPr>
          <w:rFonts w:ascii="Arial Narrow" w:hAnsi="Arial Narrow" w:cs="Times New Roman"/>
          <w:sz w:val="22"/>
          <w:szCs w:val="22"/>
        </w:rPr>
        <w:t> tejto kategórii</w:t>
      </w:r>
      <w:r w:rsidRPr="00BC499A">
        <w:rPr>
          <w:rFonts w:ascii="Arial Narrow" w:hAnsi="Arial Narrow" w:cs="Times New Roman"/>
          <w:sz w:val="22"/>
          <w:szCs w:val="22"/>
        </w:rPr>
        <w:t xml:space="preserve"> sa rozpočtujú:</w:t>
      </w:r>
    </w:p>
    <w:p w:rsidR="00E955FC" w:rsidRPr="00BC499A" w:rsidP="00E955FC">
      <w:pPr>
        <w:jc w:val="both"/>
        <w:rPr>
          <w:rFonts w:ascii="Arial Narrow" w:hAnsi="Arial Narrow" w:cs="Times New Roman"/>
          <w:sz w:val="22"/>
          <w:szCs w:val="22"/>
        </w:rPr>
      </w:pPr>
    </w:p>
    <w:p w:rsidR="00E955FC" w:rsidRPr="005F3CD0" w:rsidP="00E955FC">
      <w:pPr>
        <w:jc w:val="both"/>
        <w:rPr>
          <w:rFonts w:ascii="Arial Narrow" w:hAnsi="Arial Narrow" w:cs="Times New Roman"/>
          <w:sz w:val="22"/>
          <w:szCs w:val="22"/>
        </w:rPr>
      </w:pPr>
      <w:r w:rsidRPr="00BC499A">
        <w:rPr>
          <w:rFonts w:ascii="Arial Narrow" w:hAnsi="Arial Narrow" w:cs="Times New Roman"/>
          <w:b/>
          <w:sz w:val="22"/>
          <w:szCs w:val="22"/>
        </w:rPr>
        <w:t>-  trans</w:t>
      </w:r>
      <w:r w:rsidRPr="00BC499A">
        <w:rPr>
          <w:rFonts w:ascii="Arial Narrow" w:hAnsi="Arial Narrow" w:cs="Times New Roman"/>
          <w:b/>
          <w:sz w:val="22"/>
          <w:szCs w:val="22"/>
        </w:rPr>
        <w:t>fery v rámci verejnej správy</w:t>
      </w:r>
      <w:r>
        <w:rPr>
          <w:rFonts w:ascii="Arial Narrow" w:hAnsi="Arial Narrow" w:cs="Times New Roman"/>
          <w:b/>
          <w:sz w:val="22"/>
          <w:szCs w:val="22"/>
        </w:rPr>
        <w:t xml:space="preserve"> – 453 303 tis. eur</w:t>
      </w:r>
      <w:r w:rsidRPr="00BC499A">
        <w:rPr>
          <w:rFonts w:ascii="Arial Narrow" w:hAnsi="Arial Narrow" w:cs="Times New Roman"/>
          <w:b/>
          <w:sz w:val="22"/>
          <w:szCs w:val="22"/>
        </w:rPr>
        <w:t xml:space="preserve"> </w:t>
      </w:r>
      <w:r>
        <w:rPr>
          <w:rFonts w:ascii="Arial Narrow" w:hAnsi="Arial Narrow" w:cs="Times New Roman"/>
          <w:sz w:val="22"/>
          <w:szCs w:val="22"/>
        </w:rPr>
        <w:t>a tvoria ich transfery:</w:t>
      </w:r>
    </w:p>
    <w:p w:rsidR="00E955FC" w:rsidP="00E955FC">
      <w:pPr>
        <w:jc w:val="both"/>
        <w:rPr>
          <w:rFonts w:ascii="Arial Narrow" w:hAnsi="Arial Narrow" w:cs="Times New Roman"/>
          <w:sz w:val="22"/>
          <w:szCs w:val="22"/>
        </w:rPr>
      </w:pPr>
      <w:r w:rsidRPr="00BC499A">
        <w:rPr>
          <w:rFonts w:ascii="Arial Narrow" w:hAnsi="Arial Narrow" w:cs="Times New Roman"/>
          <w:sz w:val="22"/>
          <w:szCs w:val="22"/>
        </w:rPr>
        <w:t xml:space="preserve">- zo štátnych finančných aktív vo výške </w:t>
      </w:r>
      <w:r>
        <w:rPr>
          <w:rFonts w:ascii="Arial Narrow" w:hAnsi="Arial Narrow" w:cs="Times New Roman"/>
          <w:sz w:val="22"/>
          <w:szCs w:val="22"/>
        </w:rPr>
        <w:t>443 471 tis. eur</w:t>
      </w:r>
      <w:r w:rsidRPr="00BC499A">
        <w:rPr>
          <w:rFonts w:ascii="Arial Narrow" w:hAnsi="Arial Narrow" w:cs="Times New Roman"/>
          <w:sz w:val="22"/>
          <w:szCs w:val="22"/>
        </w:rPr>
        <w:t>. Ide o príjmy z dividend z podnikov s majetkovou účasťou Fondu národného majetku SR</w:t>
      </w:r>
      <w:r>
        <w:rPr>
          <w:rFonts w:ascii="Arial Narrow" w:hAnsi="Arial Narrow" w:cs="Times New Roman"/>
          <w:sz w:val="22"/>
          <w:szCs w:val="22"/>
        </w:rPr>
        <w:t>,</w:t>
      </w:r>
      <w:r w:rsidRPr="00BC499A">
        <w:rPr>
          <w:rFonts w:ascii="Arial Narrow" w:hAnsi="Arial Narrow" w:cs="Times New Roman"/>
          <w:sz w:val="22"/>
          <w:szCs w:val="22"/>
        </w:rPr>
        <w:t xml:space="preserve"> ktoré sa po posilnení štátnych finančných aktív následne stanú príjmom štátneho rozpočtu.  </w:t>
      </w:r>
    </w:p>
    <w:p w:rsidR="00E955FC" w:rsidP="00E955FC">
      <w:pPr>
        <w:jc w:val="center"/>
        <w:rPr>
          <w:rFonts w:ascii="Arial Narrow" w:hAnsi="Arial Narrow" w:cs="Times New Roman"/>
          <w:sz w:val="22"/>
          <w:szCs w:val="22"/>
        </w:rPr>
      </w:pPr>
      <w:r>
        <w:rPr>
          <w:rFonts w:cs="Times New Roman"/>
          <w:rtl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3pt;height:191.8pt" o:oleicon="f" o:ole="" o:preferrelative="t" filled="f" stroked="f">
            <v:fill o:detectmouseclick="f"/>
            <v:imagedata r:id="rId5" o:title=""/>
            <o:lock v:ext="edit" aspectratio="t"/>
          </v:shape>
          <o:OLEObject Type="Embed" ProgID="Excel.Chart.8" ShapeID="_x0000_i1025" DrawAspect="Content" ObjectID="_1" r:id="rId6"/>
        </w:object>
      </w:r>
    </w:p>
    <w:p w:rsidR="00E955FC" w:rsidP="00E955FC">
      <w:pPr>
        <w:jc w:val="both"/>
        <w:rPr>
          <w:rFonts w:ascii="Arial Narrow" w:hAnsi="Arial Narrow" w:cs="Times New Roman"/>
          <w:sz w:val="22"/>
          <w:szCs w:val="22"/>
        </w:rPr>
      </w:pPr>
    </w:p>
    <w:p w:rsidR="00E955FC" w:rsidP="00E955FC">
      <w:pPr>
        <w:jc w:val="both"/>
        <w:rPr>
          <w:rFonts w:ascii="Arial Narrow" w:hAnsi="Arial Narrow" w:cs="Times New Roman"/>
          <w:sz w:val="22"/>
          <w:szCs w:val="22"/>
        </w:rPr>
      </w:pPr>
      <w:r w:rsidRPr="00BC499A">
        <w:rPr>
          <w:rFonts w:ascii="Arial Narrow" w:hAnsi="Arial Narrow" w:cs="Times New Roman"/>
          <w:sz w:val="22"/>
          <w:szCs w:val="22"/>
        </w:rPr>
        <w:t xml:space="preserve">- zo zdravotných poisťovní </w:t>
      </w:r>
      <w:r>
        <w:rPr>
          <w:rFonts w:ascii="Arial Narrow" w:hAnsi="Arial Narrow" w:cs="Times New Roman"/>
          <w:sz w:val="22"/>
          <w:szCs w:val="22"/>
        </w:rPr>
        <w:t xml:space="preserve">v sume 9 832 tis. eur </w:t>
      </w:r>
      <w:r w:rsidRPr="00BC499A">
        <w:rPr>
          <w:rFonts w:ascii="Arial Narrow" w:hAnsi="Arial Narrow" w:cs="Times New Roman"/>
          <w:sz w:val="22"/>
          <w:szCs w:val="22"/>
        </w:rPr>
        <w:t>– v kapitole Ministerstva zdravotníctva SR</w:t>
      </w:r>
      <w:r>
        <w:rPr>
          <w:rFonts w:ascii="Arial Narrow" w:hAnsi="Arial Narrow" w:cs="Times New Roman"/>
          <w:sz w:val="22"/>
          <w:szCs w:val="22"/>
        </w:rPr>
        <w:t>,</w:t>
      </w:r>
      <w:r w:rsidRPr="00BC499A">
        <w:rPr>
          <w:rFonts w:ascii="Arial Narrow" w:hAnsi="Arial Narrow" w:cs="Times New Roman"/>
          <w:sz w:val="22"/>
          <w:szCs w:val="22"/>
        </w:rPr>
        <w:t xml:space="preserve"> ide o príspevky zdravotných poisťovní na činnosť operačných stredísk záchrannej zdravotnej služby. </w:t>
      </w:r>
    </w:p>
    <w:p w:rsidR="00E955FC" w:rsidP="00E955FC">
      <w:pPr>
        <w:jc w:val="both"/>
        <w:rPr>
          <w:rFonts w:ascii="Arial Narrow" w:hAnsi="Arial Narrow"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5760"/>
        <w:gridCol w:w="1080"/>
        <w:gridCol w:w="1080"/>
        <w:gridCol w:w="1080"/>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576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CD4DE8" w:rsidP="00E955FC">
            <w:pPr>
              <w:jc w:val="both"/>
              <w:rPr>
                <w:rFonts w:ascii="Arial Narrow" w:hAnsi="Arial Narrow" w:cs="Times New Roman"/>
                <w:sz w:val="20"/>
              </w:rPr>
            </w:pPr>
            <w:r w:rsidRPr="00CD4DE8">
              <w:rPr>
                <w:rFonts w:ascii="Arial Narrow" w:hAnsi="Arial Narrow" w:cs="Times New Roman"/>
                <w:sz w:val="20"/>
              </w:rPr>
              <w:t>(v tis. eur)</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CD4DE8" w:rsidP="00E955FC">
            <w:pPr>
              <w:jc w:val="center"/>
              <w:rPr>
                <w:rFonts w:ascii="Arial Narrow" w:hAnsi="Arial Narrow" w:cs="Times New Roman"/>
                <w:sz w:val="20"/>
              </w:rPr>
            </w:pPr>
            <w:r w:rsidRPr="00CD4DE8">
              <w:rPr>
                <w:rFonts w:ascii="Arial Narrow" w:hAnsi="Arial Narrow" w:cs="Times New Roman"/>
                <w:sz w:val="20"/>
              </w:rPr>
              <w:t>2009</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CD4DE8" w:rsidP="00E955FC">
            <w:pPr>
              <w:jc w:val="center"/>
              <w:rPr>
                <w:rFonts w:ascii="Arial Narrow" w:hAnsi="Arial Narrow" w:cs="Times New Roman"/>
                <w:sz w:val="20"/>
              </w:rPr>
            </w:pPr>
            <w:r w:rsidRPr="00CD4DE8">
              <w:rPr>
                <w:rFonts w:ascii="Arial Narrow" w:hAnsi="Arial Narrow" w:cs="Times New Roman"/>
                <w:sz w:val="20"/>
              </w:rPr>
              <w:t>2010</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E955FC" w:rsidRPr="00CD4DE8" w:rsidP="00E955FC">
            <w:pPr>
              <w:jc w:val="center"/>
              <w:rPr>
                <w:rFonts w:ascii="Arial Narrow" w:hAnsi="Arial Narrow" w:cs="Times New Roman"/>
                <w:sz w:val="20"/>
              </w:rPr>
            </w:pPr>
            <w:r w:rsidRPr="00CD4DE8">
              <w:rPr>
                <w:rFonts w:ascii="Arial Narrow" w:hAnsi="Arial Narrow" w:cs="Times New Roman"/>
                <w:sz w:val="20"/>
              </w:rPr>
              <w:t>2011</w:t>
            </w:r>
          </w:p>
        </w:tc>
      </w:tr>
      <w:tr>
        <w:tblPrEx>
          <w:tblW w:w="0" w:type="auto"/>
          <w:tblInd w:w="108" w:type="dxa"/>
        </w:tblPrEx>
        <w:trPr>
          <w:trHeight w:hRule="auto" w:val="0"/>
        </w:trPr>
        <w:tc>
          <w:tcPr>
            <w:tcW w:w="57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955FC" w:rsidRPr="00CD4DE8" w:rsidP="00E955FC">
            <w:pPr>
              <w:jc w:val="both"/>
              <w:rPr>
                <w:rFonts w:ascii="Arial Narrow" w:hAnsi="Arial Narrow" w:cs="Times New Roman"/>
                <w:sz w:val="20"/>
              </w:rPr>
            </w:pPr>
            <w:r w:rsidRPr="00CD4DE8">
              <w:rPr>
                <w:rFonts w:ascii="Arial Narrow" w:hAnsi="Arial Narrow" w:cs="Times New Roman"/>
                <w:sz w:val="20"/>
              </w:rPr>
              <w:t xml:space="preserve">Príspevky zdravotných poisťovní na činnosť operačných </w:t>
            </w:r>
          </w:p>
          <w:p w:rsidR="00E955FC" w:rsidRPr="00CD4DE8" w:rsidP="00E955FC">
            <w:pPr>
              <w:jc w:val="both"/>
              <w:rPr>
                <w:rFonts w:ascii="Arial Narrow" w:hAnsi="Arial Narrow" w:cs="Times New Roman"/>
                <w:sz w:val="20"/>
              </w:rPr>
            </w:pPr>
            <w:r w:rsidRPr="00CD4DE8">
              <w:rPr>
                <w:rFonts w:ascii="Arial Narrow" w:hAnsi="Arial Narrow" w:cs="Times New Roman"/>
                <w:sz w:val="20"/>
              </w:rPr>
              <w:t>stredísk záchrannej zdravotnej služby</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955FC" w:rsidRPr="00CD4DE8" w:rsidP="00E955FC">
            <w:pPr>
              <w:jc w:val="right"/>
              <w:rPr>
                <w:rFonts w:ascii="Arial Narrow" w:hAnsi="Arial Narrow" w:cs="Times New Roman"/>
                <w:sz w:val="20"/>
              </w:rPr>
            </w:pPr>
          </w:p>
          <w:p w:rsidR="00E955FC" w:rsidRPr="00CD4DE8" w:rsidP="00E955FC">
            <w:pPr>
              <w:jc w:val="right"/>
              <w:rPr>
                <w:rFonts w:ascii="Arial Narrow" w:hAnsi="Arial Narrow" w:cs="Times New Roman"/>
                <w:sz w:val="20"/>
              </w:rPr>
            </w:pPr>
            <w:r>
              <w:rPr>
                <w:rFonts w:ascii="Arial Narrow" w:hAnsi="Arial Narrow" w:cs="Times New Roman"/>
                <w:sz w:val="20"/>
              </w:rPr>
              <w:t>9 83</w:t>
            </w:r>
            <w:r w:rsidRPr="00CD4DE8">
              <w:rPr>
                <w:rFonts w:ascii="Arial Narrow" w:hAnsi="Arial Narrow" w:cs="Times New Roman"/>
                <w:sz w:val="20"/>
              </w:rPr>
              <w:t>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955FC" w:rsidRPr="00CD4DE8" w:rsidP="00E955FC">
            <w:pPr>
              <w:jc w:val="right"/>
              <w:rPr>
                <w:rFonts w:ascii="Arial Narrow" w:hAnsi="Arial Narrow" w:cs="Times New Roman"/>
                <w:sz w:val="20"/>
              </w:rPr>
            </w:pPr>
          </w:p>
          <w:p w:rsidR="00E955FC" w:rsidRPr="00CD4DE8" w:rsidP="00E955FC">
            <w:pPr>
              <w:jc w:val="right"/>
              <w:rPr>
                <w:rFonts w:ascii="Arial Narrow" w:hAnsi="Arial Narrow" w:cs="Times New Roman"/>
                <w:sz w:val="20"/>
              </w:rPr>
            </w:pPr>
            <w:r>
              <w:rPr>
                <w:rFonts w:ascii="Arial Narrow" w:hAnsi="Arial Narrow" w:cs="Times New Roman"/>
                <w:sz w:val="20"/>
              </w:rPr>
              <w:t>11 085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955FC" w:rsidRPr="00CD4DE8" w:rsidP="00E955FC">
            <w:pPr>
              <w:jc w:val="right"/>
              <w:rPr>
                <w:rFonts w:ascii="Arial Narrow" w:hAnsi="Arial Narrow" w:cs="Times New Roman"/>
                <w:sz w:val="20"/>
              </w:rPr>
            </w:pPr>
          </w:p>
          <w:p w:rsidR="00E955FC" w:rsidRPr="00CD4DE8" w:rsidP="00E955FC">
            <w:pPr>
              <w:jc w:val="right"/>
              <w:rPr>
                <w:rFonts w:ascii="Arial Narrow" w:hAnsi="Arial Narrow" w:cs="Times New Roman"/>
                <w:sz w:val="20"/>
              </w:rPr>
            </w:pPr>
            <w:r>
              <w:rPr>
                <w:rFonts w:ascii="Arial Narrow" w:hAnsi="Arial Narrow" w:cs="Times New Roman"/>
                <w:sz w:val="20"/>
              </w:rPr>
              <w:t>11 741</w:t>
            </w:r>
          </w:p>
        </w:tc>
      </w:tr>
    </w:tbl>
    <w:p w:rsidR="00E955FC" w:rsidRPr="00BC499A" w:rsidP="00E955FC">
      <w:pPr>
        <w:jc w:val="both"/>
        <w:rPr>
          <w:rFonts w:ascii="Arial Narrow" w:hAnsi="Arial Narrow" w:cs="Times New Roman"/>
          <w:sz w:val="22"/>
          <w:szCs w:val="22"/>
        </w:rPr>
      </w:pPr>
    </w:p>
    <w:p w:rsidR="000E060D" w:rsidP="008D6382">
      <w:pPr>
        <w:jc w:val="both"/>
        <w:rPr>
          <w:rFonts w:cs="Times New Roman"/>
        </w:rPr>
      </w:pPr>
      <w:r w:rsidRPr="00BC499A" w:rsidR="00E955FC">
        <w:rPr>
          <w:rFonts w:ascii="Arial Narrow" w:hAnsi="Arial Narrow" w:cs="Times New Roman"/>
          <w:sz w:val="22"/>
          <w:szCs w:val="22"/>
        </w:rPr>
        <w:t xml:space="preserve">- </w:t>
      </w:r>
      <w:r w:rsidRPr="00BC499A" w:rsidR="00E955FC">
        <w:rPr>
          <w:rFonts w:ascii="Arial Narrow" w:hAnsi="Arial Narrow" w:cs="Times New Roman"/>
          <w:b/>
          <w:sz w:val="22"/>
          <w:szCs w:val="22"/>
        </w:rPr>
        <w:t>zahraničné transfery</w:t>
      </w:r>
      <w:r w:rsidRPr="00BC499A" w:rsidR="00E955FC">
        <w:rPr>
          <w:rFonts w:ascii="Arial Narrow" w:hAnsi="Arial Narrow" w:cs="Times New Roman"/>
          <w:sz w:val="22"/>
          <w:szCs w:val="22"/>
        </w:rPr>
        <w:t xml:space="preserve"> predstavujú prostriedky zo všeobecného rozpočtu Európskej únie v rám</w:t>
      </w:r>
      <w:r w:rsidRPr="00BC499A" w:rsidR="00E955FC">
        <w:rPr>
          <w:rFonts w:ascii="Arial Narrow" w:hAnsi="Arial Narrow" w:cs="Times New Roman"/>
          <w:sz w:val="22"/>
          <w:szCs w:val="22"/>
        </w:rPr>
        <w:t>ci prvého a druhého programového obdobia</w:t>
      </w:r>
      <w:r w:rsidR="00E955FC">
        <w:rPr>
          <w:rFonts w:ascii="Arial Narrow" w:hAnsi="Arial Narrow" w:cs="Times New Roman"/>
          <w:sz w:val="22"/>
          <w:szCs w:val="22"/>
        </w:rPr>
        <w:t xml:space="preserve"> a v roku 2009 sa rozpočtujú vo výške 1 882 695 tis. eur</w:t>
      </w:r>
      <w:r w:rsidRPr="00BC499A" w:rsidR="00E955FC">
        <w:rPr>
          <w:rFonts w:ascii="Arial Narrow" w:hAnsi="Arial Narrow" w:cs="Times New Roman"/>
          <w:sz w:val="22"/>
          <w:szCs w:val="22"/>
        </w:rPr>
        <w:t xml:space="preserve">. </w:t>
      </w:r>
      <w:r w:rsidR="00E955FC">
        <w:rPr>
          <w:rFonts w:ascii="Arial Narrow" w:hAnsi="Arial Narrow" w:cs="Times New Roman"/>
          <w:sz w:val="22"/>
          <w:szCs w:val="22"/>
        </w:rPr>
        <w:t>V rokoch 2010 a 2011 v porovnaní s rokom 2009 sa predpokladá zvýšenie týchto prímov o 675 011 tis. eur (na 2 557 706 tis. eur) a o 211 634 tis. eur (na 2 769 340 tis. eur). Najväčší objem z týchto prostriedkov sa poskytne prostredníctvom kapitoly Ministerstva pôdohospodárstva SR, Ministerstva dopravy, pôšt a telekomunikácií SR a Ministerstva školstva SR.</w:t>
      </w:r>
      <w:r>
        <w:rPr>
          <w:rFonts w:cs="Times New Roman"/>
        </w:rPr>
        <w:t xml:space="preserve"> </w:t>
      </w:r>
    </w:p>
    <w:p w:rsidR="008D6382" w:rsidP="008D6382">
      <w:pPr>
        <w:jc w:val="both"/>
        <w:rPr>
          <w:rFonts w:ascii="Arial Narrow" w:hAnsi="Arial Narrow" w:cs="Times New Roman"/>
          <w:sz w:val="22"/>
          <w:szCs w:val="22"/>
        </w:rPr>
      </w:pPr>
    </w:p>
    <w:p w:rsidR="000E060D" w:rsidP="000E060D">
      <w:pPr>
        <w:pStyle w:val="Heading1"/>
        <w:rPr>
          <w:rFonts w:ascii="Arial Narrow" w:hAnsi="Arial Narrow"/>
          <w:sz w:val="28"/>
          <w:szCs w:val="28"/>
        </w:rPr>
      </w:pPr>
      <w:bookmarkStart w:id="41" w:name="_Toc116476495"/>
      <w:bookmarkStart w:id="42" w:name="_Toc141529498"/>
      <w:bookmarkStart w:id="43" w:name="_Toc211592399"/>
      <w:r w:rsidRPr="00830307">
        <w:rPr>
          <w:rFonts w:ascii="Arial Narrow" w:hAnsi="Arial Narrow"/>
          <w:sz w:val="28"/>
          <w:szCs w:val="28"/>
        </w:rPr>
        <w:t>4. Rozpočtovanie výdavkov štátneho rozpočtu</w:t>
      </w:r>
      <w:bookmarkEnd w:id="41"/>
      <w:bookmarkEnd w:id="42"/>
      <w:bookmarkEnd w:id="43"/>
    </w:p>
    <w:p w:rsidR="000E060D" w:rsidRPr="00656C18" w:rsidP="000E060D">
      <w:pPr>
        <w:pStyle w:val="Heading2"/>
        <w:rPr>
          <w:rFonts w:ascii="Arial Narrow" w:hAnsi="Arial Narrow"/>
          <w:i w:val="0"/>
          <w:sz w:val="24"/>
          <w:szCs w:val="24"/>
        </w:rPr>
      </w:pPr>
      <w:bookmarkStart w:id="44" w:name="_Toc211592400"/>
      <w:r w:rsidRPr="00656C18">
        <w:rPr>
          <w:rFonts w:ascii="Arial Narrow" w:hAnsi="Arial Narrow"/>
          <w:i w:val="0"/>
          <w:sz w:val="24"/>
          <w:szCs w:val="24"/>
        </w:rPr>
        <w:t>4.1. Kvantifikácia výdavkov štátneho rozpočtu</w:t>
      </w:r>
      <w:bookmarkEnd w:id="44"/>
    </w:p>
    <w:p w:rsidR="000E060D" w:rsidP="000E060D">
      <w:pPr>
        <w:jc w:val="both"/>
        <w:rPr>
          <w:rFonts w:ascii="Arial Narrow" w:hAnsi="Arial Narrow" w:cs="Arial"/>
          <w:szCs w:val="24"/>
          <w:highlight w:val="yellow"/>
        </w:rPr>
      </w:pPr>
    </w:p>
    <w:p w:rsidR="000E060D" w:rsidP="000E060D">
      <w:pPr>
        <w:ind w:firstLine="708"/>
        <w:jc w:val="both"/>
        <w:rPr>
          <w:rFonts w:ascii="Arial Narrow" w:hAnsi="Arial Narrow" w:cs="Arial"/>
          <w:sz w:val="22"/>
          <w:szCs w:val="24"/>
        </w:rPr>
      </w:pPr>
      <w:r>
        <w:rPr>
          <w:rFonts w:ascii="Arial Narrow" w:hAnsi="Arial Narrow" w:cs="Arial"/>
          <w:sz w:val="22"/>
          <w:szCs w:val="24"/>
        </w:rPr>
        <w:t>V rámci návrhu rozpočtu verejnej správy na roky 2009 až 2011 sa rozpočtujú výdavky štátneho rozpočtu vo výške 1</w:t>
      </w:r>
      <w:r w:rsidR="00142A9F">
        <w:rPr>
          <w:rFonts w:ascii="Arial Narrow" w:hAnsi="Arial Narrow" w:cs="Arial"/>
          <w:sz w:val="22"/>
          <w:szCs w:val="24"/>
        </w:rPr>
        <w:t>4 108 694</w:t>
      </w:r>
      <w:r>
        <w:rPr>
          <w:rFonts w:ascii="Arial Narrow" w:hAnsi="Arial Narrow" w:cs="Arial"/>
          <w:sz w:val="22"/>
          <w:szCs w:val="24"/>
        </w:rPr>
        <w:t xml:space="preserve"> tis. eur na rok 2009, 14</w:t>
      </w:r>
      <w:r w:rsidR="00142A9F">
        <w:rPr>
          <w:rFonts w:ascii="Arial Narrow" w:hAnsi="Arial Narrow" w:cs="Arial"/>
          <w:sz w:val="22"/>
          <w:szCs w:val="24"/>
        </w:rPr>
        <w:t> 807 769</w:t>
      </w:r>
      <w:r>
        <w:rPr>
          <w:rFonts w:ascii="Arial Narrow" w:hAnsi="Arial Narrow" w:cs="Arial"/>
          <w:sz w:val="22"/>
          <w:szCs w:val="24"/>
        </w:rPr>
        <w:t xml:space="preserve"> tis. eur na rok 2010 a 15</w:t>
      </w:r>
      <w:r w:rsidR="00142A9F">
        <w:rPr>
          <w:rFonts w:ascii="Arial Narrow" w:hAnsi="Arial Narrow" w:cs="Arial"/>
          <w:sz w:val="22"/>
          <w:szCs w:val="24"/>
        </w:rPr>
        <w:t> 433 097</w:t>
      </w:r>
      <w:r>
        <w:rPr>
          <w:rFonts w:ascii="Arial Narrow" w:hAnsi="Arial Narrow" w:cs="Arial"/>
          <w:sz w:val="22"/>
          <w:szCs w:val="24"/>
        </w:rPr>
        <w:t xml:space="preserve"> tis. eur na rok 2011. Medziročný</w:t>
      </w:r>
      <w:r>
        <w:rPr>
          <w:rFonts w:ascii="Arial Narrow" w:hAnsi="Arial Narrow" w:cs="Arial"/>
          <w:sz w:val="22"/>
          <w:szCs w:val="24"/>
        </w:rPr>
        <w:t xml:space="preserve"> rast výdavkov  sa pohybuje na úrovni 4,</w:t>
      </w:r>
      <w:r w:rsidR="001F613B">
        <w:rPr>
          <w:rFonts w:ascii="Arial Narrow" w:hAnsi="Arial Narrow" w:cs="Arial"/>
          <w:sz w:val="22"/>
          <w:szCs w:val="24"/>
        </w:rPr>
        <w:t>2</w:t>
      </w:r>
      <w:r>
        <w:rPr>
          <w:rFonts w:ascii="Arial Narrow" w:hAnsi="Arial Narrow" w:cs="Arial"/>
          <w:sz w:val="22"/>
          <w:szCs w:val="24"/>
        </w:rPr>
        <w:t xml:space="preserve"> % až </w:t>
      </w:r>
      <w:r w:rsidR="001F613B">
        <w:rPr>
          <w:rFonts w:ascii="Arial Narrow" w:hAnsi="Arial Narrow" w:cs="Arial"/>
          <w:sz w:val="22"/>
          <w:szCs w:val="24"/>
        </w:rPr>
        <w:t>11</w:t>
      </w:r>
      <w:r>
        <w:rPr>
          <w:rFonts w:ascii="Arial Narrow" w:hAnsi="Arial Narrow" w:cs="Arial"/>
          <w:sz w:val="22"/>
          <w:szCs w:val="24"/>
        </w:rPr>
        <w:t>,</w:t>
      </w:r>
      <w:r w:rsidR="001F613B">
        <w:rPr>
          <w:rFonts w:ascii="Arial Narrow" w:hAnsi="Arial Narrow" w:cs="Arial"/>
          <w:sz w:val="22"/>
          <w:szCs w:val="24"/>
        </w:rPr>
        <w:t>8</w:t>
      </w:r>
      <w:r>
        <w:rPr>
          <w:rFonts w:ascii="Arial Narrow" w:hAnsi="Arial Narrow" w:cs="Arial"/>
          <w:sz w:val="22"/>
          <w:szCs w:val="24"/>
        </w:rPr>
        <w:t xml:space="preserve"> %. </w:t>
      </w:r>
    </w:p>
    <w:p w:rsidR="000E060D" w:rsidP="000E060D">
      <w:pPr>
        <w:ind w:firstLine="709"/>
        <w:jc w:val="both"/>
        <w:rPr>
          <w:rFonts w:ascii="Arial Narrow" w:hAnsi="Arial Narrow" w:cs="Arial"/>
          <w:szCs w:val="24"/>
        </w:rPr>
      </w:pPr>
    </w:p>
    <w:tbl>
      <w:tblPr>
        <w:tblpPr w:leftFromText="141" w:rightFromText="141" w:vertAnchor="text" w:horzAnchor="margin" w:tblpX="577"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4392"/>
        <w:gridCol w:w="1080"/>
        <w:gridCol w:w="900"/>
        <w:gridCol w:w="1080"/>
        <w:gridCol w:w="118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0E060D" w:rsidP="000E060D">
            <w:pPr>
              <w:jc w:val="both"/>
              <w:rPr>
                <w:rFonts w:ascii="Arial Narrow" w:hAnsi="Arial Narrow" w:cs="Arial"/>
                <w:sz w:val="20"/>
              </w:rPr>
            </w:pPr>
            <w:r>
              <w:rPr>
                <w:rFonts w:ascii="Arial Narrow" w:hAnsi="Arial Narrow" w:cs="Arial"/>
                <w:sz w:val="20"/>
              </w:rPr>
              <w:t>(v mld. eur)</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0E060D" w:rsidP="000E060D">
            <w:pPr>
              <w:jc w:val="center"/>
              <w:rPr>
                <w:rFonts w:ascii="Arial Narrow" w:hAnsi="Arial Narrow" w:cs="Arial"/>
                <w:b/>
                <w:sz w:val="20"/>
              </w:rPr>
            </w:pPr>
            <w:r>
              <w:rPr>
                <w:rFonts w:ascii="Arial Narrow" w:hAnsi="Arial Narrow" w:cs="Arial"/>
                <w:b/>
                <w:sz w:val="20"/>
              </w:rPr>
              <w:t>2008</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0E060D" w:rsidP="000E060D">
            <w:pPr>
              <w:jc w:val="center"/>
              <w:rPr>
                <w:rFonts w:ascii="Arial Narrow" w:hAnsi="Arial Narrow" w:cs="Arial"/>
                <w:b/>
                <w:sz w:val="20"/>
              </w:rPr>
            </w:pPr>
            <w:r>
              <w:rPr>
                <w:rFonts w:ascii="Arial Narrow" w:hAnsi="Arial Narrow" w:cs="Arial"/>
                <w:b/>
                <w:sz w:val="20"/>
              </w:rPr>
              <w:t>2009</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0E060D" w:rsidP="000E060D">
            <w:pPr>
              <w:jc w:val="center"/>
              <w:rPr>
                <w:rFonts w:ascii="Arial Narrow" w:hAnsi="Arial Narrow" w:cs="Arial"/>
                <w:b/>
                <w:sz w:val="20"/>
              </w:rPr>
            </w:pPr>
            <w:r>
              <w:rPr>
                <w:rFonts w:ascii="Arial Narrow" w:hAnsi="Arial Narrow" w:cs="Arial"/>
                <w:b/>
                <w:sz w:val="20"/>
              </w:rPr>
              <w:t>2010</w:t>
            </w:r>
          </w:p>
        </w:tc>
        <w:tc>
          <w:tcPr>
            <w:tcW w:w="1182" w:type="dxa"/>
            <w:tcBorders>
              <w:top w:val="single" w:sz="4" w:space="0" w:color="auto"/>
              <w:left w:val="single" w:sz="4" w:space="0" w:color="auto"/>
              <w:bottom w:val="single" w:sz="4" w:space="0" w:color="auto"/>
              <w:right w:val="single" w:sz="4" w:space="0" w:color="auto"/>
              <w:tl2br w:val="nil"/>
              <w:tr2bl w:val="nil"/>
            </w:tcBorders>
            <w:shd w:val="clear" w:color="auto" w:fill="0C0C0C"/>
            <w:textDirection w:val="lrTb"/>
            <w:vAlign w:val="top"/>
          </w:tcPr>
          <w:p w:rsidR="000E060D" w:rsidP="000E060D">
            <w:pPr>
              <w:jc w:val="center"/>
              <w:rPr>
                <w:rFonts w:ascii="Arial Narrow" w:hAnsi="Arial Narrow" w:cs="Arial"/>
                <w:b/>
                <w:sz w:val="20"/>
              </w:rPr>
            </w:pPr>
            <w:r>
              <w:rPr>
                <w:rFonts w:ascii="Arial Narrow" w:hAnsi="Arial Narrow" w:cs="Arial"/>
                <w:b/>
                <w:sz w:val="20"/>
              </w:rPr>
              <w:t>2011</w:t>
            </w:r>
          </w:p>
        </w:tc>
      </w:tr>
      <w:tr>
        <w:tblPrEx>
          <w:tblW w:w="0" w:type="auto"/>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0E060D">
            <w:pPr>
              <w:jc w:val="both"/>
              <w:rPr>
                <w:rFonts w:ascii="Arial Narrow" w:hAnsi="Arial Narrow" w:cs="Arial"/>
                <w:sz w:val="20"/>
              </w:rPr>
            </w:pPr>
            <w:r>
              <w:rPr>
                <w:rFonts w:ascii="Arial Narrow" w:hAnsi="Arial Narrow" w:cs="Arial"/>
                <w:sz w:val="20"/>
              </w:rPr>
              <w:t>Výdavky štátneho rozpočtu</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12,6</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w:t>
            </w:r>
            <w:r w:rsidR="001F613B">
              <w:rPr>
                <w:rFonts w:ascii="Arial Narrow" w:hAnsi="Arial Narrow" w:cs="Arial"/>
                <w:sz w:val="20"/>
              </w:rPr>
              <w:t>4</w:t>
            </w:r>
            <w:r>
              <w:rPr>
                <w:rFonts w:ascii="Arial Narrow" w:hAnsi="Arial Narrow" w:cs="Arial"/>
                <w:sz w:val="20"/>
              </w:rPr>
              <w:t>,</w:t>
            </w:r>
            <w:r w:rsidR="001F613B">
              <w:rPr>
                <w:rFonts w:ascii="Arial Narrow" w:hAnsi="Arial Narrow" w:cs="Arial"/>
                <w:sz w:val="20"/>
              </w:rPr>
              <w:t>1</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14,</w:t>
            </w:r>
            <w:r w:rsidR="001F613B">
              <w:rPr>
                <w:rFonts w:ascii="Arial Narrow" w:hAnsi="Arial Narrow" w:cs="Arial"/>
                <w:sz w:val="20"/>
              </w:rPr>
              <w:t>8</w:t>
            </w:r>
          </w:p>
        </w:tc>
        <w:tc>
          <w:tcPr>
            <w:tcW w:w="118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15,</w:t>
            </w:r>
            <w:r w:rsidR="001F613B">
              <w:rPr>
                <w:rFonts w:ascii="Arial Narrow" w:hAnsi="Arial Narrow" w:cs="Arial"/>
                <w:sz w:val="20"/>
              </w:rPr>
              <w:t>4</w:t>
            </w:r>
          </w:p>
        </w:tc>
      </w:tr>
      <w:tr>
        <w:tblPrEx>
          <w:tblW w:w="0" w:type="auto"/>
        </w:tblPrEx>
        <w:trPr>
          <w:trHeight w:hRule="auto" w:val="0"/>
        </w:trPr>
        <w:tc>
          <w:tcPr>
            <w:tcW w:w="8634"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0E060D">
            <w:pPr>
              <w:jc w:val="both"/>
              <w:rPr>
                <w:rFonts w:ascii="Arial Narrow" w:hAnsi="Arial Narrow" w:cs="Arial"/>
                <w:sz w:val="20"/>
              </w:rPr>
            </w:pPr>
            <w:r>
              <w:rPr>
                <w:rFonts w:ascii="Arial Narrow" w:hAnsi="Arial Narrow" w:cs="Arial"/>
                <w:sz w:val="20"/>
              </w:rPr>
              <w:t>z toho:</w:t>
            </w:r>
          </w:p>
        </w:tc>
      </w:tr>
      <w:tr>
        <w:tblPrEx>
          <w:tblW w:w="0" w:type="auto"/>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0E060D">
            <w:pPr>
              <w:jc w:val="both"/>
              <w:rPr>
                <w:rFonts w:ascii="Arial Narrow" w:hAnsi="Arial Narrow" w:cs="Arial"/>
                <w:sz w:val="20"/>
              </w:rPr>
            </w:pPr>
            <w:r>
              <w:rPr>
                <w:rFonts w:ascii="Arial Narrow" w:hAnsi="Arial Narrow" w:cs="Arial"/>
                <w:sz w:val="20"/>
              </w:rPr>
              <w:t xml:space="preserve">          výdavky štátneho dlhu</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0,9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1,0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1,1</w:t>
            </w:r>
          </w:p>
        </w:tc>
        <w:tc>
          <w:tcPr>
            <w:tcW w:w="11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1,1</w:t>
            </w:r>
          </w:p>
        </w:tc>
      </w:tr>
      <w:tr>
        <w:tblPrEx>
          <w:tblW w:w="0" w:type="auto"/>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0E060D">
            <w:pPr>
              <w:jc w:val="both"/>
              <w:rPr>
                <w:rFonts w:ascii="Arial Narrow" w:hAnsi="Arial Narrow" w:cs="Arial"/>
                <w:sz w:val="20"/>
              </w:rPr>
            </w:pPr>
            <w:r>
              <w:rPr>
                <w:rFonts w:ascii="Arial Narrow" w:hAnsi="Arial Narrow" w:cs="Arial"/>
                <w:sz w:val="20"/>
              </w:rPr>
              <w:t>Výdavky štátneho rozpočtu bez štátneho dlhu</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11,7</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w:t>
            </w:r>
            <w:r w:rsidR="001F613B">
              <w:rPr>
                <w:rFonts w:ascii="Arial Narrow" w:hAnsi="Arial Narrow" w:cs="Arial"/>
                <w:sz w:val="20"/>
              </w:rPr>
              <w:t>3</w:t>
            </w:r>
            <w:r>
              <w:rPr>
                <w:rFonts w:ascii="Arial Narrow" w:hAnsi="Arial Narrow" w:cs="Arial"/>
                <w:sz w:val="20"/>
              </w:rPr>
              <w:t>,</w:t>
            </w:r>
            <w:r w:rsidR="001F613B">
              <w:rPr>
                <w:rFonts w:ascii="Arial Narrow" w:hAnsi="Arial Narrow" w:cs="Arial"/>
                <w:sz w:val="20"/>
              </w:rPr>
              <w:t>1</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13,</w:t>
            </w:r>
            <w:r w:rsidR="001F613B">
              <w:rPr>
                <w:rFonts w:ascii="Arial Narrow" w:hAnsi="Arial Narrow" w:cs="Arial"/>
                <w:sz w:val="20"/>
              </w:rPr>
              <w:t>7</w:t>
            </w:r>
          </w:p>
        </w:tc>
        <w:tc>
          <w:tcPr>
            <w:tcW w:w="118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0E060D" w:rsidP="00734EED">
            <w:pPr>
              <w:jc w:val="right"/>
              <w:rPr>
                <w:rFonts w:ascii="Arial Narrow" w:hAnsi="Arial Narrow" w:cs="Arial"/>
                <w:sz w:val="20"/>
              </w:rPr>
            </w:pPr>
            <w:r>
              <w:rPr>
                <w:rFonts w:ascii="Arial Narrow" w:hAnsi="Arial Narrow" w:cs="Arial"/>
                <w:sz w:val="20"/>
              </w:rPr>
              <w:t>1</w:t>
            </w:r>
            <w:r w:rsidR="001F613B">
              <w:rPr>
                <w:rFonts w:ascii="Arial Narrow" w:hAnsi="Arial Narrow" w:cs="Arial"/>
                <w:sz w:val="20"/>
              </w:rPr>
              <w:t>4</w:t>
            </w:r>
            <w:r>
              <w:rPr>
                <w:rFonts w:ascii="Arial Narrow" w:hAnsi="Arial Narrow" w:cs="Arial"/>
                <w:sz w:val="20"/>
              </w:rPr>
              <w:t>,</w:t>
            </w:r>
            <w:r w:rsidR="001F613B">
              <w:rPr>
                <w:rFonts w:ascii="Arial Narrow" w:hAnsi="Arial Narrow" w:cs="Arial"/>
                <w:sz w:val="20"/>
              </w:rPr>
              <w:t>3</w:t>
            </w:r>
          </w:p>
        </w:tc>
      </w:tr>
      <w:tr>
        <w:tblPrEx>
          <w:tblW w:w="0" w:type="auto"/>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0E060D">
            <w:pPr>
              <w:jc w:val="both"/>
              <w:rPr>
                <w:rFonts w:ascii="Arial Narrow" w:hAnsi="Arial Narrow" w:cs="Arial"/>
                <w:sz w:val="20"/>
              </w:rPr>
            </w:pPr>
            <w:r>
              <w:rPr>
                <w:rFonts w:ascii="Arial Narrow" w:hAnsi="Arial Narrow" w:cs="Arial"/>
                <w:sz w:val="20"/>
              </w:rPr>
              <w:t>Medziročná zmena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sidR="001F613B">
              <w:rPr>
                <w:rFonts w:ascii="Arial Narrow" w:hAnsi="Arial Narrow" w:cs="Arial"/>
                <w:sz w:val="20"/>
              </w:rPr>
              <w:t>11,8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sidR="007F173E">
              <w:rPr>
                <w:rFonts w:ascii="Arial Narrow" w:hAnsi="Arial Narrow" w:cs="Arial"/>
                <w:sz w:val="20"/>
              </w:rPr>
              <w:t>5</w:t>
            </w:r>
            <w:r>
              <w:rPr>
                <w:rFonts w:ascii="Arial Narrow" w:hAnsi="Arial Narrow" w:cs="Arial"/>
                <w:sz w:val="20"/>
              </w:rPr>
              <w:t>,</w:t>
            </w:r>
            <w:r w:rsidR="007F173E">
              <w:rPr>
                <w:rFonts w:ascii="Arial Narrow" w:hAnsi="Arial Narrow" w:cs="Arial"/>
                <w:sz w:val="20"/>
              </w:rPr>
              <w:t>0</w:t>
            </w:r>
          </w:p>
        </w:tc>
        <w:tc>
          <w:tcPr>
            <w:tcW w:w="11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4,</w:t>
            </w:r>
            <w:r w:rsidR="007F173E">
              <w:rPr>
                <w:rFonts w:ascii="Arial Narrow" w:hAnsi="Arial Narrow" w:cs="Arial"/>
                <w:sz w:val="20"/>
              </w:rPr>
              <w:t>2</w:t>
            </w:r>
          </w:p>
        </w:tc>
      </w:tr>
      <w:tr>
        <w:tblPrEx>
          <w:tblW w:w="0" w:type="auto"/>
        </w:tblPrEx>
        <w:trPr>
          <w:trHeight w:hRule="auto" w:val="0"/>
        </w:trPr>
        <w:tc>
          <w:tcPr>
            <w:tcW w:w="43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0E060D">
            <w:pPr>
              <w:jc w:val="both"/>
              <w:rPr>
                <w:rFonts w:ascii="Arial Narrow" w:hAnsi="Arial Narrow" w:cs="Arial"/>
                <w:sz w:val="20"/>
              </w:rPr>
            </w:pPr>
            <w:r>
              <w:rPr>
                <w:rFonts w:ascii="Arial Narrow" w:hAnsi="Arial Narrow" w:cs="Arial"/>
                <w:sz w:val="20"/>
              </w:rPr>
              <w:t>Inflácia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4,</w:t>
            </w:r>
            <w:r w:rsidR="00362A93">
              <w:rPr>
                <w:rFonts w:ascii="Arial Narrow" w:hAnsi="Arial Narrow" w:cs="Arial"/>
                <w:sz w:val="20"/>
              </w:rPr>
              <w:t>4</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sidR="00362A93">
              <w:rPr>
                <w:rFonts w:ascii="Arial Narrow" w:hAnsi="Arial Narrow" w:cs="Arial"/>
                <w:sz w:val="20"/>
              </w:rPr>
              <w:t>4</w:t>
            </w:r>
            <w:r>
              <w:rPr>
                <w:rFonts w:ascii="Arial Narrow" w:hAnsi="Arial Narrow" w:cs="Arial"/>
                <w:sz w:val="20"/>
              </w:rPr>
              <w:t>,</w:t>
            </w:r>
            <w:r w:rsidR="00362A93">
              <w:rPr>
                <w:rFonts w:ascii="Arial Narrow" w:hAnsi="Arial Narrow" w:cs="Arial"/>
                <w:sz w:val="20"/>
              </w:rPr>
              <w:t>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3,</w:t>
            </w:r>
            <w:r w:rsidR="00362A93">
              <w:rPr>
                <w:rFonts w:ascii="Arial Narrow" w:hAnsi="Arial Narrow" w:cs="Arial"/>
                <w:sz w:val="20"/>
              </w:rPr>
              <w:t>5</w:t>
            </w:r>
          </w:p>
        </w:tc>
        <w:tc>
          <w:tcPr>
            <w:tcW w:w="11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E060D" w:rsidP="00734EED">
            <w:pPr>
              <w:jc w:val="right"/>
              <w:rPr>
                <w:rFonts w:ascii="Arial Narrow" w:hAnsi="Arial Narrow" w:cs="Arial"/>
                <w:sz w:val="20"/>
              </w:rPr>
            </w:pPr>
            <w:r>
              <w:rPr>
                <w:rFonts w:ascii="Arial Narrow" w:hAnsi="Arial Narrow" w:cs="Arial"/>
                <w:sz w:val="20"/>
              </w:rPr>
              <w:t>3,</w:t>
            </w:r>
            <w:r w:rsidR="00362A93">
              <w:rPr>
                <w:rFonts w:ascii="Arial Narrow" w:hAnsi="Arial Narrow" w:cs="Arial"/>
                <w:sz w:val="20"/>
              </w:rPr>
              <w:t>6</w:t>
            </w:r>
          </w:p>
        </w:tc>
      </w:tr>
    </w:tbl>
    <w:tbl>
      <w:tblPr>
        <w:tblW w:w="9540" w:type="dxa"/>
        <w:tblInd w:w="55" w:type="dxa"/>
        <w:tblCellMar>
          <w:left w:w="70" w:type="dxa"/>
          <w:right w:w="70" w:type="dxa"/>
        </w:tblCellMar>
      </w:tblPr>
      <w:tblGrid>
        <w:gridCol w:w="360"/>
        <w:gridCol w:w="3980"/>
        <w:gridCol w:w="1300"/>
        <w:gridCol w:w="1300"/>
        <w:gridCol w:w="1300"/>
        <w:gridCol w:w="1300"/>
      </w:tblGrid>
      <w:tr>
        <w:tblPrEx>
          <w:tblW w:w="9540" w:type="dxa"/>
          <w:tblInd w:w="55" w:type="dxa"/>
          <w:tblCellMar>
            <w:left w:w="70" w:type="dxa"/>
            <w:right w:w="70" w:type="dxa"/>
          </w:tblCellMar>
        </w:tblPrEx>
        <w:trPr>
          <w:trHeight w:val="402"/>
        </w:trPr>
        <w:tc>
          <w:tcPr>
            <w:tcW w:w="9540" w:type="dxa"/>
            <w:gridSpan w:val="6"/>
            <w:tcBorders>
              <w:top w:val="nil"/>
              <w:left w:val="nil"/>
              <w:bottom w:val="nil"/>
              <w:right w:val="nil"/>
              <w:tl2br w:val="nil"/>
              <w:tr2bl w:val="nil"/>
            </w:tcBorders>
            <w:textDirection w:val="lrTb"/>
            <w:vAlign w:val="center"/>
          </w:tcPr>
          <w:p w:rsidR="000E060D" w:rsidP="000E060D">
            <w:pPr>
              <w:jc w:val="center"/>
              <w:rPr>
                <w:rFonts w:ascii="Arial Narrow" w:hAnsi="Arial Narrow" w:cs="Times New Roman"/>
                <w:b/>
                <w:szCs w:val="24"/>
              </w:rPr>
            </w:pPr>
          </w:p>
          <w:p w:rsidR="000E060D" w:rsidP="000E060D">
            <w:pPr>
              <w:jc w:val="center"/>
              <w:rPr>
                <w:rFonts w:ascii="Arial Narrow" w:hAnsi="Arial Narrow" w:cs="Times New Roman"/>
                <w:b/>
                <w:szCs w:val="24"/>
              </w:rPr>
            </w:pPr>
          </w:p>
          <w:p w:rsidR="008D6382" w:rsidP="000E060D">
            <w:pPr>
              <w:jc w:val="center"/>
              <w:rPr>
                <w:rFonts w:ascii="Arial Narrow" w:hAnsi="Arial Narrow" w:cs="Times New Roman"/>
                <w:b/>
                <w:szCs w:val="24"/>
              </w:rPr>
            </w:pPr>
          </w:p>
          <w:p w:rsidR="008D6382" w:rsidP="000E060D">
            <w:pPr>
              <w:jc w:val="center"/>
              <w:rPr>
                <w:rFonts w:ascii="Arial Narrow" w:hAnsi="Arial Narrow" w:cs="Times New Roman"/>
                <w:b/>
                <w:szCs w:val="24"/>
              </w:rPr>
            </w:pPr>
          </w:p>
          <w:p w:rsidR="008D6382" w:rsidP="000E060D">
            <w:pPr>
              <w:jc w:val="center"/>
              <w:rPr>
                <w:rFonts w:ascii="Arial Narrow" w:hAnsi="Arial Narrow" w:cs="Times New Roman"/>
                <w:b/>
                <w:szCs w:val="24"/>
              </w:rPr>
            </w:pPr>
          </w:p>
          <w:p w:rsidR="008D6382" w:rsidP="000E060D">
            <w:pPr>
              <w:jc w:val="center"/>
              <w:rPr>
                <w:rFonts w:ascii="Arial Narrow" w:hAnsi="Arial Narrow" w:cs="Times New Roman"/>
                <w:b/>
                <w:szCs w:val="24"/>
              </w:rPr>
            </w:pPr>
          </w:p>
          <w:p w:rsidR="000E060D" w:rsidP="000E060D">
            <w:pPr>
              <w:jc w:val="center"/>
              <w:rPr>
                <w:rFonts w:ascii="Arial Narrow" w:hAnsi="Arial Narrow" w:cs="Times New Roman"/>
                <w:b/>
                <w:szCs w:val="24"/>
              </w:rPr>
            </w:pPr>
          </w:p>
          <w:p w:rsidR="000E060D" w:rsidRPr="00E37867" w:rsidP="000E060D">
            <w:pPr>
              <w:jc w:val="center"/>
              <w:rPr>
                <w:rFonts w:ascii="Arial Narrow" w:hAnsi="Arial Narrow" w:cs="Times New Roman"/>
                <w:b/>
                <w:szCs w:val="24"/>
              </w:rPr>
            </w:pPr>
            <w:r w:rsidRPr="00E37867">
              <w:rPr>
                <w:rFonts w:ascii="Arial Narrow" w:hAnsi="Arial Narrow" w:cs="Times New Roman"/>
                <w:b/>
                <w:szCs w:val="24"/>
              </w:rPr>
              <w:t>Výdavky štátneho rozpočtu na roky 2009</w:t>
            </w:r>
            <w:r w:rsidR="003F416B">
              <w:rPr>
                <w:rFonts w:ascii="Arial Narrow" w:hAnsi="Arial Narrow" w:cs="Times New Roman"/>
                <w:b/>
                <w:szCs w:val="24"/>
              </w:rPr>
              <w:t xml:space="preserve"> až </w:t>
            </w:r>
            <w:r w:rsidRPr="00E37867">
              <w:rPr>
                <w:rFonts w:ascii="Arial Narrow" w:hAnsi="Arial Narrow" w:cs="Times New Roman"/>
                <w:b/>
                <w:szCs w:val="24"/>
              </w:rPr>
              <w:t>2011</w:t>
            </w:r>
          </w:p>
        </w:tc>
      </w:tr>
      <w:tr>
        <w:tblPrEx>
          <w:tblW w:w="9540" w:type="dxa"/>
          <w:tblInd w:w="55" w:type="dxa"/>
          <w:tblCellMar>
            <w:left w:w="70" w:type="dxa"/>
            <w:right w:w="70" w:type="dxa"/>
          </w:tblCellMar>
        </w:tblPrEx>
        <w:trPr>
          <w:trHeight w:val="259"/>
        </w:trPr>
        <w:tc>
          <w:tcPr>
            <w:tcW w:w="9540" w:type="dxa"/>
            <w:gridSpan w:val="6"/>
            <w:tcBorders>
              <w:top w:val="nil"/>
              <w:left w:val="nil"/>
              <w:bottom w:val="nil"/>
              <w:right w:val="nil"/>
              <w:tl2br w:val="nil"/>
              <w:tr2bl w:val="nil"/>
            </w:tcBorders>
            <w:textDirection w:val="lrTb"/>
            <w:vAlign w:val="center"/>
          </w:tcPr>
          <w:p w:rsidR="000E060D"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 xml:space="preserve">(v tis. </w:t>
            </w:r>
            <w:r>
              <w:rPr>
                <w:rFonts w:ascii="Arial" w:hAnsi="Arial" w:cs="Arial"/>
                <w:color w:val="000000"/>
                <w:sz w:val="16"/>
                <w:szCs w:val="16"/>
                <w:lang w:eastAsia="sk-SK"/>
              </w:rPr>
              <w:t>eur</w:t>
            </w:r>
            <w:r w:rsidRPr="00CF7377">
              <w:rPr>
                <w:rFonts w:ascii="Arial" w:hAnsi="Arial" w:cs="Arial"/>
                <w:color w:val="000000"/>
                <w:sz w:val="16"/>
                <w:szCs w:val="16"/>
                <w:lang w:eastAsia="sk-SK"/>
              </w:rPr>
              <w:t>)</w:t>
            </w:r>
          </w:p>
        </w:tc>
      </w:tr>
      <w:tr>
        <w:tblPrEx>
          <w:tblW w:w="9540" w:type="dxa"/>
          <w:tblInd w:w="55" w:type="dxa"/>
          <w:tblCellMar>
            <w:left w:w="70" w:type="dxa"/>
            <w:right w:w="70" w:type="dxa"/>
          </w:tblCellMar>
        </w:tblPrEx>
        <w:trPr>
          <w:trHeight w:val="282"/>
        </w:trPr>
        <w:tc>
          <w:tcPr>
            <w:tcW w:w="4340" w:type="dxa"/>
            <w:gridSpan w:val="2"/>
            <w:vMerge w:val="restart"/>
            <w:tcBorders>
              <w:top w:val="single" w:sz="8" w:space="0" w:color="auto"/>
              <w:left w:val="single" w:sz="8" w:space="0" w:color="auto"/>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Kapitola</w:t>
            </w:r>
          </w:p>
        </w:tc>
        <w:tc>
          <w:tcPr>
            <w:tcW w:w="1300" w:type="dxa"/>
            <w:tcBorders>
              <w:top w:val="single" w:sz="8" w:space="0" w:color="auto"/>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2008</w:t>
            </w:r>
          </w:p>
        </w:tc>
        <w:tc>
          <w:tcPr>
            <w:tcW w:w="1300" w:type="dxa"/>
            <w:tcBorders>
              <w:top w:val="single" w:sz="8" w:space="0" w:color="auto"/>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2009</w:t>
            </w:r>
          </w:p>
        </w:tc>
        <w:tc>
          <w:tcPr>
            <w:tcW w:w="1300" w:type="dxa"/>
            <w:tcBorders>
              <w:top w:val="single" w:sz="8" w:space="0" w:color="auto"/>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2010</w:t>
            </w:r>
          </w:p>
        </w:tc>
        <w:tc>
          <w:tcPr>
            <w:tcW w:w="1300" w:type="dxa"/>
            <w:tcBorders>
              <w:top w:val="single" w:sz="8" w:space="0" w:color="auto"/>
              <w:left w:val="nil"/>
              <w:bottom w:val="single" w:sz="4" w:space="0" w:color="auto"/>
              <w:right w:val="single" w:sz="8"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2011</w:t>
            </w:r>
          </w:p>
        </w:tc>
      </w:tr>
      <w:tr>
        <w:tblPrEx>
          <w:tblW w:w="9540" w:type="dxa"/>
          <w:tblInd w:w="55" w:type="dxa"/>
          <w:tblCellMar>
            <w:left w:w="70" w:type="dxa"/>
            <w:right w:w="70" w:type="dxa"/>
          </w:tblCellMar>
        </w:tblPrEx>
        <w:trPr>
          <w:trHeight w:val="1002"/>
        </w:trPr>
        <w:tc>
          <w:tcPr>
            <w:tcW w:w="4340" w:type="dxa"/>
            <w:gridSpan w:val="2"/>
            <w:vMerge/>
            <w:tcBorders>
              <w:top w:val="single" w:sz="8" w:space="0" w:color="auto"/>
              <w:left w:val="single" w:sz="8" w:space="0" w:color="auto"/>
              <w:bottom w:val="single" w:sz="4" w:space="0" w:color="auto"/>
              <w:right w:val="single" w:sz="4" w:space="0" w:color="auto"/>
              <w:tl2br w:val="nil"/>
              <w:tr2bl w:val="nil"/>
            </w:tcBorders>
            <w:textDirection w:val="lrTb"/>
            <w:vAlign w:val="center"/>
          </w:tcPr>
          <w:p w:rsidR="000E060D" w:rsidRPr="00CF7377" w:rsidP="000E060D">
            <w:pPr>
              <w:rPr>
                <w:rFonts w:ascii="Arial" w:hAnsi="Arial" w:cs="Arial"/>
                <w:b/>
                <w:bCs/>
                <w:color w:val="000000"/>
                <w:sz w:val="16"/>
                <w:szCs w:val="16"/>
                <w:lang w:eastAsia="sk-SK"/>
              </w:rPr>
            </w:pP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Výdavky spolu</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Výdavky spolu</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top"/>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Výdavky spolu</w:t>
            </w:r>
          </w:p>
        </w:tc>
        <w:tc>
          <w:tcPr>
            <w:tcW w:w="1300" w:type="dxa"/>
            <w:tcBorders>
              <w:top w:val="nil"/>
              <w:left w:val="nil"/>
              <w:bottom w:val="single" w:sz="4" w:space="0" w:color="auto"/>
              <w:right w:val="single" w:sz="8" w:space="0" w:color="auto"/>
              <w:tl2br w:val="nil"/>
              <w:tr2bl w:val="nil"/>
            </w:tcBorders>
            <w:shd w:val="clear" w:color="auto" w:fill="C0C0C0"/>
            <w:textDirection w:val="lrTb"/>
            <w:vAlign w:val="top"/>
          </w:tcPr>
          <w:p w:rsidR="000E060D" w:rsidRPr="00CF7377" w:rsidP="000E060D">
            <w:pPr>
              <w:jc w:val="center"/>
              <w:rPr>
                <w:rFonts w:ascii="Arial" w:hAnsi="Arial" w:cs="Arial"/>
                <w:b/>
                <w:bCs/>
                <w:color w:val="000000"/>
                <w:sz w:val="16"/>
                <w:szCs w:val="16"/>
                <w:lang w:eastAsia="sk-SK"/>
              </w:rPr>
            </w:pPr>
            <w:r w:rsidRPr="00CF7377">
              <w:rPr>
                <w:rFonts w:ascii="Arial" w:hAnsi="Arial" w:cs="Arial"/>
                <w:b/>
                <w:bCs/>
                <w:color w:val="000000"/>
                <w:sz w:val="16"/>
                <w:szCs w:val="16"/>
                <w:lang w:eastAsia="sk-SK"/>
              </w:rPr>
              <w:t>Výdavky spolu</w:t>
            </w:r>
          </w:p>
        </w:tc>
      </w:tr>
      <w:tr>
        <w:tblPrEx>
          <w:tblW w:w="9540" w:type="dxa"/>
          <w:tblInd w:w="55" w:type="dxa"/>
          <w:tblCellMar>
            <w:left w:w="70" w:type="dxa"/>
            <w:right w:w="70" w:type="dxa"/>
          </w:tblCellMar>
        </w:tblPrEx>
        <w:trPr>
          <w:trHeight w:val="282"/>
        </w:trPr>
        <w:tc>
          <w:tcPr>
            <w:tcW w:w="360" w:type="dxa"/>
            <w:tcBorders>
              <w:top w:val="nil"/>
              <w:left w:val="single" w:sz="8" w:space="0" w:color="auto"/>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a</w:t>
            </w:r>
          </w:p>
        </w:tc>
        <w:tc>
          <w:tcPr>
            <w:tcW w:w="3980" w:type="dxa"/>
            <w:tcBorders>
              <w:top w:val="nil"/>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b</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1</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2</w:t>
            </w:r>
          </w:p>
        </w:tc>
        <w:tc>
          <w:tcPr>
            <w:tcW w:w="1300" w:type="dxa"/>
            <w:tcBorders>
              <w:top w:val="nil"/>
              <w:left w:val="nil"/>
              <w:bottom w:val="single" w:sz="4" w:space="0" w:color="auto"/>
              <w:right w:val="single" w:sz="4"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3</w:t>
            </w:r>
          </w:p>
        </w:tc>
        <w:tc>
          <w:tcPr>
            <w:tcW w:w="1300" w:type="dxa"/>
            <w:tcBorders>
              <w:top w:val="nil"/>
              <w:left w:val="nil"/>
              <w:bottom w:val="single" w:sz="4" w:space="0" w:color="auto"/>
              <w:right w:val="single" w:sz="8" w:space="0" w:color="auto"/>
              <w:tl2br w:val="nil"/>
              <w:tr2bl w:val="nil"/>
            </w:tcBorders>
            <w:shd w:val="clear" w:color="auto" w:fill="C0C0C0"/>
            <w:textDirection w:val="lrTb"/>
            <w:vAlign w:val="center"/>
          </w:tcPr>
          <w:p w:rsidR="000E060D" w:rsidRPr="00CF7377" w:rsidP="000E060D">
            <w:pPr>
              <w:jc w:val="center"/>
              <w:rPr>
                <w:rFonts w:ascii="Arial" w:hAnsi="Arial" w:cs="Arial"/>
                <w:b/>
                <w:bCs/>
                <w:color w:val="000000"/>
                <w:sz w:val="14"/>
                <w:szCs w:val="14"/>
                <w:lang w:eastAsia="sk-SK"/>
              </w:rPr>
            </w:pPr>
            <w:r w:rsidRPr="00CF7377">
              <w:rPr>
                <w:rFonts w:ascii="Arial" w:hAnsi="Arial" w:cs="Arial"/>
                <w:b/>
                <w:bCs/>
                <w:color w:val="000000"/>
                <w:sz w:val="14"/>
                <w:szCs w:val="14"/>
                <w:lang w:eastAsia="sk-SK"/>
              </w:rPr>
              <w:t>4</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 xml:space="preserve">Kancelária </w:t>
            </w:r>
            <w:r w:rsidRPr="00CF7377">
              <w:rPr>
                <w:rFonts w:ascii="Arial" w:hAnsi="Arial" w:cs="Arial"/>
                <w:color w:val="000000"/>
                <w:sz w:val="16"/>
                <w:szCs w:val="16"/>
                <w:lang w:eastAsia="sk-SK"/>
              </w:rPr>
              <w:t>Národnej rady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39 400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42 370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28 477</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27 762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02</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Kancelária prezidenta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4 429</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3 895</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4 006</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4 129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03</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vlády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32 115</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w:t>
            </w:r>
            <w:r>
              <w:rPr>
                <w:rFonts w:ascii="Arial" w:hAnsi="Arial" w:cs="Arial"/>
                <w:color w:val="000000"/>
                <w:sz w:val="16"/>
                <w:szCs w:val="16"/>
                <w:lang w:eastAsia="sk-SK"/>
              </w:rPr>
              <w:t>3 731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w:t>
            </w:r>
            <w:r>
              <w:rPr>
                <w:rFonts w:ascii="Arial" w:hAnsi="Arial" w:cs="Arial"/>
                <w:color w:val="000000"/>
                <w:sz w:val="16"/>
                <w:szCs w:val="16"/>
                <w:lang w:eastAsia="sk-SK"/>
              </w:rPr>
              <w:t>2</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128</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w:t>
            </w:r>
            <w:r w:rsidR="00CE1AB8">
              <w:rPr>
                <w:rFonts w:ascii="Arial" w:hAnsi="Arial" w:cs="Arial"/>
                <w:color w:val="000000"/>
                <w:sz w:val="16"/>
                <w:szCs w:val="16"/>
                <w:lang w:eastAsia="sk-SK"/>
              </w:rPr>
              <w:t>2</w:t>
            </w:r>
            <w:r w:rsidRPr="00CF7377">
              <w:rPr>
                <w:rFonts w:ascii="Arial" w:hAnsi="Arial" w:cs="Arial"/>
                <w:color w:val="000000"/>
                <w:sz w:val="16"/>
                <w:szCs w:val="16"/>
                <w:lang w:eastAsia="sk-SK"/>
              </w:rPr>
              <w:t xml:space="preserve"> 5</w:t>
            </w:r>
            <w:r w:rsidR="00CE1AB8">
              <w:rPr>
                <w:rFonts w:ascii="Arial" w:hAnsi="Arial" w:cs="Arial"/>
                <w:color w:val="000000"/>
                <w:sz w:val="16"/>
                <w:szCs w:val="16"/>
                <w:lang w:eastAsia="sk-SK"/>
              </w:rPr>
              <w:t>59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05</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Kancelária Ústavného súdu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3 693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5 669</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3 165</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3 323</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06</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Najvyšší súd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7 680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7 </w:t>
            </w:r>
            <w:r>
              <w:rPr>
                <w:rFonts w:ascii="Arial" w:hAnsi="Arial" w:cs="Arial"/>
                <w:color w:val="000000"/>
                <w:sz w:val="16"/>
                <w:szCs w:val="16"/>
                <w:lang w:eastAsia="sk-SK"/>
              </w:rPr>
              <w:t>522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8 065</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8 611</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07</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Generálna prokuratúra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54 760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59 018</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61 701</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65 799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08</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Najvyšší kontrolný úrad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7 357</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8 172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8 311</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8 60</w:t>
            </w:r>
            <w:r w:rsidR="000B43D3">
              <w:rPr>
                <w:rFonts w:ascii="Arial" w:hAnsi="Arial" w:cs="Arial"/>
                <w:color w:val="000000"/>
                <w:sz w:val="16"/>
                <w:szCs w:val="16"/>
                <w:lang w:eastAsia="sk-SK"/>
              </w:rPr>
              <w:t>4</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09</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Slovenská inform</w:t>
            </w:r>
            <w:r w:rsidRPr="00CF7377">
              <w:rPr>
                <w:rFonts w:ascii="Arial" w:hAnsi="Arial" w:cs="Arial"/>
                <w:color w:val="000000"/>
                <w:sz w:val="16"/>
                <w:szCs w:val="16"/>
                <w:lang w:eastAsia="sk-SK"/>
              </w:rPr>
              <w:t>ačná služba</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39 596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42 386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46 307</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47 595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10</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zahraničných vecí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117 567</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131</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754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115 543</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118 957</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obrany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1 035 522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w:t>
            </w:r>
            <w:r>
              <w:rPr>
                <w:rFonts w:ascii="Arial" w:hAnsi="Arial" w:cs="Arial"/>
                <w:color w:val="000000"/>
                <w:sz w:val="16"/>
                <w:szCs w:val="16"/>
                <w:lang w:eastAsia="sk-SK"/>
              </w:rPr>
              <w:t> </w:t>
            </w:r>
            <w:r w:rsidRPr="00CF7377">
              <w:rPr>
                <w:rFonts w:ascii="Arial" w:hAnsi="Arial" w:cs="Arial"/>
                <w:color w:val="000000"/>
                <w:sz w:val="16"/>
                <w:szCs w:val="16"/>
                <w:lang w:eastAsia="sk-SK"/>
              </w:rPr>
              <w:t>0</w:t>
            </w:r>
            <w:r>
              <w:rPr>
                <w:rFonts w:ascii="Arial" w:hAnsi="Arial" w:cs="Arial"/>
                <w:color w:val="000000"/>
                <w:sz w:val="16"/>
                <w:szCs w:val="16"/>
                <w:lang w:eastAsia="sk-SK"/>
              </w:rPr>
              <w:t>45 712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1 126 081</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1 126 122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12</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vnútra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839 018</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928 813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780 04</w:t>
            </w:r>
            <w:r w:rsidR="00CE1AB8">
              <w:rPr>
                <w:rFonts w:ascii="Arial" w:hAnsi="Arial" w:cs="Arial"/>
                <w:color w:val="000000"/>
                <w:sz w:val="16"/>
                <w:szCs w:val="16"/>
                <w:lang w:eastAsia="sk-SK"/>
              </w:rPr>
              <w:t>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788 401</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13</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spr</w:t>
            </w:r>
            <w:r w:rsidRPr="00CF7377">
              <w:rPr>
                <w:rFonts w:ascii="Arial" w:hAnsi="Arial" w:cs="Arial"/>
                <w:color w:val="000000"/>
                <w:sz w:val="16"/>
                <w:szCs w:val="16"/>
                <w:lang w:eastAsia="sk-SK"/>
              </w:rPr>
              <w:t>avodlivosti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257 121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w:t>
            </w:r>
            <w:r>
              <w:rPr>
                <w:rFonts w:ascii="Arial" w:hAnsi="Arial" w:cs="Arial"/>
                <w:color w:val="000000"/>
                <w:sz w:val="16"/>
                <w:szCs w:val="16"/>
                <w:lang w:eastAsia="sk-SK"/>
              </w:rPr>
              <w:t>86 018</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272 515</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284 059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15</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financií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357 362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468 936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534 089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588 452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18</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životného prostredia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259 858</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323 091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289 975</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313 291</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20</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školstva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1 842 070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2</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170</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268</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2 368 698</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2 468 195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w:t>
            </w:r>
            <w:r w:rsidRPr="00CF7377">
              <w:rPr>
                <w:rFonts w:ascii="Arial" w:hAnsi="Arial" w:cs="Arial"/>
                <w:color w:val="000000"/>
                <w:sz w:val="16"/>
                <w:szCs w:val="16"/>
                <w:lang w:eastAsia="sk-SK"/>
              </w:rPr>
              <w:t>nisterstvo zdravotníctva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1 126 090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w:t>
            </w:r>
            <w:r>
              <w:rPr>
                <w:rFonts w:ascii="Arial" w:hAnsi="Arial" w:cs="Arial"/>
                <w:color w:val="000000"/>
                <w:sz w:val="16"/>
                <w:szCs w:val="16"/>
                <w:lang w:eastAsia="sk-SK"/>
              </w:rPr>
              <w:t> 305 409</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1 330 </w:t>
            </w:r>
            <w:r w:rsidR="00593F1F">
              <w:rPr>
                <w:rFonts w:ascii="Arial" w:hAnsi="Arial" w:cs="Arial"/>
                <w:color w:val="000000"/>
                <w:sz w:val="16"/>
                <w:szCs w:val="16"/>
                <w:lang w:eastAsia="sk-SK"/>
              </w:rPr>
              <w:t>488</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1 435 </w:t>
            </w:r>
            <w:r w:rsidR="00CE1AB8">
              <w:rPr>
                <w:rFonts w:ascii="Arial" w:hAnsi="Arial" w:cs="Arial"/>
                <w:color w:val="000000"/>
                <w:sz w:val="16"/>
                <w:szCs w:val="16"/>
                <w:lang w:eastAsia="sk-SK"/>
              </w:rPr>
              <w:t>39</w:t>
            </w:r>
            <w:r w:rsidR="000B43D3">
              <w:rPr>
                <w:rFonts w:ascii="Arial" w:hAnsi="Arial" w:cs="Arial"/>
                <w:color w:val="000000"/>
                <w:sz w:val="16"/>
                <w:szCs w:val="16"/>
                <w:lang w:eastAsia="sk-SK"/>
              </w:rPr>
              <w:t>0</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22</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práce, sociálnych vecí a rodiny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1 756 897</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w:t>
            </w:r>
            <w:r>
              <w:rPr>
                <w:rFonts w:ascii="Arial" w:hAnsi="Arial" w:cs="Arial"/>
                <w:color w:val="000000"/>
                <w:sz w:val="16"/>
                <w:szCs w:val="16"/>
                <w:lang w:eastAsia="sk-SK"/>
              </w:rPr>
              <w:t> 889 590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1 763 774</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1 844 469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24</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kultúry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169 773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w:t>
            </w:r>
            <w:r>
              <w:rPr>
                <w:rFonts w:ascii="Arial" w:hAnsi="Arial" w:cs="Arial"/>
                <w:color w:val="000000"/>
                <w:sz w:val="16"/>
                <w:szCs w:val="16"/>
                <w:lang w:eastAsia="sk-SK"/>
              </w:rPr>
              <w:t>88 302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124 379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124 946</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26</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hospodárstva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265 412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26</w:t>
            </w:r>
            <w:r>
              <w:rPr>
                <w:rFonts w:ascii="Arial" w:hAnsi="Arial" w:cs="Arial"/>
                <w:color w:val="000000"/>
                <w:sz w:val="16"/>
                <w:szCs w:val="16"/>
                <w:lang w:eastAsia="sk-SK"/>
              </w:rPr>
              <w:t>8 831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294 051</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260 415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27</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pôdohospodárstva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965 642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9</w:t>
            </w:r>
            <w:r>
              <w:rPr>
                <w:rFonts w:ascii="Arial" w:hAnsi="Arial" w:cs="Arial"/>
                <w:color w:val="000000"/>
                <w:sz w:val="16"/>
                <w:szCs w:val="16"/>
                <w:lang w:eastAsia="sk-SK"/>
              </w:rPr>
              <w:t>49 512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843 875</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859 270</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28</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výstavby a regionálneho rozvoja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365 324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w:t>
            </w:r>
            <w:r>
              <w:rPr>
                <w:rFonts w:ascii="Arial" w:hAnsi="Arial" w:cs="Arial"/>
                <w:color w:val="000000"/>
                <w:sz w:val="16"/>
                <w:szCs w:val="16"/>
                <w:lang w:eastAsia="sk-SK"/>
              </w:rPr>
              <w:t>82 195</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414 497</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480 559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29</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Ministerstvo dopravy, pôšt a telekomunikácií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1 027 286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w:t>
            </w:r>
            <w:r>
              <w:rPr>
                <w:rFonts w:ascii="Arial" w:hAnsi="Arial" w:cs="Arial"/>
                <w:color w:val="000000"/>
                <w:sz w:val="16"/>
                <w:szCs w:val="16"/>
                <w:lang w:eastAsia="sk-SK"/>
              </w:rPr>
              <w:t> 377 590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1 626 529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1 672 593</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geodézie, kartografie a katastra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41 536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41 </w:t>
            </w:r>
            <w:r>
              <w:rPr>
                <w:rFonts w:ascii="Arial" w:hAnsi="Arial" w:cs="Arial"/>
                <w:color w:val="000000"/>
                <w:sz w:val="16"/>
                <w:szCs w:val="16"/>
                <w:lang w:eastAsia="sk-SK"/>
              </w:rPr>
              <w:t>814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38 974</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40 145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32</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Štatistický úrad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17 373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25 831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30 796</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24 451</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33</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pre verejné obstarávanie</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2 811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3</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537</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3 380</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3 473</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36</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jadrového dozoru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5 011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5 </w:t>
            </w:r>
            <w:r>
              <w:rPr>
                <w:rFonts w:ascii="Arial" w:hAnsi="Arial" w:cs="Arial"/>
                <w:color w:val="000000"/>
                <w:sz w:val="16"/>
                <w:szCs w:val="16"/>
                <w:lang w:eastAsia="sk-SK"/>
              </w:rPr>
              <w:t>202</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5 259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5 392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37</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priemyselného vlastníctva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3 240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3 </w:t>
            </w:r>
            <w:r>
              <w:rPr>
                <w:rFonts w:ascii="Arial" w:hAnsi="Arial" w:cs="Arial"/>
                <w:color w:val="000000"/>
                <w:sz w:val="16"/>
                <w:szCs w:val="16"/>
                <w:lang w:eastAsia="sk-SK"/>
              </w:rPr>
              <w:t>439</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3 404</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3 43</w:t>
            </w:r>
            <w:r w:rsidR="000B43D3">
              <w:rPr>
                <w:rFonts w:ascii="Arial" w:hAnsi="Arial" w:cs="Arial"/>
                <w:color w:val="000000"/>
                <w:sz w:val="16"/>
                <w:szCs w:val="16"/>
                <w:lang w:eastAsia="sk-SK"/>
              </w:rPr>
              <w:t>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38</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Úrad pre normalizáciu, metrológiu a skúšobníctvo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7 011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7 </w:t>
            </w:r>
            <w:r>
              <w:rPr>
                <w:rFonts w:ascii="Arial" w:hAnsi="Arial" w:cs="Arial"/>
                <w:color w:val="000000"/>
                <w:sz w:val="16"/>
                <w:szCs w:val="16"/>
                <w:lang w:eastAsia="sk-SK"/>
              </w:rPr>
              <w:t>680</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7 822</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7 842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40</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Protimonopolný úrad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2 424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2 </w:t>
            </w:r>
            <w:r>
              <w:rPr>
                <w:rFonts w:ascii="Arial" w:hAnsi="Arial" w:cs="Arial"/>
                <w:color w:val="000000"/>
                <w:sz w:val="16"/>
                <w:szCs w:val="16"/>
                <w:lang w:eastAsia="sk-SK"/>
              </w:rPr>
              <w:t>494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2 549</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2 625</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41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Národný bezpečnostný úrad</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8 674</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9</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511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9 223</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9 502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42</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Správa štátnych hmotných rezerv SR</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21 259</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21 </w:t>
            </w:r>
            <w:r>
              <w:rPr>
                <w:rFonts w:ascii="Arial" w:hAnsi="Arial" w:cs="Arial"/>
                <w:color w:val="000000"/>
                <w:sz w:val="16"/>
                <w:szCs w:val="16"/>
                <w:lang w:eastAsia="sk-SK"/>
              </w:rPr>
              <w:t>703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22 160</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22 592</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48</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Všeobecná pokladničná správa</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1 877 235</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Pr>
                <w:rFonts w:ascii="Arial" w:hAnsi="Arial" w:cs="Arial"/>
                <w:color w:val="000000"/>
                <w:sz w:val="16"/>
                <w:szCs w:val="16"/>
                <w:lang w:eastAsia="sk-SK"/>
              </w:rPr>
              <w:t>2</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005</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066</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2 </w:t>
            </w:r>
            <w:r w:rsidR="00593F1F">
              <w:rPr>
                <w:rFonts w:ascii="Arial" w:hAnsi="Arial" w:cs="Arial"/>
                <w:color w:val="000000"/>
                <w:sz w:val="16"/>
                <w:szCs w:val="16"/>
                <w:lang w:eastAsia="sk-SK"/>
              </w:rPr>
              <w:t>561</w:t>
            </w:r>
            <w:r w:rsidRPr="00CF7377">
              <w:rPr>
                <w:rFonts w:ascii="Arial" w:hAnsi="Arial" w:cs="Arial"/>
                <w:color w:val="000000"/>
                <w:sz w:val="16"/>
                <w:szCs w:val="16"/>
                <w:lang w:eastAsia="sk-SK"/>
              </w:rPr>
              <w:t xml:space="preserve"> </w:t>
            </w:r>
            <w:r w:rsidR="00593F1F">
              <w:rPr>
                <w:rFonts w:ascii="Arial" w:hAnsi="Arial" w:cs="Arial"/>
                <w:color w:val="000000"/>
                <w:sz w:val="16"/>
                <w:szCs w:val="16"/>
                <w:lang w:eastAsia="sk-SK"/>
              </w:rPr>
              <w:t>408</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 xml:space="preserve">2 </w:t>
            </w:r>
            <w:r w:rsidR="00CE1AB8">
              <w:rPr>
                <w:rFonts w:ascii="Arial" w:hAnsi="Arial" w:cs="Arial"/>
                <w:color w:val="000000"/>
                <w:sz w:val="16"/>
                <w:szCs w:val="16"/>
                <w:lang w:eastAsia="sk-SK"/>
              </w:rPr>
              <w:t>702</w:t>
            </w:r>
            <w:r w:rsidRPr="00CF7377">
              <w:rPr>
                <w:rFonts w:ascii="Arial" w:hAnsi="Arial" w:cs="Arial"/>
                <w:color w:val="000000"/>
                <w:sz w:val="16"/>
                <w:szCs w:val="16"/>
                <w:lang w:eastAsia="sk-SK"/>
              </w:rPr>
              <w:t xml:space="preserve"> </w:t>
            </w:r>
            <w:r w:rsidR="00CE1AB8">
              <w:rPr>
                <w:rFonts w:ascii="Arial" w:hAnsi="Arial" w:cs="Arial"/>
                <w:color w:val="000000"/>
                <w:sz w:val="16"/>
                <w:szCs w:val="16"/>
                <w:lang w:eastAsia="sk-SK"/>
              </w:rPr>
              <w:t>420</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4" w:space="0" w:color="auto"/>
              <w:right w:val="single" w:sz="4" w:space="0" w:color="auto"/>
              <w:tl2br w:val="nil"/>
              <w:tr2bl w:val="nil"/>
            </w:tcBorders>
            <w:textDirection w:val="lrTb"/>
            <w:vAlign w:val="center"/>
          </w:tcPr>
          <w:p w:rsidR="00380C86" w:rsidRPr="00CF7377" w:rsidP="000E060D">
            <w:pPr>
              <w:jc w:val="center"/>
              <w:rPr>
                <w:rFonts w:ascii="Arial" w:hAnsi="Arial" w:cs="Arial"/>
                <w:color w:val="000000"/>
                <w:sz w:val="16"/>
                <w:szCs w:val="16"/>
                <w:lang w:eastAsia="sk-SK"/>
              </w:rPr>
            </w:pPr>
            <w:r w:rsidRPr="00CF7377">
              <w:rPr>
                <w:rFonts w:ascii="Arial" w:hAnsi="Arial" w:cs="Arial"/>
                <w:color w:val="000000"/>
                <w:sz w:val="16"/>
                <w:szCs w:val="16"/>
                <w:lang w:eastAsia="sk-SK"/>
              </w:rPr>
              <w:t>51</w:t>
            </w:r>
          </w:p>
        </w:tc>
        <w:tc>
          <w:tcPr>
            <w:tcW w:w="398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rPr>
                <w:rFonts w:ascii="Arial" w:hAnsi="Arial" w:cs="Arial"/>
                <w:color w:val="000000"/>
                <w:sz w:val="16"/>
                <w:szCs w:val="16"/>
                <w:lang w:eastAsia="sk-SK"/>
              </w:rPr>
            </w:pPr>
            <w:r w:rsidRPr="00CF7377">
              <w:rPr>
                <w:rFonts w:ascii="Arial" w:hAnsi="Arial" w:cs="Arial"/>
                <w:color w:val="000000"/>
                <w:sz w:val="16"/>
                <w:szCs w:val="16"/>
                <w:lang w:eastAsia="sk-SK"/>
              </w:rPr>
              <w:t>Slovenská akadémia vied</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60 881</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7C3604">
            <w:pPr>
              <w:jc w:val="right"/>
              <w:rPr>
                <w:rFonts w:ascii="Arial" w:hAnsi="Arial" w:cs="Arial"/>
                <w:color w:val="000000"/>
                <w:sz w:val="16"/>
                <w:szCs w:val="16"/>
                <w:lang w:eastAsia="sk-SK"/>
              </w:rPr>
            </w:pPr>
            <w:r w:rsidRPr="00CF7377">
              <w:rPr>
                <w:rFonts w:ascii="Arial" w:hAnsi="Arial" w:cs="Arial"/>
                <w:color w:val="000000"/>
                <w:sz w:val="16"/>
                <w:szCs w:val="16"/>
                <w:lang w:eastAsia="sk-SK"/>
              </w:rPr>
              <w:t>6</w:t>
            </w:r>
            <w:r>
              <w:rPr>
                <w:rFonts w:ascii="Arial" w:hAnsi="Arial" w:cs="Arial"/>
                <w:color w:val="000000"/>
                <w:sz w:val="16"/>
                <w:szCs w:val="16"/>
                <w:lang w:eastAsia="sk-SK"/>
              </w:rPr>
              <w:t>3</w:t>
            </w:r>
            <w:r w:rsidRPr="00CF7377">
              <w:rPr>
                <w:rFonts w:ascii="Arial" w:hAnsi="Arial" w:cs="Arial"/>
                <w:color w:val="000000"/>
                <w:sz w:val="16"/>
                <w:szCs w:val="16"/>
                <w:lang w:eastAsia="sk-SK"/>
              </w:rPr>
              <w:t xml:space="preserve"> </w:t>
            </w:r>
            <w:r>
              <w:rPr>
                <w:rFonts w:ascii="Arial" w:hAnsi="Arial" w:cs="Arial"/>
                <w:color w:val="000000"/>
                <w:sz w:val="16"/>
                <w:szCs w:val="16"/>
                <w:lang w:eastAsia="sk-SK"/>
              </w:rPr>
              <w:t>633</w:t>
            </w:r>
          </w:p>
        </w:tc>
        <w:tc>
          <w:tcPr>
            <w:tcW w:w="1300" w:type="dxa"/>
            <w:tcBorders>
              <w:top w:val="nil"/>
              <w:left w:val="nil"/>
              <w:bottom w:val="single" w:sz="4" w:space="0" w:color="auto"/>
              <w:right w:val="single" w:sz="4"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56 090</w:t>
            </w:r>
          </w:p>
        </w:tc>
        <w:tc>
          <w:tcPr>
            <w:tcW w:w="1300" w:type="dxa"/>
            <w:tcBorders>
              <w:top w:val="nil"/>
              <w:left w:val="nil"/>
              <w:bottom w:val="single" w:sz="4" w:space="0" w:color="auto"/>
              <w:right w:val="single" w:sz="8" w:space="0" w:color="auto"/>
              <w:tl2br w:val="nil"/>
              <w:tr2bl w:val="nil"/>
            </w:tcBorders>
            <w:textDirection w:val="lrTb"/>
            <w:vAlign w:val="center"/>
          </w:tcPr>
          <w:p w:rsidR="00380C86" w:rsidRPr="00CF7377" w:rsidP="000E060D">
            <w:pPr>
              <w:jc w:val="right"/>
              <w:rPr>
                <w:rFonts w:ascii="Arial" w:hAnsi="Arial" w:cs="Arial"/>
                <w:color w:val="000000"/>
                <w:sz w:val="16"/>
                <w:szCs w:val="16"/>
                <w:lang w:eastAsia="sk-SK"/>
              </w:rPr>
            </w:pPr>
            <w:r w:rsidRPr="00CF7377">
              <w:rPr>
                <w:rFonts w:ascii="Arial" w:hAnsi="Arial" w:cs="Arial"/>
                <w:color w:val="000000"/>
                <w:sz w:val="16"/>
                <w:szCs w:val="16"/>
                <w:lang w:eastAsia="sk-SK"/>
              </w:rPr>
              <w:t>57 719</w:t>
            </w:r>
          </w:p>
        </w:tc>
      </w:tr>
      <w:tr>
        <w:tblPrEx>
          <w:tblW w:w="9540" w:type="dxa"/>
          <w:tblInd w:w="55" w:type="dxa"/>
          <w:tblCellMar>
            <w:left w:w="70" w:type="dxa"/>
            <w:right w:w="70" w:type="dxa"/>
          </w:tblCellMar>
        </w:tblPrEx>
        <w:trPr>
          <w:trHeight w:val="240"/>
        </w:trPr>
        <w:tc>
          <w:tcPr>
            <w:tcW w:w="360" w:type="dxa"/>
            <w:tcBorders>
              <w:top w:val="nil"/>
              <w:left w:val="single" w:sz="8" w:space="0" w:color="auto"/>
              <w:bottom w:val="single" w:sz="8" w:space="0" w:color="auto"/>
              <w:right w:val="single" w:sz="4" w:space="0" w:color="auto"/>
              <w:tl2br w:val="nil"/>
              <w:tr2bl w:val="nil"/>
            </w:tcBorders>
            <w:shd w:val="clear" w:color="auto" w:fill="C0C0C0"/>
            <w:textDirection w:val="lrTb"/>
            <w:vAlign w:val="center"/>
          </w:tcPr>
          <w:p w:rsidR="00380C86" w:rsidRPr="00CF7377" w:rsidP="000E060D">
            <w:pPr>
              <w:rPr>
                <w:rFonts w:ascii="Arial" w:hAnsi="Arial" w:cs="Arial"/>
                <w:b/>
                <w:bCs/>
                <w:color w:val="000000"/>
                <w:sz w:val="16"/>
                <w:szCs w:val="16"/>
                <w:lang w:eastAsia="sk-SK"/>
              </w:rPr>
            </w:pPr>
            <w:r w:rsidRPr="00CF7377">
              <w:rPr>
                <w:rFonts w:ascii="Arial" w:hAnsi="Arial" w:cs="Arial"/>
                <w:b/>
                <w:bCs/>
                <w:color w:val="000000"/>
                <w:sz w:val="16"/>
                <w:szCs w:val="16"/>
                <w:lang w:eastAsia="sk-SK"/>
              </w:rPr>
              <w:t> </w:t>
            </w:r>
          </w:p>
        </w:tc>
        <w:tc>
          <w:tcPr>
            <w:tcW w:w="3980" w:type="dxa"/>
            <w:tcBorders>
              <w:top w:val="nil"/>
              <w:left w:val="nil"/>
              <w:bottom w:val="single" w:sz="8" w:space="0" w:color="auto"/>
              <w:right w:val="single" w:sz="4" w:space="0" w:color="auto"/>
              <w:tl2br w:val="nil"/>
              <w:tr2bl w:val="nil"/>
            </w:tcBorders>
            <w:shd w:val="clear" w:color="auto" w:fill="C0C0C0"/>
            <w:textDirection w:val="lrTb"/>
            <w:vAlign w:val="center"/>
          </w:tcPr>
          <w:p w:rsidR="00380C86" w:rsidRPr="00CF7377" w:rsidP="000E060D">
            <w:pPr>
              <w:rPr>
                <w:rFonts w:ascii="Arial" w:hAnsi="Arial" w:cs="Arial"/>
                <w:b/>
                <w:bCs/>
                <w:color w:val="000000"/>
                <w:sz w:val="16"/>
                <w:szCs w:val="16"/>
                <w:lang w:eastAsia="sk-SK"/>
              </w:rPr>
            </w:pPr>
            <w:r w:rsidRPr="00CF7377">
              <w:rPr>
                <w:rFonts w:ascii="Arial" w:hAnsi="Arial" w:cs="Arial"/>
                <w:b/>
                <w:bCs/>
                <w:color w:val="000000"/>
                <w:sz w:val="16"/>
                <w:szCs w:val="16"/>
                <w:lang w:eastAsia="sk-SK"/>
              </w:rPr>
              <w:t>Spolu</w:t>
            </w:r>
          </w:p>
        </w:tc>
        <w:tc>
          <w:tcPr>
            <w:tcW w:w="1300" w:type="dxa"/>
            <w:tcBorders>
              <w:top w:val="nil"/>
              <w:left w:val="nil"/>
              <w:bottom w:val="single" w:sz="8" w:space="0" w:color="auto"/>
              <w:right w:val="single" w:sz="4" w:space="0" w:color="auto"/>
              <w:tl2br w:val="nil"/>
              <w:tr2bl w:val="nil"/>
            </w:tcBorders>
            <w:shd w:val="clear" w:color="auto" w:fill="C0C0C0"/>
            <w:textDirection w:val="lrTb"/>
            <w:vAlign w:val="center"/>
          </w:tcPr>
          <w:p w:rsidR="00380C86" w:rsidRPr="00CF7377" w:rsidP="007C3604">
            <w:pPr>
              <w:jc w:val="right"/>
              <w:rPr>
                <w:rFonts w:ascii="Arial" w:hAnsi="Arial" w:cs="Arial"/>
                <w:b/>
                <w:bCs/>
                <w:color w:val="000000"/>
                <w:sz w:val="16"/>
                <w:szCs w:val="16"/>
                <w:lang w:eastAsia="sk-SK"/>
              </w:rPr>
            </w:pPr>
            <w:r w:rsidRPr="00CF7377">
              <w:rPr>
                <w:rFonts w:ascii="Arial" w:hAnsi="Arial" w:cs="Arial"/>
                <w:b/>
                <w:bCs/>
                <w:color w:val="000000"/>
                <w:sz w:val="16"/>
                <w:szCs w:val="16"/>
                <w:lang w:eastAsia="sk-SK"/>
              </w:rPr>
              <w:t>1</w:t>
            </w:r>
            <w:r w:rsidRPr="00CF7377">
              <w:rPr>
                <w:rFonts w:ascii="Arial" w:hAnsi="Arial" w:cs="Arial"/>
                <w:b/>
                <w:bCs/>
                <w:color w:val="000000"/>
                <w:sz w:val="16"/>
                <w:szCs w:val="16"/>
                <w:lang w:eastAsia="sk-SK"/>
              </w:rPr>
              <w:t>2 621 424</w:t>
            </w:r>
          </w:p>
        </w:tc>
        <w:tc>
          <w:tcPr>
            <w:tcW w:w="1300" w:type="dxa"/>
            <w:tcBorders>
              <w:top w:val="nil"/>
              <w:left w:val="nil"/>
              <w:bottom w:val="single" w:sz="8" w:space="0" w:color="auto"/>
              <w:right w:val="single" w:sz="4" w:space="0" w:color="auto"/>
              <w:tl2br w:val="nil"/>
              <w:tr2bl w:val="nil"/>
            </w:tcBorders>
            <w:shd w:val="clear" w:color="auto" w:fill="C0C0C0"/>
            <w:textDirection w:val="lrTb"/>
            <w:vAlign w:val="center"/>
          </w:tcPr>
          <w:p w:rsidR="00380C86" w:rsidRPr="00CF7377" w:rsidP="007C3604">
            <w:pPr>
              <w:jc w:val="right"/>
              <w:rPr>
                <w:rFonts w:ascii="Arial" w:hAnsi="Arial" w:cs="Arial"/>
                <w:b/>
                <w:bCs/>
                <w:color w:val="000000"/>
                <w:sz w:val="16"/>
                <w:szCs w:val="16"/>
                <w:lang w:eastAsia="sk-SK"/>
              </w:rPr>
            </w:pPr>
            <w:r w:rsidRPr="00CF7377">
              <w:rPr>
                <w:rFonts w:ascii="Arial" w:hAnsi="Arial" w:cs="Arial"/>
                <w:b/>
                <w:bCs/>
                <w:color w:val="000000"/>
                <w:sz w:val="16"/>
                <w:szCs w:val="16"/>
                <w:lang w:eastAsia="sk-SK"/>
              </w:rPr>
              <w:t>1</w:t>
            </w:r>
            <w:r>
              <w:rPr>
                <w:rFonts w:ascii="Arial" w:hAnsi="Arial" w:cs="Arial"/>
                <w:b/>
                <w:bCs/>
                <w:color w:val="000000"/>
                <w:sz w:val="16"/>
                <w:szCs w:val="16"/>
                <w:lang w:eastAsia="sk-SK"/>
              </w:rPr>
              <w:t>4 108  694</w:t>
            </w:r>
          </w:p>
        </w:tc>
        <w:tc>
          <w:tcPr>
            <w:tcW w:w="1300" w:type="dxa"/>
            <w:tcBorders>
              <w:top w:val="nil"/>
              <w:left w:val="nil"/>
              <w:bottom w:val="single" w:sz="8" w:space="0" w:color="auto"/>
              <w:right w:val="single" w:sz="4" w:space="0" w:color="auto"/>
              <w:tl2br w:val="nil"/>
              <w:tr2bl w:val="nil"/>
            </w:tcBorders>
            <w:shd w:val="clear" w:color="auto" w:fill="C0C0C0"/>
            <w:textDirection w:val="lrTb"/>
            <w:vAlign w:val="center"/>
          </w:tcPr>
          <w:p w:rsidR="00380C86" w:rsidRPr="00CF7377" w:rsidP="000E060D">
            <w:pPr>
              <w:jc w:val="right"/>
              <w:rPr>
                <w:rFonts w:ascii="Arial" w:hAnsi="Arial" w:cs="Arial"/>
                <w:b/>
                <w:bCs/>
                <w:color w:val="000000"/>
                <w:sz w:val="16"/>
                <w:szCs w:val="16"/>
                <w:lang w:eastAsia="sk-SK"/>
              </w:rPr>
            </w:pPr>
            <w:r w:rsidRPr="00CF7377">
              <w:rPr>
                <w:rFonts w:ascii="Arial" w:hAnsi="Arial" w:cs="Arial"/>
                <w:b/>
                <w:bCs/>
                <w:color w:val="000000"/>
                <w:sz w:val="16"/>
                <w:szCs w:val="16"/>
                <w:lang w:eastAsia="sk-SK"/>
              </w:rPr>
              <w:t xml:space="preserve">14 </w:t>
            </w:r>
            <w:r w:rsidR="00593F1F">
              <w:rPr>
                <w:rFonts w:ascii="Arial" w:hAnsi="Arial" w:cs="Arial"/>
                <w:b/>
                <w:bCs/>
                <w:color w:val="000000"/>
                <w:sz w:val="16"/>
                <w:szCs w:val="16"/>
                <w:lang w:eastAsia="sk-SK"/>
              </w:rPr>
              <w:t>807</w:t>
            </w:r>
            <w:r w:rsidRPr="00CF7377">
              <w:rPr>
                <w:rFonts w:ascii="Arial" w:hAnsi="Arial" w:cs="Arial"/>
                <w:b/>
                <w:bCs/>
                <w:color w:val="000000"/>
                <w:sz w:val="16"/>
                <w:szCs w:val="16"/>
                <w:lang w:eastAsia="sk-SK"/>
              </w:rPr>
              <w:t xml:space="preserve"> </w:t>
            </w:r>
            <w:r w:rsidR="00593F1F">
              <w:rPr>
                <w:rFonts w:ascii="Arial" w:hAnsi="Arial" w:cs="Arial"/>
                <w:b/>
                <w:bCs/>
                <w:color w:val="000000"/>
                <w:sz w:val="16"/>
                <w:szCs w:val="16"/>
                <w:lang w:eastAsia="sk-SK"/>
              </w:rPr>
              <w:t>768</w:t>
            </w:r>
          </w:p>
        </w:tc>
        <w:tc>
          <w:tcPr>
            <w:tcW w:w="1300" w:type="dxa"/>
            <w:tcBorders>
              <w:top w:val="nil"/>
              <w:left w:val="nil"/>
              <w:bottom w:val="single" w:sz="8" w:space="0" w:color="auto"/>
              <w:right w:val="single" w:sz="8" w:space="0" w:color="auto"/>
              <w:tl2br w:val="nil"/>
              <w:tr2bl w:val="nil"/>
            </w:tcBorders>
            <w:shd w:val="clear" w:color="auto" w:fill="C0C0C0"/>
            <w:textDirection w:val="lrTb"/>
            <w:vAlign w:val="center"/>
          </w:tcPr>
          <w:p w:rsidR="00380C86" w:rsidRPr="00CF7377" w:rsidP="000E060D">
            <w:pPr>
              <w:jc w:val="right"/>
              <w:rPr>
                <w:rFonts w:ascii="Arial" w:hAnsi="Arial" w:cs="Arial"/>
                <w:b/>
                <w:bCs/>
                <w:color w:val="000000"/>
                <w:sz w:val="16"/>
                <w:szCs w:val="16"/>
                <w:lang w:eastAsia="sk-SK"/>
              </w:rPr>
            </w:pPr>
            <w:r w:rsidRPr="00CF7377">
              <w:rPr>
                <w:rFonts w:ascii="Arial" w:hAnsi="Arial" w:cs="Arial"/>
                <w:b/>
                <w:bCs/>
                <w:color w:val="000000"/>
                <w:sz w:val="16"/>
                <w:szCs w:val="16"/>
                <w:lang w:eastAsia="sk-SK"/>
              </w:rPr>
              <w:t xml:space="preserve">15 </w:t>
            </w:r>
            <w:r w:rsidR="00CE1AB8">
              <w:rPr>
                <w:rFonts w:ascii="Arial" w:hAnsi="Arial" w:cs="Arial"/>
                <w:b/>
                <w:bCs/>
                <w:color w:val="000000"/>
                <w:sz w:val="16"/>
                <w:szCs w:val="16"/>
                <w:lang w:eastAsia="sk-SK"/>
              </w:rPr>
              <w:t>433</w:t>
            </w:r>
            <w:r w:rsidRPr="00CF7377">
              <w:rPr>
                <w:rFonts w:ascii="Arial" w:hAnsi="Arial" w:cs="Arial"/>
                <w:b/>
                <w:bCs/>
                <w:color w:val="000000"/>
                <w:sz w:val="16"/>
                <w:szCs w:val="16"/>
                <w:lang w:eastAsia="sk-SK"/>
              </w:rPr>
              <w:t xml:space="preserve"> </w:t>
            </w:r>
            <w:r w:rsidR="00CE1AB8">
              <w:rPr>
                <w:rFonts w:ascii="Arial" w:hAnsi="Arial" w:cs="Arial"/>
                <w:b/>
                <w:bCs/>
                <w:color w:val="000000"/>
                <w:sz w:val="16"/>
                <w:szCs w:val="16"/>
                <w:lang w:eastAsia="sk-SK"/>
              </w:rPr>
              <w:t>097</w:t>
            </w:r>
          </w:p>
        </w:tc>
      </w:tr>
    </w:tbl>
    <w:p w:rsidR="000E060D" w:rsidP="000E060D">
      <w:pPr>
        <w:jc w:val="both"/>
        <w:rPr>
          <w:rFonts w:ascii="Arial Narrow" w:hAnsi="Arial Narrow" w:cs="Arial"/>
          <w:sz w:val="22"/>
          <w:szCs w:val="24"/>
        </w:rPr>
      </w:pPr>
    </w:p>
    <w:p w:rsidR="000E060D" w:rsidP="000E060D">
      <w:pPr>
        <w:ind w:firstLine="708"/>
        <w:jc w:val="both"/>
        <w:rPr>
          <w:rFonts w:ascii="Arial Narrow" w:hAnsi="Arial Narrow" w:cs="Arial"/>
          <w:sz w:val="22"/>
          <w:szCs w:val="24"/>
        </w:rPr>
      </w:pPr>
    </w:p>
    <w:p w:rsidR="000E060D" w:rsidP="000E060D">
      <w:pPr>
        <w:jc w:val="both"/>
        <w:rPr>
          <w:rFonts w:ascii="Arial Narrow" w:hAnsi="Arial Narrow" w:cs="Arial"/>
          <w:b/>
          <w:szCs w:val="24"/>
        </w:rPr>
      </w:pPr>
      <w:r>
        <w:rPr>
          <w:rFonts w:ascii="Arial Narrow" w:hAnsi="Arial Narrow" w:cs="Arial"/>
          <w:b/>
          <w:szCs w:val="24"/>
        </w:rPr>
        <w:t>A. Bežné výdavky</w:t>
      </w:r>
    </w:p>
    <w:p w:rsidR="000E060D" w:rsidP="000E060D">
      <w:pPr>
        <w:jc w:val="both"/>
        <w:rPr>
          <w:rFonts w:ascii="Arial Narrow" w:hAnsi="Arial Narrow" w:cs="Arial"/>
          <w:szCs w:val="24"/>
        </w:rPr>
      </w:pPr>
    </w:p>
    <w:p w:rsidR="000E060D" w:rsidP="000E060D">
      <w:pPr>
        <w:ind w:firstLine="709"/>
        <w:jc w:val="both"/>
        <w:rPr>
          <w:rFonts w:ascii="Arial Narrow" w:hAnsi="Arial Narrow" w:cs="Arial"/>
          <w:sz w:val="22"/>
          <w:szCs w:val="24"/>
        </w:rPr>
      </w:pPr>
      <w:r>
        <w:rPr>
          <w:rFonts w:ascii="Arial Narrow" w:hAnsi="Arial Narrow" w:cs="Arial"/>
          <w:sz w:val="22"/>
          <w:szCs w:val="24"/>
        </w:rPr>
        <w:t>Bežné výdavky v rokoch 2009 až 2011 vykazujú rastúci trend. V porovnaní s rokom 2008 predstavujú tieto výdavky v roku 2009 nárast o </w:t>
      </w:r>
      <w:r w:rsidR="007C3604">
        <w:rPr>
          <w:rFonts w:ascii="Arial Narrow" w:hAnsi="Arial Narrow" w:cs="Arial"/>
          <w:sz w:val="22"/>
          <w:szCs w:val="24"/>
        </w:rPr>
        <w:t>5</w:t>
      </w:r>
      <w:r>
        <w:rPr>
          <w:rFonts w:ascii="Arial Narrow" w:hAnsi="Arial Narrow" w:cs="Arial"/>
          <w:sz w:val="22"/>
          <w:szCs w:val="24"/>
        </w:rPr>
        <w:t>,</w:t>
      </w:r>
      <w:r w:rsidR="007C3604">
        <w:rPr>
          <w:rFonts w:ascii="Arial Narrow" w:hAnsi="Arial Narrow" w:cs="Arial"/>
          <w:sz w:val="22"/>
          <w:szCs w:val="24"/>
        </w:rPr>
        <w:t>6</w:t>
      </w:r>
      <w:r>
        <w:rPr>
          <w:rFonts w:ascii="Arial Narrow" w:hAnsi="Arial Narrow" w:cs="Arial"/>
          <w:sz w:val="22"/>
          <w:szCs w:val="24"/>
        </w:rPr>
        <w:t xml:space="preserve"> %. V rokoch 2010 a 2011 dochádza k medziročnému rastu bežných výdavkov vo výške </w:t>
      </w:r>
      <w:r w:rsidR="007C3604">
        <w:rPr>
          <w:rFonts w:ascii="Arial Narrow" w:hAnsi="Arial Narrow" w:cs="Arial"/>
          <w:sz w:val="22"/>
          <w:szCs w:val="24"/>
        </w:rPr>
        <w:t>4</w:t>
      </w:r>
      <w:r>
        <w:rPr>
          <w:rFonts w:ascii="Arial Narrow" w:hAnsi="Arial Narrow" w:cs="Arial"/>
          <w:sz w:val="22"/>
          <w:szCs w:val="24"/>
        </w:rPr>
        <w:t>,</w:t>
      </w:r>
      <w:r w:rsidR="007C3604">
        <w:rPr>
          <w:rFonts w:ascii="Arial Narrow" w:hAnsi="Arial Narrow" w:cs="Arial"/>
          <w:sz w:val="22"/>
          <w:szCs w:val="24"/>
        </w:rPr>
        <w:t>2</w:t>
      </w:r>
      <w:r>
        <w:rPr>
          <w:rFonts w:ascii="Arial Narrow" w:hAnsi="Arial Narrow" w:cs="Arial"/>
          <w:sz w:val="22"/>
          <w:szCs w:val="24"/>
        </w:rPr>
        <w:t xml:space="preserve"> % a 4,</w:t>
      </w:r>
      <w:r w:rsidR="007C3604">
        <w:rPr>
          <w:rFonts w:ascii="Arial Narrow" w:hAnsi="Arial Narrow" w:cs="Arial"/>
          <w:sz w:val="22"/>
          <w:szCs w:val="24"/>
        </w:rPr>
        <w:t>2</w:t>
      </w:r>
      <w:r>
        <w:rPr>
          <w:rFonts w:ascii="Arial Narrow" w:hAnsi="Arial Narrow" w:cs="Arial"/>
          <w:sz w:val="22"/>
          <w:szCs w:val="24"/>
        </w:rPr>
        <w:t xml:space="preserve"> %. </w:t>
      </w:r>
      <w:r>
        <w:rPr>
          <w:rFonts w:ascii="Arial Narrow" w:hAnsi="Arial Narrow" w:cs="Arial Narrow"/>
          <w:color w:val="000000"/>
          <w:sz w:val="22"/>
          <w:szCs w:val="22"/>
          <w:lang w:eastAsia="sk-SK"/>
        </w:rPr>
        <w:t>Uvedené zvýšenie súvisí so zvýšenými príjmami z rozpočtu Európskej únie a výdavkami na krytie výpadku príjmov Sociálnej poisťovne z titulu zavedenia druhého piliera dôchodkového sporenia.</w:t>
      </w:r>
    </w:p>
    <w:p w:rsidR="000E060D" w:rsidP="000E060D">
      <w:pPr>
        <w:ind w:firstLine="709"/>
        <w:jc w:val="both"/>
        <w:rPr>
          <w:rFonts w:cs="Times New Roman"/>
        </w:rPr>
      </w:pPr>
    </w:p>
    <w:p w:rsidR="000E060D" w:rsidRPr="00A52A1E" w:rsidP="000E060D">
      <w:pPr>
        <w:ind w:firstLine="709"/>
        <w:jc w:val="both"/>
        <w:rPr>
          <w:rFonts w:ascii="Arial Narrow" w:hAnsi="Arial Narrow" w:cs="Arial"/>
          <w:sz w:val="22"/>
          <w:szCs w:val="24"/>
        </w:rPr>
      </w:pPr>
      <w:r>
        <w:rPr>
          <w:rFonts w:cs="Times New Roman"/>
          <w:rtl w:val="0"/>
        </w:rPr>
        <w:object>
          <v:shape id="_x0000_i1026" type="#_x0000_t75" style="width:319.9pt;height:204.75pt" o:oleicon="f" o:ole="" o:preferrelative="t" filled="f" stroked="f">
            <v:fill o:detectmouseclick="f"/>
            <v:imagedata r:id="rId7" o:title=""/>
            <o:lock v:ext="edit" aspectratio="t"/>
          </v:shape>
          <o:OLEObject Type="Embed" ProgID="Excel.Chart.8" ShapeID="_x0000_i1026" DrawAspect="Content" ObjectID="_2" r:id="rId8"/>
        </w:object>
      </w:r>
    </w:p>
    <w:p w:rsidR="002F3A9F" w:rsidP="002F3A9F">
      <w:pPr>
        <w:jc w:val="center"/>
        <w:rPr>
          <w:rFonts w:ascii="Arial Narrow" w:hAnsi="Arial Narrow" w:cs="Arial"/>
          <w:szCs w:val="24"/>
        </w:rPr>
      </w:pPr>
    </w:p>
    <w:p w:rsidR="002F3A9F" w:rsidRPr="00B0152A" w:rsidP="002F3A9F">
      <w:pPr>
        <w:tabs>
          <w:tab w:val="left" w:pos="720"/>
        </w:tabs>
        <w:jc w:val="both"/>
        <w:rPr>
          <w:rFonts w:ascii="Arial Narrow" w:hAnsi="Arial Narrow" w:cs="Arial"/>
          <w:b/>
          <w:bCs/>
          <w:szCs w:val="24"/>
        </w:rPr>
      </w:pPr>
      <w:r w:rsidRPr="00B0152A">
        <w:rPr>
          <w:rFonts w:ascii="Arial Narrow" w:hAnsi="Arial Narrow" w:cs="Arial"/>
          <w:b/>
          <w:bCs/>
          <w:szCs w:val="24"/>
        </w:rPr>
        <w:t>A.1. Mzdy, platy, služobné príjmy a ostatné osobné vyrovnania</w:t>
      </w:r>
    </w:p>
    <w:p w:rsidR="002F3A9F" w:rsidRPr="00B0152A" w:rsidP="002F3A9F">
      <w:pPr>
        <w:tabs>
          <w:tab w:val="left" w:pos="720"/>
        </w:tabs>
        <w:spacing w:before="240"/>
        <w:rPr>
          <w:rFonts w:ascii="Arial Narrow" w:hAnsi="Arial Narrow" w:cs="Times New Roman"/>
          <w:b/>
          <w:bCs/>
        </w:rPr>
      </w:pPr>
      <w:r w:rsidRPr="00B0152A">
        <w:rPr>
          <w:rFonts w:ascii="Arial Narrow" w:hAnsi="Arial Narrow" w:cs="Times New Roman"/>
          <w:b/>
          <w:bCs/>
        </w:rPr>
        <w:t>A.1.1. Zamestnanosť v sektore verejnej správy</w:t>
      </w:r>
    </w:p>
    <w:p w:rsidR="002F3A9F" w:rsidRPr="00B0152A" w:rsidP="002F3A9F">
      <w:pPr>
        <w:tabs>
          <w:tab w:val="left" w:pos="720"/>
        </w:tabs>
        <w:rPr>
          <w:rFonts w:ascii="Arial Narrow" w:hAnsi="Arial Narrow" w:cs="Times New Roman"/>
          <w:b/>
          <w:bCs/>
        </w:rPr>
      </w:pPr>
    </w:p>
    <w:p w:rsidR="002F3A9F" w:rsidRPr="00B0152A" w:rsidP="002F3A9F">
      <w:pPr>
        <w:ind w:firstLine="708"/>
        <w:jc w:val="both"/>
        <w:rPr>
          <w:rFonts w:ascii="Arial Narrow" w:hAnsi="Arial Narrow" w:cs="Times New Roman"/>
          <w:sz w:val="22"/>
          <w:szCs w:val="22"/>
        </w:rPr>
      </w:pPr>
      <w:r w:rsidRPr="00B0152A">
        <w:rPr>
          <w:rFonts w:ascii="Arial Narrow" w:hAnsi="Arial Narrow" w:cs="Times New Roman"/>
          <w:sz w:val="22"/>
          <w:szCs w:val="22"/>
        </w:rPr>
        <w:t xml:space="preserve">Z hľadiska vývoja  počtu zamestnancov v sektore verejnej správy vláda Slovenskej republiky má záujem nezvyšovať úroveň zamestnanosti v tomto sektore. Porovnanie vývoja počtu zamestnancov od roku 2002 do roku 2008 dokazuje, že tendencia znižovania personálnych kapacít pokračuje. Oproti roku 2007 sa v roku 2008 predpokladá pokles počtu zamestnancov o 7 064 osôb. Najvýraznejšie sa na znižovaní počtu zamestnancov v tomto roku podieľala ústredná štátna správa, a to rozpočtové a príspevkové  organizácie štátu, v počte 7 253 osôb. </w:t>
      </w:r>
    </w:p>
    <w:p w:rsidR="002F3A9F" w:rsidRPr="00B0152A" w:rsidP="002F3A9F">
      <w:pPr>
        <w:jc w:val="both"/>
        <w:rPr>
          <w:rFonts w:ascii="Arial Narrow" w:hAnsi="Arial Narrow" w:cs="Times New Roman"/>
          <w:sz w:val="22"/>
          <w:szCs w:val="22"/>
        </w:rPr>
      </w:pPr>
    </w:p>
    <w:tbl>
      <w:tblPr>
        <w:tblW w:w="10080" w:type="dxa"/>
        <w:tblInd w:w="-110" w:type="dxa"/>
        <w:tblLayout w:type="fixed"/>
        <w:tblCellMar>
          <w:left w:w="70" w:type="dxa"/>
          <w:right w:w="70" w:type="dxa"/>
        </w:tblCellMar>
      </w:tblPr>
      <w:tblGrid>
        <w:gridCol w:w="377"/>
        <w:gridCol w:w="3778"/>
        <w:gridCol w:w="754"/>
        <w:gridCol w:w="686"/>
        <w:gridCol w:w="720"/>
        <w:gridCol w:w="702"/>
        <w:gridCol w:w="723"/>
        <w:gridCol w:w="723"/>
        <w:gridCol w:w="775"/>
        <w:gridCol w:w="842"/>
      </w:tblGrid>
      <w:tr>
        <w:tblPrEx>
          <w:tblW w:w="10080" w:type="dxa"/>
          <w:tblInd w:w="-110" w:type="dxa"/>
          <w:tblLayout w:type="fixed"/>
          <w:tblCellMar>
            <w:left w:w="70" w:type="dxa"/>
            <w:right w:w="70" w:type="dxa"/>
          </w:tblCellMar>
        </w:tblPrEx>
        <w:trPr>
          <w:trHeight w:val="344"/>
        </w:trPr>
        <w:tc>
          <w:tcPr>
            <w:tcW w:w="10080" w:type="dxa"/>
            <w:gridSpan w:val="10"/>
            <w:tcBorders>
              <w:top w:val="nil"/>
              <w:left w:val="nil"/>
              <w:bottom w:val="nil"/>
              <w:right w:val="nil"/>
              <w:tl2br w:val="nil"/>
              <w:tr2bl w:val="nil"/>
            </w:tcBorders>
            <w:noWrap/>
            <w:textDirection w:val="lrTb"/>
            <w:vAlign w:val="bottom"/>
          </w:tcPr>
          <w:p w:rsidR="002F3A9F" w:rsidRPr="00B0152A" w:rsidP="00997953">
            <w:pPr>
              <w:jc w:val="center"/>
              <w:rPr>
                <w:rFonts w:ascii="Arial Narrow" w:hAnsi="Arial Narrow" w:cs="Arial"/>
                <w:b/>
                <w:bCs/>
                <w:sz w:val="22"/>
                <w:szCs w:val="22"/>
                <w:lang w:eastAsia="sk-SK"/>
              </w:rPr>
            </w:pPr>
            <w:r w:rsidRPr="00B0152A">
              <w:rPr>
                <w:rFonts w:ascii="Arial Narrow" w:hAnsi="Arial Narrow" w:cs="Arial"/>
                <w:b/>
                <w:bCs/>
                <w:sz w:val="22"/>
                <w:szCs w:val="22"/>
                <w:lang w:eastAsia="sk-SK"/>
              </w:rPr>
              <w:t>Vývoj a štruktúra počtu zamestnancov v sektore verejnej správy</w:t>
            </w:r>
          </w:p>
          <w:p w:rsidR="002F3A9F" w:rsidRPr="00B0152A" w:rsidP="00997953">
            <w:pPr>
              <w:jc w:val="center"/>
              <w:rPr>
                <w:rFonts w:ascii="Arial Narrow" w:hAnsi="Arial Narrow" w:cs="Arial"/>
                <w:b/>
                <w:bCs/>
                <w:sz w:val="20"/>
                <w:lang w:eastAsia="sk-SK"/>
              </w:rPr>
            </w:pPr>
          </w:p>
        </w:tc>
      </w:tr>
      <w:tr>
        <w:tblPrEx>
          <w:tblW w:w="10080" w:type="dxa"/>
          <w:tblInd w:w="-110" w:type="dxa"/>
          <w:tblLayout w:type="fixed"/>
          <w:tblCellMar>
            <w:left w:w="70" w:type="dxa"/>
            <w:right w:w="70" w:type="dxa"/>
          </w:tblCellMar>
        </w:tblPrEx>
        <w:trPr>
          <w:trHeight w:val="284"/>
        </w:trPr>
        <w:tc>
          <w:tcPr>
            <w:tcW w:w="4155" w:type="dxa"/>
            <w:gridSpan w:val="2"/>
            <w:tcBorders>
              <w:top w:val="single" w:sz="8" w:space="0" w:color="auto"/>
              <w:left w:val="single" w:sz="8" w:space="0" w:color="auto"/>
              <w:bottom w:val="single" w:sz="8" w:space="0" w:color="auto"/>
              <w:right w:val="single" w:sz="8" w:space="0" w:color="000000"/>
              <w:tl2br w:val="nil"/>
              <w:tr2bl w:val="nil"/>
            </w:tcBorders>
            <w:shd w:val="clear" w:color="auto" w:fill="000000"/>
            <w:noWrap/>
            <w:textDirection w:val="lrTb"/>
            <w:vAlign w:val="bottom"/>
          </w:tcPr>
          <w:p w:rsidR="002F3A9F" w:rsidRPr="00B0152A" w:rsidP="00997953">
            <w:pPr>
              <w:rPr>
                <w:rFonts w:ascii="Arial Narrow" w:hAnsi="Arial Narrow" w:cs="Arial"/>
                <w:sz w:val="20"/>
                <w:lang w:eastAsia="sk-SK"/>
              </w:rPr>
            </w:pPr>
            <w:r w:rsidRPr="00B0152A">
              <w:rPr>
                <w:rFonts w:ascii="Arial Narrow" w:hAnsi="Arial Narrow" w:cs="Arial"/>
                <w:sz w:val="20"/>
                <w:lang w:eastAsia="sk-SK"/>
              </w:rPr>
              <w:t> </w:t>
            </w:r>
          </w:p>
        </w:tc>
        <w:tc>
          <w:tcPr>
            <w:tcW w:w="754"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2001</w:t>
            </w:r>
          </w:p>
        </w:tc>
        <w:tc>
          <w:tcPr>
            <w:tcW w:w="686"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2002</w:t>
            </w:r>
          </w:p>
        </w:tc>
        <w:tc>
          <w:tcPr>
            <w:tcW w:w="720"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2003</w:t>
            </w:r>
          </w:p>
        </w:tc>
        <w:tc>
          <w:tcPr>
            <w:tcW w:w="702"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2004</w:t>
            </w:r>
          </w:p>
        </w:tc>
        <w:tc>
          <w:tcPr>
            <w:tcW w:w="723"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2005</w:t>
            </w:r>
          </w:p>
        </w:tc>
        <w:tc>
          <w:tcPr>
            <w:tcW w:w="723"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2006</w:t>
            </w:r>
          </w:p>
        </w:tc>
        <w:tc>
          <w:tcPr>
            <w:tcW w:w="775"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2007</w:t>
            </w:r>
          </w:p>
        </w:tc>
        <w:tc>
          <w:tcPr>
            <w:tcW w:w="842"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2008</w:t>
            </w:r>
          </w:p>
        </w:tc>
      </w:tr>
      <w:tr>
        <w:tblPrEx>
          <w:tblW w:w="10080" w:type="dxa"/>
          <w:tblInd w:w="-110" w:type="dxa"/>
          <w:tblLayout w:type="fixed"/>
          <w:tblCellMar>
            <w:left w:w="70" w:type="dxa"/>
            <w:right w:w="70" w:type="dxa"/>
          </w:tblCellMar>
        </w:tblPrEx>
        <w:trPr>
          <w:trHeight w:val="359"/>
        </w:trPr>
        <w:tc>
          <w:tcPr>
            <w:tcW w:w="377" w:type="dxa"/>
            <w:vMerge w:val="restart"/>
            <w:tcBorders>
              <w:top w:val="nil"/>
              <w:left w:val="single" w:sz="8" w:space="0" w:color="auto"/>
              <w:bottom w:val="single" w:sz="8" w:space="0" w:color="000000"/>
              <w:right w:val="nil"/>
              <w:tl2br w:val="nil"/>
              <w:tr2bl w:val="nil"/>
            </w:tcBorders>
            <w:shd w:val="clear" w:color="auto" w:fill="C0C0C0"/>
            <w:textDirection w:val="lrTb"/>
            <w:vAlign w:val="bottom"/>
          </w:tcPr>
          <w:p w:rsidR="002F3A9F" w:rsidRPr="00B0152A" w:rsidP="00997953">
            <w:pPr>
              <w:jc w:val="center"/>
              <w:rPr>
                <w:rFonts w:ascii="Arial Narrow" w:hAnsi="Arial Narrow" w:cs="Arial"/>
                <w:sz w:val="20"/>
                <w:lang w:eastAsia="sk-SK"/>
              </w:rPr>
            </w:pPr>
            <w:r w:rsidRPr="00B0152A">
              <w:rPr>
                <w:rFonts w:ascii="Arial Narrow" w:hAnsi="Arial Narrow" w:cs="Arial"/>
                <w:sz w:val="20"/>
                <w:lang w:eastAsia="sk-SK"/>
              </w:rPr>
              <w:t>1)</w:t>
            </w:r>
          </w:p>
        </w:tc>
        <w:tc>
          <w:tcPr>
            <w:tcW w:w="3778" w:type="dxa"/>
            <w:tcBorders>
              <w:top w:val="single" w:sz="8" w:space="0" w:color="auto"/>
              <w:left w:val="nil"/>
              <w:bottom w:val="nil"/>
              <w:right w:val="single" w:sz="8" w:space="0" w:color="000000"/>
              <w:tl2br w:val="nil"/>
              <w:tr2bl w:val="nil"/>
            </w:tcBorders>
            <w:shd w:val="clear" w:color="auto" w:fill="C0C0C0"/>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Ústredná sprá</w:t>
            </w:r>
            <w:r w:rsidRPr="00B0152A">
              <w:rPr>
                <w:rFonts w:ascii="Arial Narrow" w:hAnsi="Arial Narrow" w:cs="Arial"/>
                <w:b/>
                <w:bCs/>
                <w:sz w:val="18"/>
                <w:szCs w:val="18"/>
                <w:lang w:eastAsia="sk-SK"/>
              </w:rPr>
              <w:t xml:space="preserve">va spolu  </w:t>
            </w:r>
            <w:r w:rsidRPr="00B0152A">
              <w:rPr>
                <w:rFonts w:ascii="Arial Narrow" w:hAnsi="Arial Narrow" w:cs="Arial"/>
                <w:b/>
                <w:bCs/>
                <w:sz w:val="18"/>
                <w:szCs w:val="18"/>
                <w:vertAlign w:val="superscript"/>
                <w:lang w:eastAsia="sk-SK"/>
              </w:rPr>
              <w:t>*)</w:t>
            </w:r>
          </w:p>
        </w:tc>
        <w:tc>
          <w:tcPr>
            <w:tcW w:w="754"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274 712</w:t>
            </w:r>
          </w:p>
        </w:tc>
        <w:tc>
          <w:tcPr>
            <w:tcW w:w="686"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276 661</w:t>
            </w:r>
          </w:p>
        </w:tc>
        <w:tc>
          <w:tcPr>
            <w:tcW w:w="720"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307 651</w:t>
            </w:r>
          </w:p>
        </w:tc>
        <w:tc>
          <w:tcPr>
            <w:tcW w:w="702"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312 048</w:t>
            </w:r>
          </w:p>
        </w:tc>
        <w:tc>
          <w:tcPr>
            <w:tcW w:w="723"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263 738</w:t>
            </w:r>
          </w:p>
        </w:tc>
        <w:tc>
          <w:tcPr>
            <w:tcW w:w="723"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259 902</w:t>
            </w:r>
          </w:p>
        </w:tc>
        <w:tc>
          <w:tcPr>
            <w:tcW w:w="775" w:type="dxa"/>
            <w:vMerge w:val="restart"/>
            <w:tcBorders>
              <w:top w:val="nil"/>
              <w:left w:val="single" w:sz="8" w:space="0" w:color="auto"/>
              <w:bottom w:val="single" w:sz="8" w:space="0" w:color="000000"/>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259 290</w:t>
            </w:r>
          </w:p>
        </w:tc>
        <w:tc>
          <w:tcPr>
            <w:tcW w:w="842" w:type="dxa"/>
            <w:vMerge w:val="restart"/>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252 174</w:t>
            </w:r>
          </w:p>
        </w:tc>
      </w:tr>
      <w:tr>
        <w:tblPrEx>
          <w:tblW w:w="10080" w:type="dxa"/>
          <w:tblInd w:w="-110" w:type="dxa"/>
          <w:tblLayout w:type="fixed"/>
          <w:tblCellMar>
            <w:left w:w="70" w:type="dxa"/>
            <w:right w:w="70" w:type="dxa"/>
          </w:tblCellMar>
        </w:tblPrEx>
        <w:trPr>
          <w:trHeight w:val="329"/>
        </w:trPr>
        <w:tc>
          <w:tcPr>
            <w:tcW w:w="377" w:type="dxa"/>
            <w:vMerge/>
            <w:tcBorders>
              <w:top w:val="nil"/>
              <w:left w:val="single" w:sz="8" w:space="0" w:color="auto"/>
              <w:bottom w:val="single" w:sz="8" w:space="0" w:color="000000"/>
              <w:right w:val="nil"/>
              <w:tl2br w:val="nil"/>
              <w:tr2bl w:val="nil"/>
            </w:tcBorders>
            <w:textDirection w:val="lrTb"/>
            <w:vAlign w:val="center"/>
          </w:tcPr>
          <w:p w:rsidR="002F3A9F" w:rsidRPr="00B0152A" w:rsidP="00997953">
            <w:pPr>
              <w:rPr>
                <w:rFonts w:ascii="Arial Narrow" w:hAnsi="Arial Narrow" w:cs="Arial"/>
                <w:sz w:val="20"/>
                <w:lang w:eastAsia="sk-SK"/>
              </w:rPr>
            </w:pPr>
          </w:p>
        </w:tc>
        <w:tc>
          <w:tcPr>
            <w:tcW w:w="3778" w:type="dxa"/>
            <w:tcBorders>
              <w:top w:val="nil"/>
              <w:left w:val="nil"/>
              <w:bottom w:val="single" w:sz="8" w:space="0" w:color="auto"/>
              <w:right w:val="single" w:sz="8" w:space="0" w:color="000000"/>
              <w:tl2br w:val="nil"/>
              <w:tr2bl w:val="nil"/>
            </w:tcBorders>
            <w:shd w:val="clear" w:color="auto" w:fill="C0C0C0"/>
            <w:textDirection w:val="lrTb"/>
            <w:vAlign w:val="bottom"/>
          </w:tcPr>
          <w:p w:rsidR="002F3A9F" w:rsidRPr="00B0152A" w:rsidP="00997953">
            <w:pPr>
              <w:rPr>
                <w:rFonts w:ascii="Arial Narrow" w:hAnsi="Arial Narrow" w:cs="Arial"/>
                <w:sz w:val="14"/>
                <w:szCs w:val="14"/>
                <w:lang w:eastAsia="sk-SK"/>
              </w:rPr>
            </w:pPr>
            <w:r w:rsidRPr="00B0152A">
              <w:rPr>
                <w:rFonts w:ascii="Arial Narrow" w:hAnsi="Arial Narrow" w:cs="Arial"/>
                <w:sz w:val="14"/>
                <w:szCs w:val="14"/>
                <w:lang w:eastAsia="sk-SK"/>
              </w:rPr>
              <w:t>(bez SIS, vrátane preneseného výkonu štátnej správy na obce a VÚC)</w:t>
            </w:r>
          </w:p>
        </w:tc>
        <w:tc>
          <w:tcPr>
            <w:tcW w:w="754"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686"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720"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702"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723"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723"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775"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c>
          <w:tcPr>
            <w:tcW w:w="842" w:type="dxa"/>
            <w:vMerge/>
            <w:tcBorders>
              <w:top w:val="nil"/>
              <w:left w:val="single" w:sz="8" w:space="0" w:color="auto"/>
              <w:bottom w:val="single" w:sz="8" w:space="0" w:color="auto"/>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lang w:eastAsia="sk-SK"/>
              </w:rPr>
            </w:pPr>
          </w:p>
        </w:tc>
      </w:tr>
      <w:tr>
        <w:tblPrEx>
          <w:tblW w:w="10080" w:type="dxa"/>
          <w:tblInd w:w="-110" w:type="dxa"/>
          <w:tblLayout w:type="fixed"/>
          <w:tblCellMar>
            <w:left w:w="70" w:type="dxa"/>
            <w:right w:w="70" w:type="dxa"/>
          </w:tblCellMar>
        </w:tblPrEx>
        <w:trPr>
          <w:trHeight w:val="284"/>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20"/>
                <w:lang w:eastAsia="sk-SK"/>
              </w:rPr>
            </w:pPr>
          </w:p>
        </w:tc>
        <w:tc>
          <w:tcPr>
            <w:tcW w:w="3778" w:type="dxa"/>
            <w:tcBorders>
              <w:top w:val="single" w:sz="8" w:space="0" w:color="auto"/>
              <w:left w:val="nil"/>
              <w:bottom w:val="single" w:sz="8" w:space="0" w:color="auto"/>
              <w:right w:val="nil"/>
              <w:tl2br w:val="nil"/>
              <w:tr2bl w:val="nil"/>
            </w:tcBorders>
            <w:textDirection w:val="lrTb"/>
            <w:vAlign w:val="bottom"/>
          </w:tcPr>
          <w:p w:rsidR="002F3A9F" w:rsidRPr="00B0152A" w:rsidP="00997953">
            <w:pPr>
              <w:rPr>
                <w:rFonts w:ascii="Arial Narrow" w:hAnsi="Arial Narrow" w:cs="Arial"/>
                <w:i/>
                <w:iCs/>
                <w:sz w:val="16"/>
                <w:szCs w:val="16"/>
                <w:lang w:eastAsia="sk-SK"/>
              </w:rPr>
            </w:pPr>
            <w:r w:rsidRPr="00B0152A">
              <w:rPr>
                <w:rFonts w:ascii="Arial Narrow" w:hAnsi="Arial Narrow" w:cs="Arial"/>
                <w:i/>
                <w:iCs/>
                <w:sz w:val="16"/>
                <w:szCs w:val="16"/>
                <w:lang w:eastAsia="sk-SK"/>
              </w:rPr>
              <w:t>z toho:</w:t>
            </w:r>
          </w:p>
        </w:tc>
        <w:tc>
          <w:tcPr>
            <w:tcW w:w="754"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686"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20"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02"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23"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23" w:type="dxa"/>
            <w:tcBorders>
              <w:top w:val="nil"/>
              <w:left w:val="nil"/>
              <w:bottom w:val="single" w:sz="8" w:space="0" w:color="auto"/>
              <w:right w:val="nil"/>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842" w:type="dxa"/>
            <w:tcBorders>
              <w:top w:val="nil"/>
              <w:left w:val="nil"/>
              <w:bottom w:val="single" w:sz="8" w:space="0" w:color="auto"/>
              <w:right w:val="single" w:sz="8" w:space="0" w:color="auto"/>
              <w:tl2br w:val="nil"/>
              <w:tr2bl w:val="nil"/>
            </w:tcBorders>
            <w:noWrap/>
            <w:textDirection w:val="lrTb"/>
            <w:vAlign w:val="bottom"/>
          </w:tcPr>
          <w:p w:rsidR="002F3A9F" w:rsidRPr="00B0152A" w:rsidP="00997953">
            <w:pPr>
              <w:rPr>
                <w:rFonts w:ascii="Arial Narrow" w:hAnsi="Arial Narrow" w:cs="Arial"/>
                <w:sz w:val="18"/>
                <w:szCs w:val="18"/>
                <w:lang w:eastAsia="sk-SK"/>
              </w:rPr>
            </w:pPr>
            <w:r w:rsidRPr="00B0152A">
              <w:rPr>
                <w:rFonts w:ascii="Arial Narrow" w:hAnsi="Arial Narrow" w:cs="Arial"/>
                <w:sz w:val="18"/>
                <w:szCs w:val="18"/>
                <w:lang w:eastAsia="sk-SK"/>
              </w:rPr>
              <w:t> </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Rozpočtové organizácie</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227 775</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229 616</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124 371</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117 819</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139 472</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139 115</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139 311</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133 609</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Príspevkové organizácie</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46 307</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46 436</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14 876</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14 057</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13 916</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13 655</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13 490</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11 939</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Verejné vysoké školy</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21 327</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21 353</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21 413</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21 529</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21 529</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21 529</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Prenesený výkon štátnej správy</w:t>
            </w:r>
          </w:p>
          <w:p w:rsidR="002F3A9F" w:rsidRPr="00B0152A" w:rsidP="00997953">
            <w:pPr>
              <w:rPr>
                <w:rFonts w:ascii="Arial Narrow" w:hAnsi="Arial Narrow" w:cs="Arial"/>
                <w:b/>
                <w:bCs/>
                <w:sz w:val="18"/>
                <w:szCs w:val="18"/>
                <w:lang w:eastAsia="sk-SK"/>
              </w:rPr>
            </w:pPr>
            <w:r w:rsidRPr="00B0152A">
              <w:rPr>
                <w:rFonts w:ascii="Arial Narrow" w:hAnsi="Arial Narrow" w:cs="Arial"/>
                <w:sz w:val="18"/>
                <w:szCs w:val="18"/>
                <w:lang w:eastAsia="sk-SK"/>
              </w:rPr>
              <w:t xml:space="preserve"> (obce, VÚC -  financ. zo ŠR)</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 </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146 479</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158 195</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87 708</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84 359</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83 862</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82 241</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Fondy</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577</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465</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469</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466</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491</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477</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477</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494</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 </w:t>
            </w:r>
          </w:p>
        </w:tc>
        <w:tc>
          <w:tcPr>
            <w:tcW w:w="3778" w:type="dxa"/>
            <w:tcBorders>
              <w:top w:val="single" w:sz="8" w:space="0" w:color="auto"/>
              <w:left w:val="nil"/>
              <w:bottom w:val="single" w:sz="8" w:space="0" w:color="auto"/>
              <w:right w:val="single" w:sz="8" w:space="0" w:color="000000"/>
              <w:tl2br w:val="nil"/>
              <w:tr2bl w:val="nil"/>
            </w:tcBorders>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Ďalšie subjekty verejnej správy</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53</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144</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129</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158</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738</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767</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621</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2 362</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shd w:val="clear" w:color="auto" w:fill="C0C0C0"/>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2)</w:t>
            </w:r>
          </w:p>
        </w:tc>
        <w:tc>
          <w:tcPr>
            <w:tcW w:w="3778" w:type="dxa"/>
            <w:tcBorders>
              <w:top w:val="single" w:sz="8" w:space="0" w:color="auto"/>
              <w:left w:val="nil"/>
              <w:bottom w:val="single" w:sz="8" w:space="0" w:color="auto"/>
              <w:right w:val="single" w:sz="8" w:space="0" w:color="000000"/>
              <w:tl2br w:val="nil"/>
              <w:tr2bl w:val="nil"/>
            </w:tcBorders>
            <w:shd w:val="clear" w:color="auto" w:fill="C0C0C0"/>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Územná samospráva  </w:t>
            </w:r>
          </w:p>
          <w:p w:rsidR="002F3A9F" w:rsidRPr="00B0152A" w:rsidP="00997953">
            <w:pPr>
              <w:rPr>
                <w:rFonts w:ascii="Arial Narrow" w:hAnsi="Arial Narrow" w:cs="Arial"/>
                <w:b/>
                <w:bCs/>
                <w:sz w:val="18"/>
                <w:szCs w:val="18"/>
                <w:lang w:eastAsia="sk-SK"/>
              </w:rPr>
            </w:pPr>
            <w:r w:rsidRPr="00B0152A">
              <w:rPr>
                <w:rFonts w:ascii="Arial Narrow" w:hAnsi="Arial Narrow" w:cs="Arial"/>
                <w:sz w:val="18"/>
                <w:szCs w:val="18"/>
                <w:lang w:eastAsia="sk-SK"/>
              </w:rPr>
              <w:t>(vrátane preneseného výkonu št. správy)</w:t>
            </w:r>
          </w:p>
        </w:tc>
        <w:tc>
          <w:tcPr>
            <w:tcW w:w="754"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60 065</w:t>
            </w:r>
          </w:p>
        </w:tc>
        <w:tc>
          <w:tcPr>
            <w:tcW w:w="686"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100 554</w:t>
            </w:r>
          </w:p>
        </w:tc>
        <w:tc>
          <w:tcPr>
            <w:tcW w:w="720"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187 391</w:t>
            </w:r>
          </w:p>
        </w:tc>
        <w:tc>
          <w:tcPr>
            <w:tcW w:w="70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206 260</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194 987</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185 660</w:t>
            </w:r>
          </w:p>
        </w:tc>
        <w:tc>
          <w:tcPr>
            <w:tcW w:w="775"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182 676</w:t>
            </w:r>
          </w:p>
        </w:tc>
        <w:tc>
          <w:tcPr>
            <w:tcW w:w="84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181 055</w:t>
            </w:r>
          </w:p>
        </w:tc>
      </w:tr>
      <w:tr>
        <w:tblPrEx>
          <w:tblW w:w="10080" w:type="dxa"/>
          <w:tblInd w:w="-110" w:type="dxa"/>
          <w:tblLayout w:type="fixed"/>
          <w:tblCellMar>
            <w:left w:w="70" w:type="dxa"/>
            <w:right w:w="70" w:type="dxa"/>
          </w:tblCellMar>
        </w:tblPrEx>
        <w:trPr>
          <w:trHeight w:val="329"/>
        </w:trPr>
        <w:tc>
          <w:tcPr>
            <w:tcW w:w="377" w:type="dxa"/>
            <w:tcBorders>
              <w:top w:val="nil"/>
              <w:left w:val="single" w:sz="8" w:space="0" w:color="auto"/>
              <w:bottom w:val="single" w:sz="8" w:space="0" w:color="auto"/>
              <w:right w:val="nil"/>
              <w:tl2br w:val="nil"/>
              <w:tr2bl w:val="nil"/>
            </w:tcBorders>
            <w:shd w:val="clear" w:color="auto" w:fill="C0C0C0"/>
            <w:noWrap/>
            <w:textDirection w:val="lrTb"/>
            <w:vAlign w:val="bottom"/>
          </w:tcPr>
          <w:p w:rsidR="002F3A9F" w:rsidRPr="00B0152A" w:rsidP="00997953">
            <w:pPr>
              <w:jc w:val="center"/>
              <w:rPr>
                <w:rFonts w:ascii="Arial Narrow" w:hAnsi="Arial Narrow" w:cs="Arial"/>
                <w:sz w:val="18"/>
                <w:szCs w:val="18"/>
                <w:lang w:eastAsia="sk-SK"/>
              </w:rPr>
            </w:pPr>
            <w:r w:rsidRPr="00B0152A">
              <w:rPr>
                <w:rFonts w:ascii="Arial Narrow" w:hAnsi="Arial Narrow" w:cs="Arial"/>
                <w:sz w:val="18"/>
                <w:szCs w:val="18"/>
                <w:lang w:eastAsia="sk-SK"/>
              </w:rPr>
              <w:t>3)</w:t>
            </w:r>
          </w:p>
        </w:tc>
        <w:tc>
          <w:tcPr>
            <w:tcW w:w="3778" w:type="dxa"/>
            <w:tcBorders>
              <w:top w:val="single" w:sz="8" w:space="0" w:color="auto"/>
              <w:left w:val="nil"/>
              <w:bottom w:val="single" w:sz="8" w:space="0" w:color="auto"/>
              <w:right w:val="single" w:sz="8" w:space="0" w:color="000000"/>
              <w:tl2br w:val="nil"/>
              <w:tr2bl w:val="nil"/>
            </w:tcBorders>
            <w:shd w:val="clear" w:color="auto" w:fill="C0C0C0"/>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Fondy sociálneho poistenia a zdravotného poistenia</w:t>
            </w:r>
          </w:p>
        </w:tc>
        <w:tc>
          <w:tcPr>
            <w:tcW w:w="754"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12 707</w:t>
            </w:r>
          </w:p>
        </w:tc>
        <w:tc>
          <w:tcPr>
            <w:tcW w:w="686"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12 868</w:t>
            </w:r>
          </w:p>
        </w:tc>
        <w:tc>
          <w:tcPr>
            <w:tcW w:w="720"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13 100</w:t>
            </w:r>
          </w:p>
        </w:tc>
        <w:tc>
          <w:tcPr>
            <w:tcW w:w="70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8 900</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9 080</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9 366</w:t>
            </w:r>
          </w:p>
        </w:tc>
        <w:tc>
          <w:tcPr>
            <w:tcW w:w="775"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9 420</w:t>
            </w:r>
          </w:p>
        </w:tc>
        <w:tc>
          <w:tcPr>
            <w:tcW w:w="84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9 484</w:t>
            </w:r>
          </w:p>
        </w:tc>
      </w:tr>
      <w:tr>
        <w:tblPrEx>
          <w:tblW w:w="10080" w:type="dxa"/>
          <w:tblInd w:w="-110" w:type="dxa"/>
          <w:tblLayout w:type="fixed"/>
          <w:tblCellMar>
            <w:left w:w="70" w:type="dxa"/>
            <w:right w:w="70" w:type="dxa"/>
          </w:tblCellMar>
        </w:tblPrEx>
        <w:trPr>
          <w:trHeight w:val="329"/>
        </w:trPr>
        <w:tc>
          <w:tcPr>
            <w:tcW w:w="4155" w:type="dxa"/>
            <w:gridSpan w:val="2"/>
            <w:tcBorders>
              <w:top w:val="single" w:sz="8" w:space="0" w:color="auto"/>
              <w:left w:val="single" w:sz="8" w:space="0" w:color="auto"/>
              <w:bottom w:val="single" w:sz="8" w:space="0" w:color="auto"/>
              <w:right w:val="single" w:sz="8" w:space="0" w:color="000000"/>
              <w:tl2br w:val="nil"/>
              <w:tr2bl w:val="nil"/>
            </w:tcBorders>
            <w:shd w:val="clear" w:color="auto" w:fill="C0C0C0"/>
            <w:noWrap/>
            <w:textDirection w:val="lrTb"/>
            <w:vAlign w:val="bottom"/>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lang w:eastAsia="sk-SK"/>
              </w:rPr>
              <w:t xml:space="preserve"> Verejná správa spolu  </w:t>
            </w:r>
            <w:r w:rsidRPr="00B0152A">
              <w:rPr>
                <w:rFonts w:ascii="Arial Narrow" w:hAnsi="Arial Narrow" w:cs="Arial"/>
                <w:b/>
                <w:bCs/>
                <w:sz w:val="18"/>
                <w:szCs w:val="18"/>
                <w:vertAlign w:val="superscript"/>
                <w:lang w:eastAsia="sk-SK"/>
              </w:rPr>
              <w:t>**)</w:t>
            </w:r>
          </w:p>
        </w:tc>
        <w:tc>
          <w:tcPr>
            <w:tcW w:w="754"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412 505</w:t>
            </w:r>
          </w:p>
        </w:tc>
        <w:tc>
          <w:tcPr>
            <w:tcW w:w="686"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414 770</w:t>
            </w:r>
          </w:p>
        </w:tc>
        <w:tc>
          <w:tcPr>
            <w:tcW w:w="720"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410 483</w:t>
            </w:r>
          </w:p>
        </w:tc>
        <w:tc>
          <w:tcPr>
            <w:tcW w:w="70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397 007</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381 587</w:t>
            </w:r>
          </w:p>
        </w:tc>
        <w:tc>
          <w:tcPr>
            <w:tcW w:w="723"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372 059</w:t>
            </w:r>
          </w:p>
        </w:tc>
        <w:tc>
          <w:tcPr>
            <w:tcW w:w="775"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367 536</w:t>
            </w:r>
          </w:p>
        </w:tc>
        <w:tc>
          <w:tcPr>
            <w:tcW w:w="842" w:type="dxa"/>
            <w:tcBorders>
              <w:top w:val="nil"/>
              <w:left w:val="nil"/>
              <w:bottom w:val="single" w:sz="8" w:space="0" w:color="auto"/>
              <w:right w:val="single" w:sz="8" w:space="0" w:color="auto"/>
              <w:tl2br w:val="nil"/>
              <w:tr2bl w:val="nil"/>
            </w:tcBorders>
            <w:shd w:val="clear" w:color="auto" w:fill="C0C0C0"/>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360 472</w:t>
            </w:r>
          </w:p>
        </w:tc>
      </w:tr>
      <w:tr>
        <w:tblPrEx>
          <w:tblW w:w="10080" w:type="dxa"/>
          <w:tblInd w:w="-110" w:type="dxa"/>
          <w:tblLayout w:type="fixed"/>
          <w:tblCellMar>
            <w:left w:w="70" w:type="dxa"/>
            <w:right w:w="70" w:type="dxa"/>
          </w:tblCellMar>
        </w:tblPrEx>
        <w:trPr>
          <w:trHeight w:val="284"/>
        </w:trPr>
        <w:tc>
          <w:tcPr>
            <w:tcW w:w="4155" w:type="dxa"/>
            <w:gridSpan w:val="2"/>
            <w:tcBorders>
              <w:top w:val="single" w:sz="8" w:space="0" w:color="auto"/>
              <w:left w:val="single" w:sz="8" w:space="0" w:color="auto"/>
              <w:bottom w:val="single" w:sz="8" w:space="0" w:color="auto"/>
              <w:right w:val="single" w:sz="8" w:space="0" w:color="000000"/>
              <w:tl2br w:val="nil"/>
              <w:tr2bl w:val="nil"/>
            </w:tcBorders>
            <w:noWrap/>
            <w:textDirection w:val="lrTb"/>
            <w:vAlign w:val="bottom"/>
          </w:tcPr>
          <w:p w:rsidR="002F3A9F" w:rsidRPr="00B0152A" w:rsidP="00997953">
            <w:pPr>
              <w:rPr>
                <w:rFonts w:ascii="Arial Narrow" w:hAnsi="Arial Narrow" w:cs="Arial"/>
                <w:sz w:val="18"/>
                <w:szCs w:val="18"/>
                <w:lang w:eastAsia="sk-SK"/>
              </w:rPr>
            </w:pPr>
            <w:r w:rsidRPr="00B0152A">
              <w:rPr>
                <w:rFonts w:ascii="Arial Narrow" w:hAnsi="Arial Narrow" w:cs="Arial"/>
                <w:sz w:val="18"/>
                <w:szCs w:val="18"/>
                <w:lang w:eastAsia="sk-SK"/>
              </w:rPr>
              <w:t xml:space="preserve"> % medziročná zmena</w:t>
            </w:r>
          </w:p>
        </w:tc>
        <w:tc>
          <w:tcPr>
            <w:tcW w:w="75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w:t>
            </w:r>
          </w:p>
        </w:tc>
        <w:tc>
          <w:tcPr>
            <w:tcW w:w="686"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0,55</w:t>
            </w:r>
          </w:p>
        </w:tc>
        <w:tc>
          <w:tcPr>
            <w:tcW w:w="72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-1,03</w:t>
            </w:r>
          </w:p>
        </w:tc>
        <w:tc>
          <w:tcPr>
            <w:tcW w:w="70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-3,28</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-3,88</w:t>
            </w:r>
          </w:p>
        </w:tc>
        <w:tc>
          <w:tcPr>
            <w:tcW w:w="723"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-2,5</w:t>
            </w:r>
          </w:p>
        </w:tc>
        <w:tc>
          <w:tcPr>
            <w:tcW w:w="77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-1,22</w:t>
            </w:r>
          </w:p>
        </w:tc>
        <w:tc>
          <w:tcPr>
            <w:tcW w:w="842"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lang w:eastAsia="sk-SK"/>
              </w:rPr>
            </w:pPr>
            <w:r w:rsidRPr="00B0152A">
              <w:rPr>
                <w:rFonts w:ascii="Arial Narrow" w:hAnsi="Arial Narrow" w:cs="Arial"/>
                <w:sz w:val="18"/>
                <w:szCs w:val="18"/>
                <w:lang w:eastAsia="sk-SK"/>
              </w:rPr>
              <w:t>-1,92</w:t>
            </w:r>
          </w:p>
        </w:tc>
      </w:tr>
      <w:tr>
        <w:tblPrEx>
          <w:tblW w:w="10080" w:type="dxa"/>
          <w:tblInd w:w="-110" w:type="dxa"/>
          <w:tblLayout w:type="fixed"/>
          <w:tblCellMar>
            <w:left w:w="70" w:type="dxa"/>
            <w:right w:w="70" w:type="dxa"/>
          </w:tblCellMar>
        </w:tblPrEx>
        <w:trPr>
          <w:trHeight w:val="269"/>
        </w:trPr>
        <w:tc>
          <w:tcPr>
            <w:tcW w:w="4155" w:type="dxa"/>
            <w:gridSpan w:val="2"/>
            <w:tcBorders>
              <w:top w:val="single" w:sz="8" w:space="0" w:color="auto"/>
              <w:left w:val="nil"/>
              <w:bottom w:val="nil"/>
              <w:right w:val="nil"/>
              <w:tl2br w:val="nil"/>
              <w:tr2bl w:val="nil"/>
            </w:tcBorders>
            <w:noWrap/>
            <w:textDirection w:val="lrTb"/>
            <w:vAlign w:val="bottom"/>
          </w:tcPr>
          <w:p w:rsidR="002F3A9F" w:rsidRPr="00B0152A" w:rsidP="00997953">
            <w:pPr>
              <w:rPr>
                <w:rFonts w:ascii="Arial Narrow" w:hAnsi="Arial Narrow" w:cs="Arial"/>
                <w:b/>
                <w:bCs/>
                <w:i/>
                <w:iCs/>
                <w:sz w:val="18"/>
                <w:szCs w:val="18"/>
                <w:lang w:eastAsia="sk-SK"/>
              </w:rPr>
            </w:pPr>
            <w:r w:rsidRPr="00B0152A">
              <w:rPr>
                <w:rFonts w:ascii="Arial Narrow" w:hAnsi="Arial Narrow" w:cs="Arial"/>
                <w:b/>
                <w:bCs/>
                <w:i/>
                <w:iCs/>
                <w:sz w:val="18"/>
                <w:szCs w:val="18"/>
                <w:lang w:eastAsia="sk-SK"/>
              </w:rPr>
              <w:t>Poznámka:</w:t>
            </w:r>
          </w:p>
        </w:tc>
        <w:tc>
          <w:tcPr>
            <w:tcW w:w="754"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686"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720"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702"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723"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723"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775"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c>
          <w:tcPr>
            <w:tcW w:w="842" w:type="dxa"/>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20"/>
                <w:lang w:eastAsia="sk-SK"/>
              </w:rPr>
            </w:pPr>
          </w:p>
        </w:tc>
      </w:tr>
      <w:tr>
        <w:tblPrEx>
          <w:tblW w:w="10080" w:type="dxa"/>
          <w:tblInd w:w="-110" w:type="dxa"/>
          <w:tblLayout w:type="fixed"/>
          <w:tblCellMar>
            <w:left w:w="70" w:type="dxa"/>
            <w:right w:w="70" w:type="dxa"/>
          </w:tblCellMar>
        </w:tblPrEx>
        <w:trPr>
          <w:trHeight w:val="462"/>
        </w:trPr>
        <w:tc>
          <w:tcPr>
            <w:tcW w:w="377" w:type="dxa"/>
            <w:tcBorders>
              <w:top w:val="nil"/>
              <w:left w:val="nil"/>
              <w:bottom w:val="nil"/>
              <w:right w:val="nil"/>
              <w:tl2br w:val="nil"/>
              <w:tr2bl w:val="nil"/>
            </w:tcBorders>
            <w:noWrap/>
            <w:textDirection w:val="lrTb"/>
            <w:vAlign w:val="top"/>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vertAlign w:val="superscript"/>
                <w:lang w:eastAsia="sk-SK"/>
              </w:rPr>
              <w:t xml:space="preserve">*)  </w:t>
            </w:r>
          </w:p>
        </w:tc>
        <w:tc>
          <w:tcPr>
            <w:tcW w:w="9703" w:type="dxa"/>
            <w:gridSpan w:val="9"/>
            <w:tcBorders>
              <w:top w:val="nil"/>
              <w:left w:val="nil"/>
              <w:bottom w:val="nil"/>
              <w:right w:val="nil"/>
              <w:tl2br w:val="nil"/>
              <w:tr2bl w:val="nil"/>
            </w:tcBorders>
            <w:textDirection w:val="lrTb"/>
            <w:vAlign w:val="top"/>
          </w:tcPr>
          <w:p w:rsidR="002F3A9F" w:rsidRPr="00B0152A" w:rsidP="00997953">
            <w:pPr>
              <w:rPr>
                <w:rFonts w:ascii="Arial Narrow" w:hAnsi="Arial Narrow" w:cs="Arial"/>
                <w:sz w:val="16"/>
                <w:szCs w:val="16"/>
                <w:lang w:eastAsia="sk-SK"/>
              </w:rPr>
            </w:pPr>
            <w:r w:rsidRPr="00B0152A">
              <w:rPr>
                <w:rFonts w:ascii="Arial Narrow" w:hAnsi="Arial Narrow" w:cs="Arial"/>
                <w:sz w:val="16"/>
                <w:szCs w:val="16"/>
                <w:lang w:eastAsia="sk-SK"/>
              </w:rPr>
              <w:t>v rozpočtových a v príspevkových organizáciách v r. 2001 a 2002 bez vojenských a bezpečnostných zložiek (zaradenie bezpečnostných zložiek od r. 2003 predstavuje cca 34 tis. zamestnancov), v r. 2003 a 2004 bez MO SR a NBÚ</w:t>
            </w:r>
          </w:p>
        </w:tc>
      </w:tr>
      <w:tr>
        <w:tblPrEx>
          <w:tblW w:w="10080" w:type="dxa"/>
          <w:tblInd w:w="-110" w:type="dxa"/>
          <w:tblLayout w:type="fixed"/>
          <w:tblCellMar>
            <w:left w:w="70" w:type="dxa"/>
            <w:right w:w="70" w:type="dxa"/>
          </w:tblCellMar>
        </w:tblPrEx>
        <w:trPr>
          <w:trHeight w:val="478"/>
        </w:trPr>
        <w:tc>
          <w:tcPr>
            <w:tcW w:w="377" w:type="dxa"/>
            <w:tcBorders>
              <w:top w:val="nil"/>
              <w:left w:val="nil"/>
              <w:bottom w:val="nil"/>
              <w:right w:val="nil"/>
              <w:tl2br w:val="nil"/>
              <w:tr2bl w:val="nil"/>
            </w:tcBorders>
            <w:noWrap/>
            <w:textDirection w:val="lrTb"/>
            <w:vAlign w:val="top"/>
          </w:tcPr>
          <w:p w:rsidR="002F3A9F" w:rsidRPr="00B0152A" w:rsidP="00997953">
            <w:pPr>
              <w:rPr>
                <w:rFonts w:ascii="Arial Narrow" w:hAnsi="Arial Narrow" w:cs="Arial"/>
                <w:b/>
                <w:bCs/>
                <w:sz w:val="18"/>
                <w:szCs w:val="18"/>
                <w:lang w:eastAsia="sk-SK"/>
              </w:rPr>
            </w:pPr>
            <w:r w:rsidRPr="00B0152A">
              <w:rPr>
                <w:rFonts w:ascii="Arial Narrow" w:hAnsi="Arial Narrow" w:cs="Arial"/>
                <w:b/>
                <w:bCs/>
                <w:sz w:val="18"/>
                <w:szCs w:val="18"/>
                <w:vertAlign w:val="superscript"/>
                <w:lang w:eastAsia="sk-SK"/>
              </w:rPr>
              <w:t xml:space="preserve">**)  </w:t>
            </w:r>
          </w:p>
        </w:tc>
        <w:tc>
          <w:tcPr>
            <w:tcW w:w="9703" w:type="dxa"/>
            <w:gridSpan w:val="9"/>
            <w:tcBorders>
              <w:top w:val="nil"/>
              <w:left w:val="nil"/>
              <w:bottom w:val="nil"/>
              <w:right w:val="nil"/>
              <w:tl2br w:val="nil"/>
              <w:tr2bl w:val="nil"/>
            </w:tcBorders>
            <w:textDirection w:val="lrTb"/>
            <w:vAlign w:val="top"/>
          </w:tcPr>
          <w:p w:rsidR="002F3A9F" w:rsidRPr="00B0152A" w:rsidP="00997953">
            <w:pPr>
              <w:rPr>
                <w:rFonts w:ascii="Arial Narrow" w:hAnsi="Arial Narrow" w:cs="Arial"/>
                <w:sz w:val="16"/>
                <w:szCs w:val="16"/>
                <w:lang w:eastAsia="sk-SK"/>
              </w:rPr>
            </w:pPr>
            <w:r w:rsidRPr="00B0152A">
              <w:rPr>
                <w:rFonts w:ascii="Arial Narrow" w:hAnsi="Arial Narrow" w:cs="Arial"/>
                <w:sz w:val="16"/>
                <w:szCs w:val="16"/>
                <w:lang w:eastAsia="sk-SK"/>
              </w:rPr>
              <w:t xml:space="preserve">Kvantifikácia obsahuje rozpočtované ukazovatele v rokoch 2001 – 2008, okrem ukazovateľov územnej samosprávy, v ktorej je vykázaná skutočnosť v rokoch </w:t>
            </w:r>
          </w:p>
          <w:p w:rsidR="002F3A9F" w:rsidRPr="00B0152A" w:rsidP="00997953">
            <w:pPr>
              <w:rPr>
                <w:rFonts w:ascii="Arial Narrow" w:hAnsi="Arial Narrow" w:cs="Arial"/>
                <w:sz w:val="16"/>
                <w:szCs w:val="16"/>
                <w:lang w:eastAsia="sk-SK"/>
              </w:rPr>
            </w:pPr>
            <w:r w:rsidRPr="00B0152A">
              <w:rPr>
                <w:rFonts w:ascii="Arial Narrow" w:hAnsi="Arial Narrow" w:cs="Arial"/>
                <w:sz w:val="16"/>
                <w:szCs w:val="16"/>
                <w:lang w:eastAsia="sk-SK"/>
              </w:rPr>
              <w:t>2001 – 2007 podľa Štatistického úradu SR a predpoklad roku 2008 podľa Ministerstva financií SR, vrátane vojenských a bezpečnostných zložiek.</w:t>
            </w:r>
          </w:p>
        </w:tc>
      </w:tr>
    </w:tbl>
    <w:p w:rsidR="002F3A9F" w:rsidRPr="00B0152A" w:rsidP="002F3A9F">
      <w:pPr>
        <w:ind w:firstLine="708"/>
        <w:jc w:val="both"/>
        <w:rPr>
          <w:rFonts w:ascii="Arial Narrow" w:hAnsi="Arial Narrow" w:cs="Times New Roman"/>
          <w:sz w:val="22"/>
          <w:szCs w:val="22"/>
        </w:rPr>
      </w:pPr>
      <w:r w:rsidRPr="00B0152A">
        <w:rPr>
          <w:rFonts w:ascii="Arial Narrow" w:hAnsi="Arial Narrow" w:cs="Times New Roman"/>
          <w:sz w:val="22"/>
          <w:szCs w:val="22"/>
        </w:rPr>
        <w:t>Priemerná mzda zamestnanca v sektore verejnej správy dlhodobo osciluje okolo úrovne priemernej mzdy zamestnanca v hospodárstve SR. Do roku 2004 priemerná mzda v sektore verejnej správy postupne rástla až na úroveň 101,5 % priemernej mzdy dosiahnutej v hospodárstve SR. Od roku 2005 sa tempo rastu priemernej mzdy v sektore verejnej správy mierne znižuje a v roku 2008 sa očakáva jej výška na úrovni 100,</w:t>
      </w:r>
      <w:r>
        <w:rPr>
          <w:rFonts w:ascii="Arial Narrow" w:hAnsi="Arial Narrow" w:cs="Times New Roman"/>
          <w:sz w:val="22"/>
          <w:szCs w:val="22"/>
        </w:rPr>
        <w:t>5</w:t>
      </w:r>
      <w:r w:rsidRPr="00B0152A">
        <w:rPr>
          <w:rFonts w:ascii="Arial Narrow" w:hAnsi="Arial Narrow" w:cs="Times New Roman"/>
          <w:sz w:val="22"/>
          <w:szCs w:val="22"/>
        </w:rPr>
        <w:t xml:space="preserve"> % priemernej mzdy predikovanej v hospodárstve SR, čo zodpovedá sume 735 eur. Voči očakávanej priemernej mzde zamestnanca v hospodá</w:t>
      </w:r>
      <w:r w:rsidRPr="00B0152A">
        <w:rPr>
          <w:rFonts w:ascii="Arial Narrow" w:hAnsi="Arial Narrow" w:cs="Times New Roman"/>
          <w:sz w:val="22"/>
          <w:szCs w:val="22"/>
        </w:rPr>
        <w:t>rstve SR (73</w:t>
      </w:r>
      <w:r>
        <w:rPr>
          <w:rFonts w:ascii="Arial Narrow" w:hAnsi="Arial Narrow" w:cs="Times New Roman"/>
          <w:sz w:val="22"/>
          <w:szCs w:val="22"/>
        </w:rPr>
        <w:t>1</w:t>
      </w:r>
      <w:r w:rsidRPr="00B0152A">
        <w:rPr>
          <w:rFonts w:ascii="Arial Narrow" w:hAnsi="Arial Narrow" w:cs="Times New Roman"/>
          <w:sz w:val="22"/>
          <w:szCs w:val="22"/>
        </w:rPr>
        <w:t xml:space="preserve"> eur) je v roku 2008 vyššia o </w:t>
      </w:r>
      <w:r>
        <w:rPr>
          <w:rFonts w:ascii="Arial Narrow" w:hAnsi="Arial Narrow" w:cs="Times New Roman"/>
          <w:sz w:val="22"/>
          <w:szCs w:val="22"/>
        </w:rPr>
        <w:t>4</w:t>
      </w:r>
      <w:r w:rsidRPr="00B0152A">
        <w:rPr>
          <w:rFonts w:ascii="Arial Narrow" w:hAnsi="Arial Narrow" w:cs="Times New Roman"/>
          <w:sz w:val="22"/>
          <w:szCs w:val="22"/>
        </w:rPr>
        <w:t xml:space="preserve"> eur. </w:t>
      </w:r>
    </w:p>
    <w:p w:rsidR="002F3A9F" w:rsidRPr="00B0152A" w:rsidP="002F3A9F">
      <w:pPr>
        <w:spacing w:before="120"/>
        <w:ind w:firstLine="709"/>
        <w:jc w:val="both"/>
        <w:rPr>
          <w:rFonts w:ascii="Arial Narrow" w:hAnsi="Arial Narrow" w:cs="Times New Roman"/>
          <w:sz w:val="22"/>
          <w:szCs w:val="22"/>
        </w:rPr>
      </w:pPr>
      <w:r w:rsidRPr="00B0152A">
        <w:rPr>
          <w:rFonts w:ascii="Arial Narrow" w:hAnsi="Arial Narrow" w:cs="Times New Roman"/>
          <w:sz w:val="22"/>
          <w:szCs w:val="22"/>
        </w:rPr>
        <w:t>V roku 2008 sa v sektore verejnej správy očakáva medziročné zvýšenie platov zamestnancov o 8,7 %, čo voči očakávanému medziročnému zvýšeniu platov zamestnancov v hospodárstve SR (9,3 %) predstavuje rast nižší o 0,6 p.b.</w:t>
      </w:r>
    </w:p>
    <w:p w:rsidR="002F3A9F" w:rsidRPr="00B0152A" w:rsidP="002F3A9F">
      <w:pPr>
        <w:spacing w:before="120"/>
        <w:ind w:firstLine="709"/>
        <w:jc w:val="both"/>
        <w:rPr>
          <w:rFonts w:ascii="Arial Narrow" w:hAnsi="Arial Narrow" w:cs="Times New Roman"/>
          <w:sz w:val="22"/>
          <w:szCs w:val="22"/>
        </w:rPr>
      </w:pPr>
      <w:r w:rsidRPr="00B0152A">
        <w:rPr>
          <w:rFonts w:ascii="Arial Narrow" w:hAnsi="Arial Narrow" w:cs="Times New Roman"/>
          <w:sz w:val="22"/>
          <w:szCs w:val="22"/>
        </w:rPr>
        <w:t>Na medziročnom zvýšení platov o 8,7 % sa dopočet valorizácie z roku 2007 a valorizácia pre rok 2008 rozpočtových, príspevkových organizácií, verejných vysokých škôl a samosprávy s výnimkou pedagogických zamestnancov regionálneho školstva  premietli  vo výške 3,8 %, rast platov ďalších subjektov verejnej správy vo výške 1,9 %,  rast platov pedagogických zamestnancov regionálneho školstva vo výške 1,6 %, nový systém odmeňovania policajtov 1,1 % a rast platov ústavných činiteľov vo výške 0,3 %.</w:t>
      </w:r>
    </w:p>
    <w:p w:rsidR="002F3A9F" w:rsidRPr="00B0152A" w:rsidP="002F3A9F">
      <w:pPr>
        <w:jc w:val="both"/>
        <w:rPr>
          <w:rFonts w:ascii="Arial Narrow" w:hAnsi="Arial Narrow" w:cs="Times New Roman"/>
          <w:szCs w:val="24"/>
        </w:rPr>
      </w:pPr>
    </w:p>
    <w:tbl>
      <w:tblPr>
        <w:tblW w:w="9200" w:type="dxa"/>
        <w:tblInd w:w="55" w:type="dxa"/>
        <w:tblCellMar>
          <w:left w:w="70" w:type="dxa"/>
          <w:right w:w="70" w:type="dxa"/>
        </w:tblCellMar>
      </w:tblPr>
      <w:tblGrid>
        <w:gridCol w:w="4679"/>
        <w:gridCol w:w="505"/>
        <w:gridCol w:w="505"/>
        <w:gridCol w:w="560"/>
        <w:gridCol w:w="560"/>
        <w:gridCol w:w="560"/>
        <w:gridCol w:w="560"/>
        <w:gridCol w:w="560"/>
        <w:gridCol w:w="711"/>
      </w:tblGrid>
      <w:tr>
        <w:tblPrEx>
          <w:tblW w:w="9200" w:type="dxa"/>
          <w:tblInd w:w="55" w:type="dxa"/>
          <w:tblCellMar>
            <w:left w:w="70" w:type="dxa"/>
            <w:right w:w="70" w:type="dxa"/>
          </w:tblCellMar>
        </w:tblPrEx>
        <w:trPr>
          <w:trHeight w:val="279"/>
        </w:trPr>
        <w:tc>
          <w:tcPr>
            <w:tcW w:w="9200" w:type="dxa"/>
            <w:gridSpan w:val="9"/>
            <w:tcBorders>
              <w:top w:val="nil"/>
              <w:left w:val="nil"/>
              <w:bottom w:val="nil"/>
              <w:right w:val="nil"/>
              <w:tl2br w:val="nil"/>
              <w:tr2bl w:val="nil"/>
            </w:tcBorders>
            <w:noWrap/>
            <w:textDirection w:val="lrTb"/>
            <w:vAlign w:val="bottom"/>
          </w:tcPr>
          <w:p w:rsidR="002F3A9F" w:rsidRPr="00B0152A" w:rsidP="00997953">
            <w:pPr>
              <w:jc w:val="center"/>
              <w:rPr>
                <w:rFonts w:ascii="Arial Narrow" w:hAnsi="Arial Narrow" w:cs="Arial"/>
                <w:b/>
                <w:bCs/>
                <w:sz w:val="22"/>
                <w:szCs w:val="22"/>
              </w:rPr>
            </w:pPr>
            <w:r w:rsidRPr="00B0152A">
              <w:rPr>
                <w:rFonts w:ascii="Arial Narrow" w:hAnsi="Arial Narrow" w:cs="Arial"/>
                <w:b/>
                <w:bCs/>
                <w:sz w:val="22"/>
                <w:szCs w:val="22"/>
              </w:rPr>
              <w:t>Vývoj priemernej mzdy v sektore verejnej správy</w:t>
            </w:r>
          </w:p>
          <w:p w:rsidR="002F3A9F" w:rsidRPr="00B0152A" w:rsidP="00997953">
            <w:pPr>
              <w:jc w:val="center"/>
              <w:rPr>
                <w:rFonts w:ascii="Arial Narrow" w:hAnsi="Arial Narrow" w:cs="Arial"/>
                <w:b/>
                <w:bCs/>
                <w:sz w:val="20"/>
              </w:rPr>
            </w:pPr>
          </w:p>
        </w:tc>
      </w:tr>
      <w:tr>
        <w:tblPrEx>
          <w:tblW w:w="9200" w:type="dxa"/>
          <w:tblInd w:w="55" w:type="dxa"/>
          <w:tblCellMar>
            <w:left w:w="70" w:type="dxa"/>
            <w:right w:w="70" w:type="dxa"/>
          </w:tblCellMar>
        </w:tblPrEx>
        <w:trPr>
          <w:trHeight w:val="310"/>
        </w:trPr>
        <w:tc>
          <w:tcPr>
            <w:tcW w:w="4679" w:type="dxa"/>
            <w:tcBorders>
              <w:top w:val="nil"/>
              <w:left w:val="single" w:sz="8" w:space="0" w:color="auto"/>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sz w:val="20"/>
              </w:rPr>
            </w:pPr>
            <w:r w:rsidRPr="00B0152A">
              <w:rPr>
                <w:rFonts w:ascii="Arial Narrow" w:hAnsi="Arial Narrow" w:cs="Arial"/>
                <w:b/>
                <w:sz w:val="20"/>
              </w:rPr>
              <w:t>Ukazovateľ</w:t>
            </w:r>
          </w:p>
        </w:tc>
        <w:tc>
          <w:tcPr>
            <w:tcW w:w="505"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2001</w:t>
            </w:r>
          </w:p>
        </w:tc>
        <w:tc>
          <w:tcPr>
            <w:tcW w:w="505"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2002</w:t>
            </w:r>
          </w:p>
        </w:tc>
        <w:tc>
          <w:tcPr>
            <w:tcW w:w="560"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2003</w:t>
            </w:r>
          </w:p>
        </w:tc>
        <w:tc>
          <w:tcPr>
            <w:tcW w:w="560"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2004</w:t>
            </w:r>
          </w:p>
        </w:tc>
        <w:tc>
          <w:tcPr>
            <w:tcW w:w="560"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2005</w:t>
            </w:r>
          </w:p>
        </w:tc>
        <w:tc>
          <w:tcPr>
            <w:tcW w:w="560"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2006</w:t>
            </w:r>
          </w:p>
        </w:tc>
        <w:tc>
          <w:tcPr>
            <w:tcW w:w="560"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2007</w:t>
            </w:r>
          </w:p>
        </w:tc>
        <w:tc>
          <w:tcPr>
            <w:tcW w:w="711" w:type="dxa"/>
            <w:tcBorders>
              <w:top w:val="nil"/>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rPr>
            </w:pPr>
            <w:r w:rsidRPr="00B0152A">
              <w:rPr>
                <w:rFonts w:ascii="Arial Narrow" w:hAnsi="Arial Narrow" w:cs="Arial"/>
                <w:b/>
                <w:bCs/>
                <w:sz w:val="18"/>
                <w:szCs w:val="18"/>
              </w:rPr>
              <w:t xml:space="preserve">2008 </w:t>
            </w:r>
            <w:r w:rsidRPr="00B0152A">
              <w:rPr>
                <w:rFonts w:ascii="Arial Narrow" w:hAnsi="Arial Narrow" w:cs="Arial"/>
                <w:b/>
                <w:bCs/>
                <w:sz w:val="18"/>
                <w:szCs w:val="18"/>
                <w:vertAlign w:val="superscript"/>
              </w:rPr>
              <w:t>2)</w:t>
            </w:r>
          </w:p>
        </w:tc>
      </w:tr>
      <w:tr>
        <w:tblPrEx>
          <w:tblW w:w="9200" w:type="dxa"/>
          <w:tblInd w:w="55" w:type="dxa"/>
          <w:tblCellMar>
            <w:left w:w="70" w:type="dxa"/>
            <w:right w:w="70" w:type="dxa"/>
          </w:tblCellMar>
        </w:tblPrEx>
        <w:trPr>
          <w:trHeight w:val="341"/>
        </w:trPr>
        <w:tc>
          <w:tcPr>
            <w:tcW w:w="4679" w:type="dxa"/>
            <w:tcBorders>
              <w:top w:val="single" w:sz="8" w:space="0" w:color="auto"/>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rPr>
                <w:rFonts w:ascii="Arial Narrow" w:hAnsi="Arial Narrow" w:cs="Arial"/>
                <w:sz w:val="18"/>
                <w:szCs w:val="18"/>
              </w:rPr>
            </w:pPr>
            <w:r w:rsidRPr="00B0152A">
              <w:rPr>
                <w:rFonts w:ascii="Arial Narrow" w:hAnsi="Arial Narrow" w:cs="Arial"/>
                <w:sz w:val="18"/>
                <w:szCs w:val="18"/>
              </w:rPr>
              <w:t xml:space="preserve">Priemerná mzda verejnej správy (v eurách)   </w:t>
            </w:r>
            <w:r w:rsidRPr="00B0152A">
              <w:rPr>
                <w:rFonts w:ascii="Arial Narrow" w:hAnsi="Arial Narrow" w:cs="Arial"/>
                <w:sz w:val="18"/>
                <w:szCs w:val="18"/>
                <w:vertAlign w:val="superscript"/>
              </w:rPr>
              <w:t>1)</w:t>
            </w:r>
          </w:p>
        </w:tc>
        <w:tc>
          <w:tcPr>
            <w:tcW w:w="505"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385</w:t>
            </w:r>
          </w:p>
        </w:tc>
        <w:tc>
          <w:tcPr>
            <w:tcW w:w="505"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438</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483</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533</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581</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631</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676</w:t>
            </w:r>
          </w:p>
        </w:tc>
        <w:tc>
          <w:tcPr>
            <w:tcW w:w="711"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735</w:t>
            </w:r>
          </w:p>
        </w:tc>
      </w:tr>
      <w:tr>
        <w:tblPrEx>
          <w:tblW w:w="9200" w:type="dxa"/>
          <w:tblInd w:w="55" w:type="dxa"/>
          <w:tblCellMar>
            <w:left w:w="70" w:type="dxa"/>
            <w:right w:w="70" w:type="dxa"/>
          </w:tblCellMar>
        </w:tblPrEx>
        <w:trPr>
          <w:trHeight w:val="294"/>
        </w:trPr>
        <w:tc>
          <w:tcPr>
            <w:tcW w:w="4679" w:type="dxa"/>
            <w:tcBorders>
              <w:top w:val="nil"/>
              <w:left w:val="single" w:sz="8" w:space="0" w:color="auto"/>
              <w:bottom w:val="single" w:sz="8" w:space="0" w:color="auto"/>
              <w:right w:val="single" w:sz="8" w:space="0" w:color="auto"/>
              <w:tl2br w:val="nil"/>
              <w:tr2bl w:val="nil"/>
            </w:tcBorders>
            <w:textDirection w:val="lrTb"/>
            <w:vAlign w:val="bottom"/>
          </w:tcPr>
          <w:p w:rsidR="002F3A9F" w:rsidRPr="00B0152A" w:rsidP="00997953">
            <w:pPr>
              <w:rPr>
                <w:rFonts w:ascii="Arial Narrow" w:hAnsi="Arial Narrow" w:cs="Arial"/>
                <w:sz w:val="18"/>
                <w:szCs w:val="18"/>
              </w:rPr>
            </w:pPr>
            <w:r w:rsidRPr="00B0152A">
              <w:rPr>
                <w:rFonts w:ascii="Arial Narrow" w:hAnsi="Arial Narrow" w:cs="Arial"/>
                <w:sz w:val="18"/>
                <w:szCs w:val="18"/>
              </w:rPr>
              <w:t>Priemerná mzda zamestnancov v hospodárstve SR  (v eurách)</w:t>
            </w:r>
          </w:p>
        </w:tc>
        <w:tc>
          <w:tcPr>
            <w:tcW w:w="50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410</w:t>
            </w:r>
          </w:p>
        </w:tc>
        <w:tc>
          <w:tcPr>
            <w:tcW w:w="505"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448</w:t>
            </w:r>
          </w:p>
        </w:tc>
        <w:tc>
          <w:tcPr>
            <w:tcW w:w="5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477</w:t>
            </w:r>
          </w:p>
        </w:tc>
        <w:tc>
          <w:tcPr>
            <w:tcW w:w="5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525</w:t>
            </w:r>
          </w:p>
        </w:tc>
        <w:tc>
          <w:tcPr>
            <w:tcW w:w="5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573</w:t>
            </w:r>
          </w:p>
        </w:tc>
        <w:tc>
          <w:tcPr>
            <w:tcW w:w="5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623</w:t>
            </w:r>
          </w:p>
        </w:tc>
        <w:tc>
          <w:tcPr>
            <w:tcW w:w="5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669</w:t>
            </w:r>
          </w:p>
        </w:tc>
        <w:tc>
          <w:tcPr>
            <w:tcW w:w="711"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731</w:t>
            </w:r>
          </w:p>
        </w:tc>
      </w:tr>
      <w:tr>
        <w:tblPrEx>
          <w:tblW w:w="9200" w:type="dxa"/>
          <w:tblInd w:w="55" w:type="dxa"/>
          <w:tblCellMar>
            <w:left w:w="70" w:type="dxa"/>
            <w:right w:w="70" w:type="dxa"/>
          </w:tblCellMar>
        </w:tblPrEx>
        <w:trPr>
          <w:trHeight w:val="294"/>
        </w:trPr>
        <w:tc>
          <w:tcPr>
            <w:tcW w:w="4679" w:type="dxa"/>
            <w:tcBorders>
              <w:top w:val="single" w:sz="8" w:space="0" w:color="auto"/>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jc w:val="both"/>
              <w:rPr>
                <w:rFonts w:ascii="Arial Narrow" w:hAnsi="Arial Narrow" w:cs="Arial"/>
                <w:sz w:val="18"/>
                <w:szCs w:val="18"/>
              </w:rPr>
            </w:pPr>
            <w:r w:rsidRPr="00B0152A">
              <w:rPr>
                <w:rFonts w:ascii="Arial Narrow" w:hAnsi="Arial Narrow" w:cs="Arial"/>
                <w:sz w:val="18"/>
                <w:szCs w:val="18"/>
              </w:rPr>
              <w:t>Index</w:t>
            </w:r>
          </w:p>
        </w:tc>
        <w:tc>
          <w:tcPr>
            <w:tcW w:w="505"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93,8</w:t>
            </w:r>
          </w:p>
        </w:tc>
        <w:tc>
          <w:tcPr>
            <w:tcW w:w="505"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97,7</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101,3</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101,5</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101,3</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101,3</w:t>
            </w:r>
          </w:p>
        </w:tc>
        <w:tc>
          <w:tcPr>
            <w:tcW w:w="5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101,1</w:t>
            </w:r>
          </w:p>
        </w:tc>
        <w:tc>
          <w:tcPr>
            <w:tcW w:w="711"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100,5</w:t>
            </w:r>
          </w:p>
        </w:tc>
      </w:tr>
      <w:tr>
        <w:tblPrEx>
          <w:tblW w:w="9200" w:type="dxa"/>
          <w:tblInd w:w="55" w:type="dxa"/>
          <w:tblCellMar>
            <w:left w:w="70" w:type="dxa"/>
            <w:right w:w="70" w:type="dxa"/>
          </w:tblCellMar>
        </w:tblPrEx>
        <w:trPr>
          <w:trHeight w:val="279"/>
        </w:trPr>
        <w:tc>
          <w:tcPr>
            <w:tcW w:w="9200" w:type="dxa"/>
            <w:gridSpan w:val="9"/>
            <w:tcBorders>
              <w:top w:val="single" w:sz="8" w:space="0" w:color="auto"/>
              <w:left w:val="nil"/>
              <w:bottom w:val="nil"/>
              <w:right w:val="nil"/>
              <w:tl2br w:val="nil"/>
              <w:tr2bl w:val="nil"/>
            </w:tcBorders>
            <w:noWrap/>
            <w:textDirection w:val="lrTb"/>
            <w:vAlign w:val="bottom"/>
          </w:tcPr>
          <w:p w:rsidR="002F3A9F" w:rsidRPr="00B0152A" w:rsidP="00997953">
            <w:pPr>
              <w:rPr>
                <w:rFonts w:ascii="Arial Narrow" w:hAnsi="Arial Narrow" w:cs="Arial"/>
                <w:sz w:val="14"/>
                <w:szCs w:val="14"/>
              </w:rPr>
            </w:pPr>
            <w:r w:rsidRPr="00B0152A">
              <w:rPr>
                <w:rFonts w:ascii="Arial Narrow" w:hAnsi="Arial Narrow" w:cs="Arial"/>
                <w:sz w:val="14"/>
                <w:szCs w:val="14"/>
              </w:rPr>
              <w:t>1)   vrátane územnej samosprávy a fondov sociálneho poistenia a zdravotného poistenia a ďalších subjektov verejnej správy</w:t>
            </w:r>
          </w:p>
        </w:tc>
      </w:tr>
      <w:tr>
        <w:tblPrEx>
          <w:tblW w:w="9200" w:type="dxa"/>
          <w:tblInd w:w="55" w:type="dxa"/>
          <w:tblCellMar>
            <w:left w:w="70" w:type="dxa"/>
            <w:right w:w="70" w:type="dxa"/>
          </w:tblCellMar>
        </w:tblPrEx>
        <w:trPr>
          <w:trHeight w:val="279"/>
        </w:trPr>
        <w:tc>
          <w:tcPr>
            <w:tcW w:w="9200" w:type="dxa"/>
            <w:gridSpan w:val="9"/>
            <w:tcBorders>
              <w:top w:val="nil"/>
              <w:left w:val="nil"/>
              <w:bottom w:val="nil"/>
              <w:right w:val="nil"/>
              <w:tl2br w:val="nil"/>
              <w:tr2bl w:val="nil"/>
            </w:tcBorders>
            <w:noWrap/>
            <w:textDirection w:val="lrTb"/>
            <w:vAlign w:val="bottom"/>
          </w:tcPr>
          <w:p w:rsidR="002F3A9F" w:rsidRPr="00B0152A" w:rsidP="00997953">
            <w:pPr>
              <w:rPr>
                <w:rFonts w:ascii="Arial Narrow" w:hAnsi="Arial Narrow" w:cs="Arial"/>
                <w:sz w:val="14"/>
                <w:szCs w:val="14"/>
              </w:rPr>
            </w:pPr>
            <w:r w:rsidRPr="00B0152A">
              <w:rPr>
                <w:rFonts w:ascii="Arial Narrow" w:hAnsi="Arial Narrow" w:cs="Arial"/>
                <w:sz w:val="14"/>
                <w:szCs w:val="14"/>
              </w:rPr>
              <w:t>2)   aktualizovaná očakávaná skutočnosť</w:t>
            </w:r>
          </w:p>
        </w:tc>
      </w:tr>
    </w:tbl>
    <w:p w:rsidR="002F3A9F" w:rsidRPr="00B0152A" w:rsidP="002F3A9F">
      <w:pPr>
        <w:tabs>
          <w:tab w:val="left" w:pos="720"/>
        </w:tabs>
        <w:spacing w:before="360"/>
        <w:jc w:val="both"/>
        <w:rPr>
          <w:rFonts w:ascii="Arial Narrow" w:hAnsi="Arial Narrow" w:cs="Times New Roman"/>
          <w:b/>
          <w:bCs/>
        </w:rPr>
      </w:pPr>
      <w:r w:rsidRPr="00B0152A">
        <w:rPr>
          <w:rFonts w:ascii="Arial Narrow" w:hAnsi="Arial Narrow" w:cs="Times New Roman"/>
          <w:b/>
          <w:bCs/>
        </w:rPr>
        <w:t>A.1.2. Zamestnanosť financovaná z kapitol štátneho rozpočtu</w:t>
      </w:r>
    </w:p>
    <w:p w:rsidR="002F3A9F" w:rsidP="002F3A9F">
      <w:pPr>
        <w:tabs>
          <w:tab w:val="left" w:pos="0"/>
        </w:tabs>
        <w:spacing w:before="360"/>
        <w:jc w:val="both"/>
        <w:rPr>
          <w:rFonts w:ascii="Arial Narrow" w:hAnsi="Arial Narrow" w:cs="Times New Roman"/>
          <w:bCs/>
          <w:sz w:val="22"/>
          <w:szCs w:val="22"/>
        </w:rPr>
      </w:pPr>
      <w:r w:rsidRPr="00B0152A">
        <w:rPr>
          <w:rFonts w:ascii="Arial Narrow" w:hAnsi="Arial Narrow" w:cs="Times New Roman"/>
          <w:bCs/>
        </w:rPr>
        <w:tab/>
      </w:r>
      <w:r w:rsidRPr="00B0152A">
        <w:rPr>
          <w:rFonts w:ascii="Arial Narrow" w:hAnsi="Arial Narrow" w:cs="Times New Roman"/>
          <w:bCs/>
          <w:sz w:val="22"/>
          <w:szCs w:val="22"/>
        </w:rPr>
        <w:t>Zo štátneho rozpočtu sa pre rok 2009 prostredníctvom kapitol štátneho rozpočtu (bez SIS) rozpočtujú výdavky na financovanie osobných výdavkov pre 249 876 zamestnancov v celkovej sume  3</w:t>
      </w:r>
      <w:r>
        <w:rPr>
          <w:rFonts w:ascii="Arial Narrow" w:hAnsi="Arial Narrow" w:cs="Times New Roman"/>
          <w:bCs/>
          <w:sz w:val="22"/>
          <w:szCs w:val="22"/>
        </w:rPr>
        <w:t> 392 389</w:t>
      </w:r>
      <w:r w:rsidRPr="00B0152A">
        <w:rPr>
          <w:rFonts w:ascii="Arial Narrow" w:hAnsi="Arial Narrow" w:cs="Times New Roman"/>
          <w:bCs/>
          <w:sz w:val="22"/>
          <w:szCs w:val="22"/>
        </w:rPr>
        <w:t xml:space="preserve"> tis. eur. V uvedenom počte zamestnancov sú zahrnutí predovšetkým zamestnanci rozpočtových a príspevkových organizácií kapitol štátneho rozpočtu v počte 146 106 osôb, verejných vysokých škôl v počte 21 529 osôb a zamestnanci preneseného výkonu štátnej správy na obce a vyššie územné celky v počte 82 241 osôb. </w:t>
      </w:r>
      <w:r>
        <w:rPr>
          <w:rFonts w:ascii="Arial Narrow" w:hAnsi="Arial Narrow" w:cs="Times New Roman"/>
          <w:bCs/>
          <w:sz w:val="22"/>
          <w:szCs w:val="22"/>
        </w:rPr>
        <w:t xml:space="preserve"> </w:t>
      </w:r>
    </w:p>
    <w:p w:rsidR="003E2C4A" w:rsidP="003E2C4A">
      <w:pPr>
        <w:tabs>
          <w:tab w:val="left" w:pos="0"/>
        </w:tabs>
        <w:jc w:val="both"/>
        <w:rPr>
          <w:rFonts w:ascii="Arial Narrow" w:hAnsi="Arial Narrow" w:cs="Times New Roman"/>
          <w:bCs/>
          <w:sz w:val="22"/>
          <w:szCs w:val="22"/>
        </w:rPr>
      </w:pPr>
    </w:p>
    <w:p w:rsidR="002F3A9F" w:rsidRPr="00B0152A" w:rsidP="003E2C4A">
      <w:pPr>
        <w:tabs>
          <w:tab w:val="left" w:pos="0"/>
        </w:tabs>
        <w:jc w:val="both"/>
        <w:rPr>
          <w:rFonts w:ascii="Arial Narrow" w:hAnsi="Arial Narrow" w:cs="Times New Roman"/>
          <w:bCs/>
          <w:sz w:val="22"/>
          <w:szCs w:val="22"/>
        </w:rPr>
      </w:pPr>
      <w:r>
        <w:rPr>
          <w:rFonts w:ascii="Arial Narrow" w:hAnsi="Arial Narrow" w:cs="Times New Roman"/>
          <w:bCs/>
          <w:sz w:val="22"/>
          <w:szCs w:val="22"/>
        </w:rPr>
        <w:tab/>
        <w:t>Osobné výdavky v roku 2009 vzrastú oproti roku 2008 o 7,4% a dosiahnu sumu 3 392 389 tis. eur. Mzdové výdavky sa navrhujú na úrovni 2 541 350 tis. eur. Priemerný mzdový výdavok na rok 2009 sa rozpočtuje v sume 848 eur, čo oproti roku 2008 predstavuje rast na úrovni 8,7 %. Pre roky 2010 a 2011 sa navrhujú mzdové výdavky v sume 2 533 010 tis. eur a 2 624 282 tis. eur.</w:t>
      </w:r>
    </w:p>
    <w:p w:rsidR="002F3A9F" w:rsidRPr="00B0152A" w:rsidP="00791FA9">
      <w:pPr>
        <w:tabs>
          <w:tab w:val="left" w:pos="720"/>
        </w:tabs>
        <w:ind w:left="720" w:hanging="720"/>
        <w:jc w:val="both"/>
        <w:rPr>
          <w:rFonts w:ascii="Arial Narrow" w:hAnsi="Arial Narrow" w:cs="Times New Roman"/>
          <w:b/>
          <w:bCs/>
        </w:rPr>
      </w:pPr>
      <w:r>
        <w:rPr>
          <w:rFonts w:ascii="Arial Narrow" w:hAnsi="Arial Narrow" w:cs="Times New Roman"/>
          <w:b/>
          <w:bCs/>
        </w:rPr>
        <w:tab/>
      </w:r>
    </w:p>
    <w:p w:rsidR="002F3A9F" w:rsidRPr="00B0152A" w:rsidP="002F3A9F">
      <w:pPr>
        <w:tabs>
          <w:tab w:val="left" w:pos="720"/>
        </w:tabs>
        <w:ind w:left="720" w:hanging="720"/>
        <w:jc w:val="both"/>
        <w:rPr>
          <w:rFonts w:ascii="Arial Narrow" w:hAnsi="Arial Narrow" w:cs="Times New Roman"/>
          <w:b/>
          <w:bCs/>
        </w:rPr>
      </w:pPr>
      <w:r w:rsidRPr="00B0152A">
        <w:rPr>
          <w:rFonts w:ascii="Arial Narrow" w:hAnsi="Arial Narrow" w:cs="Times New Roman"/>
          <w:b/>
          <w:bCs/>
        </w:rPr>
        <w:t>A.1.3. Zamestnanosť v organizáciách v zriaďovateľskej pôsobnosti kapitol štátneho rozpočtu bez regionál</w:t>
      </w:r>
      <w:r w:rsidRPr="00B0152A">
        <w:rPr>
          <w:rFonts w:ascii="Arial Narrow" w:hAnsi="Arial Narrow" w:cs="Times New Roman"/>
          <w:b/>
          <w:bCs/>
        </w:rPr>
        <w:t>neho školstva</w:t>
      </w:r>
    </w:p>
    <w:p w:rsidR="002F3A9F" w:rsidRPr="00B0152A" w:rsidP="002F3A9F">
      <w:pPr>
        <w:jc w:val="both"/>
        <w:rPr>
          <w:rFonts w:ascii="Arial Narrow" w:hAnsi="Arial Narrow" w:cs="Times New Roman"/>
          <w:sz w:val="22"/>
          <w:szCs w:val="22"/>
        </w:rPr>
      </w:pPr>
    </w:p>
    <w:p w:rsidR="002F3A9F" w:rsidRPr="00B0152A" w:rsidP="002F3A9F">
      <w:pPr>
        <w:ind w:firstLine="708"/>
        <w:jc w:val="both"/>
        <w:rPr>
          <w:rFonts w:ascii="Arial Narrow" w:hAnsi="Arial Narrow" w:cs="Times New Roman"/>
          <w:sz w:val="22"/>
          <w:szCs w:val="22"/>
        </w:rPr>
      </w:pPr>
      <w:r w:rsidRPr="00B0152A">
        <w:rPr>
          <w:rFonts w:ascii="Arial Narrow" w:hAnsi="Arial Narrow" w:cs="Times New Roman"/>
          <w:sz w:val="22"/>
          <w:szCs w:val="22"/>
        </w:rPr>
        <w:t>Časť výdavkov na valorizáciu platov štátnych zamestnancov (v štátnozamestnaneckom pomere a v služobnom pomere) a zamestnancov pri výkone práce vo verejnom záujme vo výške 3 % na roky  2009 až 2011 je rozpočtovaná v kapitolách štátneho rozpočtu. Zostávajúca časť valorizácie platov zamestnancov nadväzujúca na kolektívne vyjednávanie, ako aj na zákon o štátnom rozpočte na rok 2009 je pre rok 2009  zabezpečená v  kapitole Všeobecná pokladničná správa,  diferencovane vo výške 1%, 2%, resp. 4 % podľa skupín zamestnancov. Súčasne sú v kapitole Všeobecná pokladničná správa rozpočtované aj finančné prostriedky na úpravu platov zamestnancov, ktorých plat sa odvíja od výšky priemernej mzdy zamestnanca v hospodárstve Slovenskej republiky. Pri tvorbe rozpočtu bol pre rok 2009 zohľadnený osobitný postup u nasledujúcich skupín zamestnancov:</w:t>
      </w:r>
    </w:p>
    <w:p w:rsidR="002F3A9F" w:rsidRPr="00B0152A" w:rsidP="002F3A9F">
      <w:pPr>
        <w:jc w:val="both"/>
        <w:rPr>
          <w:rFonts w:ascii="Arial Narrow" w:hAnsi="Arial Narrow" w:cs="Times New Roman"/>
          <w:sz w:val="22"/>
          <w:szCs w:val="22"/>
        </w:rPr>
      </w:pPr>
      <w:r w:rsidRPr="00B0152A">
        <w:rPr>
          <w:rFonts w:ascii="Arial Narrow" w:hAnsi="Arial Narrow" w:cs="Times New Roman"/>
          <w:sz w:val="22"/>
          <w:szCs w:val="22"/>
        </w:rPr>
        <w:tab/>
      </w:r>
    </w:p>
    <w:p w:rsidR="002F3A9F" w:rsidRPr="00B0152A" w:rsidP="002F3A9F">
      <w:pPr>
        <w:numPr>
          <w:ilvl w:val="0"/>
          <w:numId w:val="15"/>
        </w:numPr>
        <w:tabs>
          <w:tab w:val="left" w:pos="1050"/>
        </w:tabs>
        <w:jc w:val="both"/>
        <w:rPr>
          <w:rFonts w:ascii="Arial Narrow" w:hAnsi="Arial Narrow" w:cs="Times New Roman"/>
          <w:sz w:val="22"/>
          <w:szCs w:val="22"/>
        </w:rPr>
      </w:pPr>
      <w:r w:rsidRPr="00B0152A">
        <w:rPr>
          <w:rFonts w:ascii="Arial Narrow" w:hAnsi="Arial Narrow" w:cs="Times New Roman"/>
          <w:sz w:val="22"/>
          <w:szCs w:val="22"/>
        </w:rPr>
        <w:t>štátnych zamestnancov odmeňovaných podľa zákona č. 312/2001 Z. z. o štátnej službe, kde sa navrhuje do prijatia nového zákona valorizácia platových taríf vo výške 4 % z dôvodu, že štátnym zamestnancom sa k tomu istému termínu v zmysle platného zákona upravujú platové tarify v rozpätí od 1 % do 3 % aj v nadväznosti na závery služobného hodnotenia; navrhuje  sa od 1. januára 2009 zabezpečiť minimálne rovnaký rast platov štá</w:t>
      </w:r>
      <w:r w:rsidRPr="00B0152A">
        <w:rPr>
          <w:rFonts w:ascii="Arial Narrow" w:hAnsi="Arial Narrow" w:cs="Times New Roman"/>
          <w:sz w:val="22"/>
          <w:szCs w:val="22"/>
        </w:rPr>
        <w:t>tnych zamestnancov vo výške 5 % tak, ako u</w:t>
      </w:r>
      <w:r w:rsidR="00F039C1">
        <w:rPr>
          <w:rFonts w:ascii="Arial Narrow" w:hAnsi="Arial Narrow" w:cs="Times New Roman"/>
          <w:sz w:val="22"/>
          <w:szCs w:val="22"/>
        </w:rPr>
        <w:t> takmer polovici</w:t>
      </w:r>
      <w:r>
        <w:rPr>
          <w:rFonts w:ascii="Arial Narrow" w:hAnsi="Arial Narrow" w:cs="Times New Roman"/>
          <w:sz w:val="22"/>
          <w:szCs w:val="22"/>
        </w:rPr>
        <w:t xml:space="preserve"> ostatných </w:t>
      </w:r>
      <w:r w:rsidRPr="00B0152A">
        <w:rPr>
          <w:rFonts w:ascii="Arial Narrow" w:hAnsi="Arial Narrow" w:cs="Times New Roman"/>
          <w:sz w:val="22"/>
          <w:szCs w:val="22"/>
        </w:rPr>
        <w:t>zamestnancov;</w:t>
      </w:r>
    </w:p>
    <w:p w:rsidR="002F3A9F" w:rsidRPr="00B0152A" w:rsidP="002F3A9F">
      <w:pPr>
        <w:numPr>
          <w:ilvl w:val="0"/>
          <w:numId w:val="15"/>
        </w:numPr>
        <w:tabs>
          <w:tab w:val="left" w:pos="1050"/>
        </w:tabs>
        <w:jc w:val="both"/>
        <w:rPr>
          <w:rFonts w:ascii="Arial Narrow" w:hAnsi="Arial Narrow" w:cs="Times New Roman"/>
          <w:sz w:val="22"/>
          <w:szCs w:val="22"/>
        </w:rPr>
      </w:pPr>
      <w:r w:rsidRPr="00B0152A">
        <w:rPr>
          <w:rFonts w:ascii="Arial Narrow" w:hAnsi="Arial Narrow" w:cs="Times New Roman"/>
          <w:sz w:val="22"/>
          <w:szCs w:val="22"/>
        </w:rPr>
        <w:t>zamestnancov pri výkone práce vo verejnom záujme odmeňovaných podľa základnej stupnice platových taríf a zamestnancov odmeňovaných podľa platových taríf pedagogických zamest</w:t>
      </w:r>
      <w:r w:rsidRPr="00B0152A">
        <w:rPr>
          <w:rFonts w:ascii="Arial Narrow" w:hAnsi="Arial Narrow" w:cs="Times New Roman"/>
          <w:sz w:val="22"/>
          <w:szCs w:val="22"/>
        </w:rPr>
        <w:t xml:space="preserve">nancov, kde sa navrhuje valorizácia platov na úrovni 7 %; </w:t>
      </w:r>
    </w:p>
    <w:p w:rsidR="002F3A9F" w:rsidP="002F3A9F">
      <w:pPr>
        <w:numPr>
          <w:ilvl w:val="0"/>
          <w:numId w:val="15"/>
        </w:numPr>
        <w:tabs>
          <w:tab w:val="left" w:pos="1050"/>
        </w:tabs>
        <w:jc w:val="both"/>
        <w:rPr>
          <w:rFonts w:ascii="Arial Narrow" w:hAnsi="Arial Narrow" w:cs="Times New Roman"/>
          <w:sz w:val="22"/>
          <w:szCs w:val="22"/>
        </w:rPr>
      </w:pPr>
      <w:r w:rsidRPr="00B0152A">
        <w:rPr>
          <w:rFonts w:ascii="Arial Narrow" w:hAnsi="Arial Narrow" w:cs="Times New Roman"/>
          <w:sz w:val="22"/>
          <w:szCs w:val="22"/>
        </w:rPr>
        <w:t>ústavných činiteľov, sudcov, prokurátorov a predstavených v politických funkciách v služobnom úrade, ktorým je ministerstvo a pre predstavených v politických funkciách, ktorí sú na čele ostatného ústredného orgánu štátnej správy, u ktorých je v rozpočte zohľadnený rast platov zodpovedajúci rastu priemernej mzdy zamestnanca v hospodárstve SR;</w:t>
      </w:r>
    </w:p>
    <w:p w:rsidR="002F3A9F" w:rsidP="00F039C1">
      <w:pPr>
        <w:numPr>
          <w:ilvl w:val="0"/>
          <w:numId w:val="15"/>
        </w:numPr>
        <w:tabs>
          <w:tab w:val="left" w:pos="1050"/>
        </w:tabs>
        <w:jc w:val="both"/>
        <w:rPr>
          <w:rFonts w:ascii="Arial Narrow" w:hAnsi="Arial Narrow" w:cs="Times New Roman"/>
          <w:sz w:val="22"/>
          <w:szCs w:val="22"/>
        </w:rPr>
      </w:pPr>
      <w:r w:rsidRPr="00B0152A">
        <w:rPr>
          <w:rFonts w:ascii="Arial Narrow" w:hAnsi="Arial Narrow" w:cs="Times New Roman"/>
          <w:sz w:val="22"/>
          <w:szCs w:val="22"/>
        </w:rPr>
        <w:t>pedagogických zamestnancov štátneho špeciálneho školstva, u ktorých je v rozpočte zohľadnený  vyšší rast plat</w:t>
      </w:r>
      <w:r w:rsidRPr="00B0152A">
        <w:rPr>
          <w:rFonts w:ascii="Arial Narrow" w:hAnsi="Arial Narrow" w:cs="Times New Roman"/>
          <w:sz w:val="22"/>
          <w:szCs w:val="22"/>
        </w:rPr>
        <w:t>ov vo výške 10,5%.</w:t>
      </w:r>
    </w:p>
    <w:p w:rsidR="002F3A9F" w:rsidP="002F3A9F">
      <w:pPr>
        <w:ind w:firstLine="708"/>
        <w:jc w:val="both"/>
        <w:rPr>
          <w:rFonts w:ascii="Arial Narrow" w:hAnsi="Arial Narrow" w:cs="Times New Roman"/>
          <w:sz w:val="22"/>
          <w:szCs w:val="22"/>
        </w:rPr>
      </w:pPr>
    </w:p>
    <w:p w:rsidR="002F3A9F" w:rsidP="002F3A9F">
      <w:pPr>
        <w:ind w:firstLine="708"/>
        <w:jc w:val="both"/>
        <w:rPr>
          <w:rFonts w:ascii="Arial Narrow" w:hAnsi="Arial Narrow" w:cs="Times New Roman"/>
          <w:sz w:val="22"/>
          <w:szCs w:val="22"/>
        </w:rPr>
      </w:pPr>
      <w:r>
        <w:rPr>
          <w:rFonts w:ascii="Arial Narrow" w:hAnsi="Arial Narrow" w:cs="Times New Roman"/>
          <w:sz w:val="22"/>
          <w:szCs w:val="22"/>
        </w:rPr>
        <w:t>Pre rok 2009 až 2011 sa navrhujú osobné výdavky v sume 2 374 134 tis. eur, 2 310 917 tis. eur a 2 395 632 tis. eur, z ktorých mzdové výdavky predstavujú 1 788 203 tis. eur, 1 749 634 tis. eur a 1 813 424 tis. eur. V roku 2009 sa očakáva</w:t>
      </w:r>
      <w:r>
        <w:rPr>
          <w:rFonts w:ascii="Arial Narrow" w:hAnsi="Arial Narrow" w:cs="Times New Roman"/>
          <w:sz w:val="22"/>
          <w:szCs w:val="22"/>
        </w:rPr>
        <w:t xml:space="preserve"> priemerný rast mzdového výdavku o 8,2 % na 926 eur pre 160 953 osôb.</w:t>
      </w:r>
    </w:p>
    <w:p w:rsidR="002F3A9F" w:rsidP="002F3A9F">
      <w:pPr>
        <w:ind w:firstLine="708"/>
        <w:jc w:val="both"/>
        <w:rPr>
          <w:rFonts w:ascii="Arial Narrow" w:hAnsi="Arial Narrow" w:cs="Times New Roman"/>
          <w:sz w:val="22"/>
          <w:szCs w:val="22"/>
        </w:rPr>
      </w:pPr>
      <w:r>
        <w:rPr>
          <w:rFonts w:ascii="Arial Narrow" w:hAnsi="Arial Narrow" w:cs="Times New Roman"/>
          <w:sz w:val="22"/>
          <w:szCs w:val="22"/>
        </w:rPr>
        <w:t xml:space="preserve"> </w:t>
      </w:r>
    </w:p>
    <w:p w:rsidR="002F3A9F" w:rsidRPr="00B0152A" w:rsidP="002F3A9F">
      <w:pPr>
        <w:ind w:firstLine="708"/>
        <w:jc w:val="both"/>
        <w:rPr>
          <w:rFonts w:ascii="Arial Narrow" w:hAnsi="Arial Narrow" w:cs="Times New Roman"/>
          <w:sz w:val="22"/>
          <w:szCs w:val="22"/>
        </w:rPr>
      </w:pPr>
      <w:r w:rsidRPr="00B0152A">
        <w:rPr>
          <w:rFonts w:ascii="Arial Narrow" w:hAnsi="Arial Narrow" w:cs="Times New Roman"/>
          <w:sz w:val="22"/>
          <w:szCs w:val="22"/>
        </w:rPr>
        <w:t>Rast osobných výdavkov v roku 2009 je ovplyvnený predovšetkým rozpočtovanou valorizáciou platov zamestnancov diferencovane vo výške 4%, 5% a 7%, s účinnosťou od 1. januára 2009; zvýšením platov ústavných činiteľov, sudcov, prokurátorov a ďalších zamestnancov, ktorých plat sa odvíja od rastu priemernej mzdy zamestnanca v hospodárstve SR; realizáciou nového systému odmeňovania policajtov od 1. marca 2009, s výnimkou policajtov v kapitole Ministerstva vnútra SR, ktorých nový systém odmeňovania bol uplatnený už v roku 2008; realizáciou nového systému odmeňovania príslušníkov Hasičského a záchranného zboru a príslušníkov  Horskej záchrannej služby; zvýšením osobných výdavkov na nové personáln</w:t>
      </w:r>
      <w:r w:rsidRPr="00B0152A">
        <w:rPr>
          <w:rFonts w:ascii="Arial Narrow" w:hAnsi="Arial Narrow" w:cs="Times New Roman"/>
          <w:sz w:val="22"/>
          <w:szCs w:val="22"/>
        </w:rPr>
        <w:t>e kapacity.</w:t>
      </w:r>
    </w:p>
    <w:p w:rsidR="002F3A9F" w:rsidRPr="00B0152A" w:rsidP="002F3A9F">
      <w:pPr>
        <w:spacing w:before="240"/>
        <w:ind w:firstLine="709"/>
        <w:jc w:val="both"/>
        <w:rPr>
          <w:rFonts w:ascii="Arial Narrow" w:hAnsi="Arial Narrow" w:cs="Times New Roman"/>
          <w:sz w:val="22"/>
          <w:szCs w:val="22"/>
        </w:rPr>
      </w:pPr>
      <w:r w:rsidRPr="00B0152A">
        <w:rPr>
          <w:rFonts w:ascii="Arial Narrow" w:hAnsi="Arial Narrow" w:cs="Times New Roman"/>
          <w:sz w:val="22"/>
          <w:szCs w:val="22"/>
        </w:rPr>
        <w:t>V rozpočte verejnej správy na roky 2009 až 2011 sa určuje pre zamestnancov rozpočtových organizácií</w:t>
      </w:r>
      <w:r w:rsidR="00F039C1">
        <w:rPr>
          <w:rFonts w:ascii="Arial Narrow" w:hAnsi="Arial Narrow" w:cs="Times New Roman"/>
          <w:sz w:val="22"/>
          <w:szCs w:val="22"/>
        </w:rPr>
        <w:t xml:space="preserve"> objem výdavkov na  mzdy, platy a</w:t>
      </w:r>
      <w:r w:rsidRPr="00B0152A">
        <w:rPr>
          <w:rFonts w:ascii="Arial Narrow" w:hAnsi="Arial Narrow" w:cs="Times New Roman"/>
          <w:sz w:val="22"/>
          <w:szCs w:val="22"/>
        </w:rPr>
        <w:t xml:space="preserve"> služobné príjmy a ostatné osobné vyrovnania v kategórii 610 ako záväzný ukazovateľ štátneho rozpočtu objem výda</w:t>
      </w:r>
      <w:r w:rsidRPr="00B0152A">
        <w:rPr>
          <w:rFonts w:ascii="Arial Narrow" w:hAnsi="Arial Narrow" w:cs="Times New Roman"/>
          <w:sz w:val="22"/>
          <w:szCs w:val="22"/>
        </w:rPr>
        <w:t>vkov v sume:</w:t>
      </w:r>
    </w:p>
    <w:p w:rsidR="002F3A9F" w:rsidRPr="00B0152A" w:rsidP="002F3A9F">
      <w:pPr>
        <w:ind w:left="690"/>
        <w:jc w:val="both"/>
        <w:rPr>
          <w:rFonts w:ascii="Arial Narrow" w:hAnsi="Arial Narrow" w:cs="Times New Roman"/>
          <w:sz w:val="22"/>
          <w:szCs w:val="22"/>
        </w:rPr>
      </w:pPr>
    </w:p>
    <w:tbl>
      <w:tblPr>
        <w:tblW w:w="9201" w:type="dxa"/>
        <w:tblInd w:w="55" w:type="dxa"/>
        <w:tblCellMar>
          <w:left w:w="70" w:type="dxa"/>
          <w:right w:w="70" w:type="dxa"/>
        </w:tblCellMar>
      </w:tblPr>
      <w:tblGrid>
        <w:gridCol w:w="5235"/>
        <w:gridCol w:w="1269"/>
        <w:gridCol w:w="1360"/>
        <w:gridCol w:w="1337"/>
      </w:tblGrid>
      <w:tr>
        <w:tblPrEx>
          <w:tblW w:w="9201" w:type="dxa"/>
          <w:tblInd w:w="55" w:type="dxa"/>
          <w:tblCellMar>
            <w:left w:w="70" w:type="dxa"/>
            <w:right w:w="70" w:type="dxa"/>
          </w:tblCellMar>
        </w:tblPrEx>
        <w:trPr>
          <w:trHeight w:val="360"/>
        </w:trPr>
        <w:tc>
          <w:tcPr>
            <w:tcW w:w="5235" w:type="dxa"/>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U k a z o v a t e ľ</w:t>
            </w:r>
          </w:p>
        </w:tc>
        <w:tc>
          <w:tcPr>
            <w:tcW w:w="1269"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2009</w:t>
            </w:r>
          </w:p>
        </w:tc>
        <w:tc>
          <w:tcPr>
            <w:tcW w:w="1360"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2010</w:t>
            </w:r>
          </w:p>
        </w:tc>
        <w:tc>
          <w:tcPr>
            <w:tcW w:w="1337" w:type="dxa"/>
            <w:tcBorders>
              <w:top w:val="single" w:sz="8" w:space="0" w:color="auto"/>
              <w:left w:val="nil"/>
              <w:bottom w:val="single" w:sz="8" w:space="0" w:color="auto"/>
              <w:right w:val="single" w:sz="8" w:space="0" w:color="auto"/>
              <w:tl2br w:val="nil"/>
              <w:tr2bl w:val="nil"/>
            </w:tcBorders>
            <w:shd w:val="clear" w:color="auto" w:fill="000000"/>
            <w:textDirection w:val="lrTb"/>
            <w:vAlign w:val="bottom"/>
          </w:tcPr>
          <w:p w:rsidR="002F3A9F" w:rsidRPr="00B0152A" w:rsidP="00997953">
            <w:pPr>
              <w:jc w:val="center"/>
              <w:rPr>
                <w:rFonts w:ascii="Arial Narrow" w:hAnsi="Arial Narrow" w:cs="Arial"/>
                <w:b/>
                <w:bCs/>
                <w:sz w:val="18"/>
                <w:szCs w:val="18"/>
                <w:lang w:eastAsia="sk-SK"/>
              </w:rPr>
            </w:pPr>
            <w:r w:rsidRPr="00B0152A">
              <w:rPr>
                <w:rFonts w:ascii="Arial Narrow" w:hAnsi="Arial Narrow" w:cs="Arial"/>
                <w:b/>
                <w:bCs/>
                <w:sz w:val="18"/>
                <w:szCs w:val="18"/>
                <w:lang w:eastAsia="sk-SK"/>
              </w:rPr>
              <w:t>2011</w:t>
            </w:r>
          </w:p>
        </w:tc>
      </w:tr>
      <w:tr>
        <w:tblPrEx>
          <w:tblW w:w="9201" w:type="dxa"/>
          <w:tblInd w:w="55" w:type="dxa"/>
          <w:tblCellMar>
            <w:left w:w="70" w:type="dxa"/>
            <w:right w:w="70" w:type="dxa"/>
          </w:tblCellMar>
        </w:tblPrEx>
        <w:trPr>
          <w:trHeight w:val="274"/>
        </w:trPr>
        <w:tc>
          <w:tcPr>
            <w:tcW w:w="5235" w:type="dxa"/>
            <w:tcBorders>
              <w:top w:val="single" w:sz="8" w:space="0" w:color="auto"/>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rPr>
                <w:rFonts w:ascii="Arial Narrow" w:hAnsi="Arial Narrow" w:cs="Arial"/>
                <w:sz w:val="18"/>
                <w:szCs w:val="18"/>
                <w:lang w:eastAsia="sk-SK"/>
              </w:rPr>
            </w:pPr>
            <w:r w:rsidRPr="00B0152A">
              <w:rPr>
                <w:rFonts w:ascii="Arial Narrow" w:hAnsi="Arial Narrow" w:cs="Arial"/>
                <w:sz w:val="18"/>
                <w:szCs w:val="18"/>
                <w:lang w:eastAsia="sk-SK"/>
              </w:rPr>
              <w:t xml:space="preserve">Kategória 610 – Mzdy, platy, služobné príjmy a OOV </w:t>
            </w:r>
            <w:r w:rsidRPr="00B0152A">
              <w:rPr>
                <w:rFonts w:ascii="Arial Narrow" w:hAnsi="Arial Narrow" w:cs="Arial"/>
                <w:sz w:val="18"/>
                <w:szCs w:val="18"/>
              </w:rPr>
              <w:t>(tis. eur)</w:t>
            </w:r>
          </w:p>
        </w:tc>
        <w:tc>
          <w:tcPr>
            <w:tcW w:w="1269"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 xml:space="preserve">1 589 184 </w:t>
            </w:r>
          </w:p>
        </w:tc>
        <w:tc>
          <w:tcPr>
            <w:tcW w:w="13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1 517 497</w:t>
            </w:r>
          </w:p>
        </w:tc>
        <w:tc>
          <w:tcPr>
            <w:tcW w:w="1337"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 xml:space="preserve">1 570 638 </w:t>
            </w:r>
          </w:p>
        </w:tc>
      </w:tr>
      <w:tr>
        <w:tblPrEx>
          <w:tblW w:w="9201" w:type="dxa"/>
          <w:tblInd w:w="55" w:type="dxa"/>
          <w:tblCellMar>
            <w:left w:w="70" w:type="dxa"/>
            <w:right w:w="70" w:type="dxa"/>
          </w:tblCellMar>
        </w:tblPrEx>
        <w:trPr>
          <w:trHeight w:val="274"/>
        </w:trPr>
        <w:tc>
          <w:tcPr>
            <w:tcW w:w="5235" w:type="dxa"/>
            <w:tcBorders>
              <w:top w:val="nil"/>
              <w:left w:val="single" w:sz="8" w:space="0" w:color="auto"/>
              <w:bottom w:val="single" w:sz="8" w:space="0" w:color="auto"/>
              <w:right w:val="single" w:sz="8" w:space="0" w:color="auto"/>
              <w:tl2br w:val="nil"/>
              <w:tr2bl w:val="nil"/>
            </w:tcBorders>
            <w:textDirection w:val="lrTb"/>
            <w:vAlign w:val="bottom"/>
          </w:tcPr>
          <w:p w:rsidR="002F3A9F" w:rsidRPr="00B0152A" w:rsidP="00997953">
            <w:pPr>
              <w:rPr>
                <w:rFonts w:ascii="Arial Narrow" w:hAnsi="Arial Narrow" w:cs="Arial"/>
                <w:sz w:val="18"/>
                <w:szCs w:val="18"/>
                <w:lang w:eastAsia="sk-SK"/>
              </w:rPr>
            </w:pPr>
            <w:r w:rsidRPr="00B0152A">
              <w:rPr>
                <w:rFonts w:ascii="Arial Narrow" w:hAnsi="Arial Narrow" w:cs="Arial"/>
                <w:sz w:val="18"/>
                <w:szCs w:val="18"/>
                <w:lang w:eastAsia="sk-SK"/>
              </w:rPr>
              <w:t xml:space="preserve">Počet zamestnancov (osoby)       </w:t>
            </w:r>
          </w:p>
        </w:tc>
        <w:tc>
          <w:tcPr>
            <w:tcW w:w="1269"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134 428</w:t>
            </w:r>
          </w:p>
        </w:tc>
        <w:tc>
          <w:tcPr>
            <w:tcW w:w="136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134 020</w:t>
            </w:r>
          </w:p>
        </w:tc>
        <w:tc>
          <w:tcPr>
            <w:tcW w:w="1337"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134 060</w:t>
            </w:r>
          </w:p>
        </w:tc>
      </w:tr>
      <w:tr>
        <w:tblPrEx>
          <w:tblW w:w="9201" w:type="dxa"/>
          <w:tblInd w:w="55" w:type="dxa"/>
          <w:tblCellMar>
            <w:left w:w="70" w:type="dxa"/>
            <w:right w:w="70" w:type="dxa"/>
          </w:tblCellMar>
        </w:tblPrEx>
        <w:trPr>
          <w:trHeight w:val="317"/>
        </w:trPr>
        <w:tc>
          <w:tcPr>
            <w:tcW w:w="5235" w:type="dxa"/>
            <w:tcBorders>
              <w:top w:val="single" w:sz="8" w:space="0" w:color="auto"/>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rPr>
                <w:rFonts w:ascii="Arial Narrow" w:hAnsi="Arial Narrow" w:cs="Arial"/>
                <w:sz w:val="18"/>
                <w:szCs w:val="18"/>
                <w:lang w:eastAsia="sk-SK"/>
              </w:rPr>
            </w:pPr>
            <w:r w:rsidRPr="00B0152A">
              <w:rPr>
                <w:rFonts w:ascii="Arial Narrow" w:hAnsi="Arial Narrow" w:cs="Arial"/>
                <w:sz w:val="18"/>
                <w:szCs w:val="18"/>
                <w:lang w:eastAsia="sk-SK"/>
              </w:rPr>
              <w:t xml:space="preserve">Priemerný mzdový výdavok (eur) </w:t>
            </w:r>
            <w:r w:rsidRPr="00B0152A">
              <w:rPr>
                <w:rFonts w:ascii="Arial Narrow" w:hAnsi="Arial Narrow" w:cs="Arial"/>
                <w:sz w:val="18"/>
                <w:szCs w:val="18"/>
                <w:vertAlign w:val="superscript"/>
                <w:lang w:eastAsia="sk-SK"/>
              </w:rPr>
              <w:t xml:space="preserve">(1) </w:t>
            </w:r>
          </w:p>
        </w:tc>
        <w:tc>
          <w:tcPr>
            <w:tcW w:w="1269"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Pr>
                <w:rFonts w:ascii="Arial Narrow" w:hAnsi="Arial Narrow" w:cs="Arial"/>
                <w:b/>
                <w:bCs/>
                <w:sz w:val="18"/>
                <w:szCs w:val="18"/>
                <w:lang w:eastAsia="sk-SK"/>
              </w:rPr>
              <w:t>974</w:t>
            </w:r>
          </w:p>
        </w:tc>
        <w:tc>
          <w:tcPr>
            <w:tcW w:w="1360"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944</w:t>
            </w:r>
          </w:p>
        </w:tc>
        <w:tc>
          <w:tcPr>
            <w:tcW w:w="1337" w:type="dxa"/>
            <w:tcBorders>
              <w:top w:val="single" w:sz="8" w:space="0" w:color="auto"/>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lang w:eastAsia="sk-SK"/>
              </w:rPr>
            </w:pPr>
            <w:r w:rsidRPr="00B0152A">
              <w:rPr>
                <w:rFonts w:ascii="Arial Narrow" w:hAnsi="Arial Narrow" w:cs="Arial"/>
                <w:b/>
                <w:bCs/>
                <w:sz w:val="18"/>
                <w:szCs w:val="18"/>
                <w:lang w:eastAsia="sk-SK"/>
              </w:rPr>
              <w:t>976</w:t>
            </w:r>
          </w:p>
        </w:tc>
      </w:tr>
    </w:tbl>
    <w:p w:rsidR="002F3A9F" w:rsidRPr="00B0152A" w:rsidP="002F3A9F">
      <w:pPr>
        <w:tabs>
          <w:tab w:val="left" w:pos="720"/>
        </w:tabs>
        <w:jc w:val="both"/>
        <w:rPr>
          <w:rFonts w:ascii="Arial Narrow" w:hAnsi="Arial Narrow" w:cs="Times New Roman"/>
          <w:bCs/>
          <w:sz w:val="16"/>
          <w:szCs w:val="16"/>
        </w:rPr>
      </w:pPr>
      <w:r w:rsidRPr="00B0152A">
        <w:rPr>
          <w:rFonts w:ascii="Arial Narrow" w:hAnsi="Arial Narrow" w:cs="Times New Roman"/>
          <w:bCs/>
          <w:sz w:val="16"/>
          <w:szCs w:val="16"/>
        </w:rPr>
        <w:t>(1) zohľadnené zvýšenie platov pre zamestnancov rozpočtových</w:t>
      </w:r>
      <w:r>
        <w:rPr>
          <w:rFonts w:ascii="Arial Narrow" w:hAnsi="Arial Narrow" w:cs="Times New Roman"/>
          <w:bCs/>
          <w:sz w:val="16"/>
          <w:szCs w:val="16"/>
        </w:rPr>
        <w:t xml:space="preserve"> organizácií </w:t>
      </w:r>
      <w:r w:rsidRPr="00B0152A">
        <w:rPr>
          <w:rFonts w:ascii="Arial Narrow" w:hAnsi="Arial Narrow" w:cs="Times New Roman"/>
          <w:bCs/>
          <w:sz w:val="16"/>
          <w:szCs w:val="16"/>
        </w:rPr>
        <w:t xml:space="preserve"> kapitol </w:t>
      </w:r>
      <w:r>
        <w:rPr>
          <w:rFonts w:ascii="Arial Narrow" w:hAnsi="Arial Narrow" w:cs="Times New Roman"/>
          <w:bCs/>
          <w:sz w:val="16"/>
          <w:szCs w:val="16"/>
        </w:rPr>
        <w:t xml:space="preserve">štátneho rozpočtu  z prostriedkov </w:t>
      </w:r>
      <w:r w:rsidRPr="00B0152A">
        <w:rPr>
          <w:rFonts w:ascii="Arial Narrow" w:hAnsi="Arial Narrow" w:cs="Times New Roman"/>
          <w:bCs/>
          <w:sz w:val="16"/>
          <w:szCs w:val="16"/>
        </w:rPr>
        <w:t>rozpočtovan</w:t>
      </w:r>
      <w:r>
        <w:rPr>
          <w:rFonts w:ascii="Arial Narrow" w:hAnsi="Arial Narrow" w:cs="Times New Roman"/>
          <w:bCs/>
          <w:sz w:val="16"/>
          <w:szCs w:val="16"/>
        </w:rPr>
        <w:t xml:space="preserve">ých </w:t>
      </w:r>
      <w:r w:rsidRPr="00B0152A">
        <w:rPr>
          <w:rFonts w:ascii="Arial Narrow" w:hAnsi="Arial Narrow" w:cs="Times New Roman"/>
          <w:bCs/>
          <w:sz w:val="16"/>
          <w:szCs w:val="16"/>
        </w:rPr>
        <w:t xml:space="preserve">v kapitole VPS </w:t>
      </w:r>
    </w:p>
    <w:p w:rsidR="002F3A9F" w:rsidRPr="00B0152A" w:rsidP="002F3A9F">
      <w:pPr>
        <w:tabs>
          <w:tab w:val="left" w:pos="720"/>
        </w:tabs>
        <w:spacing w:before="360"/>
        <w:jc w:val="both"/>
        <w:rPr>
          <w:rFonts w:ascii="Arial Narrow" w:hAnsi="Arial Narrow" w:cs="Times New Roman"/>
          <w:b/>
          <w:bCs/>
        </w:rPr>
      </w:pPr>
      <w:r w:rsidRPr="00B0152A">
        <w:rPr>
          <w:rFonts w:ascii="Arial Narrow" w:hAnsi="Arial Narrow" w:cs="Times New Roman"/>
          <w:b/>
          <w:bCs/>
        </w:rPr>
        <w:t>A.1.4. Zamestnanosť v regionálnom školstve financovaná zo štátneho rozpočtu</w:t>
      </w:r>
    </w:p>
    <w:p w:rsidR="002F3A9F" w:rsidRPr="00B0152A" w:rsidP="002F3A9F">
      <w:pPr>
        <w:spacing w:before="120"/>
        <w:ind w:firstLine="708"/>
        <w:jc w:val="both"/>
        <w:rPr>
          <w:rFonts w:ascii="Arial Narrow" w:hAnsi="Arial Narrow" w:cs="Times New Roman"/>
          <w:sz w:val="22"/>
          <w:szCs w:val="22"/>
        </w:rPr>
      </w:pPr>
      <w:r w:rsidRPr="00B0152A">
        <w:rPr>
          <w:rFonts w:ascii="Arial Narrow" w:hAnsi="Arial Narrow" w:cs="Times New Roman"/>
          <w:sz w:val="22"/>
          <w:szCs w:val="22"/>
        </w:rPr>
        <w:t>Platy zamestnancov regionálneho  školstva financované zo štátneho rozpočtu sa rozpočtujú v kapitole Ministerstva školstva Slovenskej republiky. Financovanie zamestnancov regionálneho školstva upravuje zákon   č. 597/2003 Z. z. o financovaní základných škôl, stredných škôl a školských zariadení v znení neskorších predpisov. V súlade s týmto zákonom sa osobné výdavky pre zamestnancov regionálneho školstva osobitne neurčujú, ale sa ustanovuje normatívne financovanie škôl a školských zariadení. Normatív na žiaka je stanovený ako súčet mzdového normatívu (normované ročné náklady na mzdy a platy vrátane poistného a príspevku zamestnávateľa do poisťovní pripadajúce na jedného žiaka) a prevádzkového normatívu (normované ročné náklady na výchovno-vzdelávací proces a prevádzku školy bez osobných nákladov pripadajúce na jedného žiaka), ktoré sú v pomere  9:2 v zmysle nariadenia vlády SR č. 2/2004 Z. z., ktorým sa ustanovujú podrobnosti rozpisu finančných prostriedkov zo štátneho rozpočtu pre základné školy, stredné školy, strediská praktického vyučovania,</w:t>
      </w:r>
      <w:r w:rsidRPr="00B0152A">
        <w:rPr>
          <w:rFonts w:ascii="Arial Narrow" w:hAnsi="Arial Narrow" w:cs="Times New Roman"/>
          <w:sz w:val="22"/>
          <w:szCs w:val="22"/>
        </w:rPr>
        <w:t xml:space="preserve"> základné umelecké školy a školské zariadenia.</w:t>
      </w:r>
    </w:p>
    <w:p w:rsidR="002F3A9F" w:rsidRPr="00B0152A" w:rsidP="002F3A9F">
      <w:pPr>
        <w:spacing w:before="120"/>
        <w:ind w:firstLine="720"/>
        <w:jc w:val="both"/>
        <w:rPr>
          <w:rFonts w:ascii="Arial Narrow" w:hAnsi="Arial Narrow" w:cs="Times New Roman"/>
          <w:bCs/>
          <w:sz w:val="22"/>
          <w:szCs w:val="22"/>
        </w:rPr>
      </w:pPr>
      <w:r w:rsidRPr="00B0152A">
        <w:rPr>
          <w:rFonts w:ascii="Arial Narrow" w:hAnsi="Arial Narrow" w:cs="Times New Roman"/>
          <w:bCs/>
          <w:sz w:val="22"/>
          <w:szCs w:val="22"/>
        </w:rPr>
        <w:t>Súčasťou základne pre výpočet osobných výdavkov v roku 2009 je aj objem finančných prostriedkov vo výške 6 639 tis. eur určených pre asistentov učiteľov a 81,82 % z výdavkov určených na vzdelávacie poukazy, kt</w:t>
      </w:r>
      <w:r w:rsidRPr="00B0152A">
        <w:rPr>
          <w:rFonts w:ascii="Arial Narrow" w:hAnsi="Arial Narrow" w:cs="Times New Roman"/>
          <w:bCs/>
          <w:sz w:val="22"/>
          <w:szCs w:val="22"/>
        </w:rPr>
        <w:t>oré pre rok 2009 predstavujú sumu  18 589 tis. eur. Obdobná metodika bola uplatnená aj pre roky 2010 a 2011.</w:t>
      </w:r>
    </w:p>
    <w:p w:rsidR="002F3A9F" w:rsidRPr="00B0152A" w:rsidP="002F3A9F">
      <w:pPr>
        <w:spacing w:before="120"/>
        <w:ind w:firstLine="709"/>
        <w:jc w:val="both"/>
        <w:rPr>
          <w:rFonts w:ascii="Arial Narrow" w:hAnsi="Arial Narrow" w:cs="Times New Roman"/>
          <w:bCs/>
          <w:sz w:val="22"/>
          <w:szCs w:val="22"/>
        </w:rPr>
      </w:pPr>
      <w:r w:rsidRPr="00B0152A">
        <w:rPr>
          <w:rFonts w:ascii="Arial Narrow" w:hAnsi="Arial Narrow" w:cs="Times New Roman"/>
          <w:bCs/>
          <w:sz w:val="22"/>
          <w:szCs w:val="22"/>
        </w:rPr>
        <w:t>Počet zamestnancov regionálneho školstva sa v návrhu rozpočtu verejnej správy na roky 2009 až 2011 oproti roku 2008 nemení a vychádza zo skutočného stavu zamestnancov regionálneho školstva za 1. štvrťrok 2007. Zvýšenie platov nepedagogických zamestnancov  zodpovedá 7% rastu.</w:t>
      </w:r>
    </w:p>
    <w:p w:rsidR="002F3A9F" w:rsidRPr="00B0152A" w:rsidP="002F3A9F">
      <w:pPr>
        <w:spacing w:before="120"/>
        <w:ind w:firstLine="709"/>
        <w:jc w:val="both"/>
        <w:rPr>
          <w:rFonts w:ascii="Arial Narrow" w:hAnsi="Arial Narrow" w:cs="Times New Roman"/>
          <w:sz w:val="22"/>
          <w:szCs w:val="22"/>
        </w:rPr>
      </w:pPr>
      <w:r w:rsidRPr="00B0152A">
        <w:rPr>
          <w:rFonts w:ascii="Arial Narrow" w:hAnsi="Arial Narrow" w:cs="Times New Roman"/>
          <w:bCs/>
          <w:sz w:val="22"/>
          <w:szCs w:val="22"/>
        </w:rPr>
        <w:t xml:space="preserve"> Na základe rozpisu výdavkov Ministerstvom školstva SR sa v súlade so zákonom č. </w:t>
      </w:r>
      <w:r w:rsidRPr="00B0152A">
        <w:rPr>
          <w:rFonts w:ascii="Arial Narrow" w:hAnsi="Arial Narrow" w:cs="Times New Roman"/>
          <w:sz w:val="22"/>
          <w:szCs w:val="22"/>
        </w:rPr>
        <w:t>597/2003 Z. z. o financovaní základných škôl, stredných škôl a školských zariadení v znení neskorších predpisov sa rozpočtujú osobné výdavky pre pedagogických a nepedagogických zamestnancov  regionálneho školstva nasledovne:</w:t>
      </w:r>
    </w:p>
    <w:p w:rsidR="002F3A9F" w:rsidRPr="00B0152A" w:rsidP="002F3A9F">
      <w:pPr>
        <w:rPr>
          <w:rFonts w:cs="Times New Roman"/>
        </w:rPr>
      </w:pPr>
    </w:p>
    <w:tbl>
      <w:tblPr>
        <w:tblW w:w="9384" w:type="dxa"/>
        <w:tblInd w:w="55" w:type="dxa"/>
        <w:tblCellMar>
          <w:left w:w="70" w:type="dxa"/>
          <w:right w:w="70" w:type="dxa"/>
        </w:tblCellMar>
      </w:tblPr>
      <w:tblGrid>
        <w:gridCol w:w="2286"/>
        <w:gridCol w:w="974"/>
        <w:gridCol w:w="1017"/>
        <w:gridCol w:w="969"/>
        <w:gridCol w:w="1100"/>
        <w:gridCol w:w="969"/>
        <w:gridCol w:w="1100"/>
        <w:gridCol w:w="969"/>
      </w:tblGrid>
      <w:tr>
        <w:tblPrEx>
          <w:tblW w:w="9384" w:type="dxa"/>
          <w:tblInd w:w="55" w:type="dxa"/>
          <w:tblCellMar>
            <w:left w:w="70" w:type="dxa"/>
            <w:right w:w="70" w:type="dxa"/>
          </w:tblCellMar>
        </w:tblPrEx>
        <w:trPr>
          <w:trHeight w:val="541"/>
        </w:trPr>
        <w:tc>
          <w:tcPr>
            <w:tcW w:w="2286" w:type="dxa"/>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2F3A9F" w:rsidRPr="00B0152A" w:rsidP="00997953">
            <w:pPr>
              <w:rPr>
                <w:rFonts w:ascii="Arial Narrow" w:hAnsi="Arial Narrow" w:cs="Arial"/>
                <w:b/>
                <w:bCs/>
                <w:sz w:val="18"/>
                <w:szCs w:val="18"/>
                <w:lang w:val="cs-CZ"/>
              </w:rPr>
            </w:pPr>
            <w:r w:rsidRPr="00B0152A">
              <w:rPr>
                <w:rFonts w:ascii="Arial Narrow" w:hAnsi="Arial Narrow" w:cs="Arial"/>
                <w:b/>
                <w:bCs/>
                <w:sz w:val="18"/>
                <w:szCs w:val="18"/>
                <w:lang w:val="cs-CZ"/>
              </w:rPr>
              <w:t> </w:t>
            </w:r>
          </w:p>
        </w:tc>
        <w:tc>
          <w:tcPr>
            <w:tcW w:w="974"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2F3A9F" w:rsidRPr="00B0152A" w:rsidP="00997953">
            <w:pPr>
              <w:jc w:val="center"/>
              <w:rPr>
                <w:rFonts w:ascii="Arial Narrow" w:hAnsi="Arial Narrow" w:cs="Arial"/>
                <w:b/>
                <w:bCs/>
                <w:sz w:val="20"/>
                <w:lang w:val="cs-CZ"/>
              </w:rPr>
            </w:pPr>
            <w:r w:rsidRPr="00B0152A">
              <w:rPr>
                <w:rFonts w:ascii="Arial Narrow" w:hAnsi="Arial Narrow" w:cs="Arial"/>
                <w:b/>
                <w:bCs/>
                <w:sz w:val="20"/>
                <w:lang w:val="cs-CZ"/>
              </w:rPr>
              <w:t>2008</w:t>
            </w:r>
          </w:p>
        </w:tc>
        <w:tc>
          <w:tcPr>
            <w:tcW w:w="1017"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2F3A9F" w:rsidRPr="00B0152A" w:rsidP="00997953">
            <w:pPr>
              <w:jc w:val="center"/>
              <w:rPr>
                <w:rFonts w:ascii="Arial Narrow" w:hAnsi="Arial Narrow" w:cs="Arial"/>
                <w:b/>
                <w:bCs/>
                <w:sz w:val="20"/>
                <w:lang w:val="cs-CZ"/>
              </w:rPr>
            </w:pPr>
            <w:r w:rsidRPr="00B0152A">
              <w:rPr>
                <w:rFonts w:ascii="Arial Narrow" w:hAnsi="Arial Narrow" w:cs="Arial"/>
                <w:b/>
                <w:bCs/>
                <w:sz w:val="20"/>
                <w:lang w:val="cs-CZ"/>
              </w:rPr>
              <w:t>2009</w:t>
            </w:r>
          </w:p>
        </w:tc>
        <w:tc>
          <w:tcPr>
            <w:tcW w:w="969"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2F3A9F" w:rsidRPr="00B0152A" w:rsidP="00997953">
            <w:pPr>
              <w:jc w:val="center"/>
              <w:rPr>
                <w:rFonts w:ascii="Arial Narrow" w:hAnsi="Arial Narrow" w:cs="Arial"/>
                <w:sz w:val="18"/>
                <w:szCs w:val="18"/>
                <w:lang w:val="cs-CZ"/>
              </w:rPr>
            </w:pPr>
            <w:r w:rsidRPr="00B0152A">
              <w:rPr>
                <w:rFonts w:ascii="Arial Narrow" w:hAnsi="Arial Narrow" w:cs="Arial"/>
                <w:sz w:val="18"/>
                <w:szCs w:val="18"/>
                <w:lang w:val="cs-CZ"/>
              </w:rPr>
              <w:t>%               2009/2008</w:t>
            </w:r>
          </w:p>
        </w:tc>
        <w:tc>
          <w:tcPr>
            <w:tcW w:w="1100"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2F3A9F" w:rsidRPr="00B0152A" w:rsidP="00997953">
            <w:pPr>
              <w:jc w:val="center"/>
              <w:rPr>
                <w:rFonts w:ascii="Arial Narrow" w:hAnsi="Arial Narrow" w:cs="Arial"/>
                <w:b/>
                <w:bCs/>
                <w:sz w:val="20"/>
                <w:lang w:val="cs-CZ"/>
              </w:rPr>
            </w:pPr>
            <w:r w:rsidRPr="00B0152A">
              <w:rPr>
                <w:rFonts w:ascii="Arial Narrow" w:hAnsi="Arial Narrow" w:cs="Arial"/>
                <w:b/>
                <w:bCs/>
                <w:sz w:val="20"/>
                <w:lang w:val="cs-CZ"/>
              </w:rPr>
              <w:t>2010</w:t>
            </w:r>
          </w:p>
        </w:tc>
        <w:tc>
          <w:tcPr>
            <w:tcW w:w="969" w:type="dxa"/>
            <w:tcBorders>
              <w:top w:val="single" w:sz="8" w:space="0" w:color="auto"/>
              <w:left w:val="nil"/>
              <w:bottom w:val="single" w:sz="8" w:space="0" w:color="auto"/>
              <w:right w:val="single" w:sz="8" w:space="0" w:color="auto"/>
              <w:tl2br w:val="nil"/>
              <w:tr2bl w:val="nil"/>
            </w:tcBorders>
            <w:shd w:val="clear" w:color="auto" w:fill="000000"/>
            <w:textDirection w:val="lrTb"/>
            <w:vAlign w:val="top"/>
          </w:tcPr>
          <w:p w:rsidR="002F3A9F" w:rsidRPr="00B0152A" w:rsidP="00997953">
            <w:pPr>
              <w:jc w:val="center"/>
              <w:rPr>
                <w:rFonts w:ascii="Arial Narrow" w:hAnsi="Arial Narrow" w:cs="Arial"/>
                <w:sz w:val="18"/>
                <w:szCs w:val="18"/>
                <w:lang w:val="cs-CZ"/>
              </w:rPr>
            </w:pPr>
            <w:r w:rsidRPr="00B0152A">
              <w:rPr>
                <w:rFonts w:ascii="Arial Narrow" w:hAnsi="Arial Narrow" w:cs="Arial"/>
                <w:sz w:val="18"/>
                <w:szCs w:val="18"/>
                <w:lang w:val="cs-CZ"/>
              </w:rPr>
              <w:t>%               2010/2009</w:t>
            </w:r>
          </w:p>
        </w:tc>
        <w:tc>
          <w:tcPr>
            <w:tcW w:w="1100"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2F3A9F" w:rsidRPr="00B0152A" w:rsidP="00997953">
            <w:pPr>
              <w:jc w:val="center"/>
              <w:rPr>
                <w:rFonts w:ascii="Arial Narrow" w:hAnsi="Arial Narrow" w:cs="Arial"/>
                <w:b/>
                <w:bCs/>
                <w:sz w:val="20"/>
                <w:lang w:val="cs-CZ"/>
              </w:rPr>
            </w:pPr>
            <w:r w:rsidRPr="00B0152A">
              <w:rPr>
                <w:rFonts w:ascii="Arial Narrow" w:hAnsi="Arial Narrow" w:cs="Arial"/>
                <w:b/>
                <w:bCs/>
                <w:sz w:val="20"/>
                <w:lang w:val="cs-CZ"/>
              </w:rPr>
              <w:t>2011</w:t>
            </w:r>
          </w:p>
        </w:tc>
        <w:tc>
          <w:tcPr>
            <w:tcW w:w="969" w:type="dxa"/>
            <w:tcBorders>
              <w:top w:val="single" w:sz="8" w:space="0" w:color="auto"/>
              <w:left w:val="nil"/>
              <w:bottom w:val="single" w:sz="8" w:space="0" w:color="auto"/>
              <w:right w:val="single" w:sz="8" w:space="0" w:color="auto"/>
              <w:tl2br w:val="nil"/>
              <w:tr2bl w:val="nil"/>
            </w:tcBorders>
            <w:shd w:val="clear" w:color="auto" w:fill="000000"/>
            <w:textDirection w:val="lrTb"/>
            <w:vAlign w:val="top"/>
          </w:tcPr>
          <w:p w:rsidR="002F3A9F" w:rsidRPr="00B0152A" w:rsidP="00997953">
            <w:pPr>
              <w:jc w:val="center"/>
              <w:rPr>
                <w:rFonts w:ascii="Arial Narrow" w:hAnsi="Arial Narrow" w:cs="Arial"/>
                <w:sz w:val="18"/>
                <w:szCs w:val="18"/>
                <w:lang w:val="cs-CZ"/>
              </w:rPr>
            </w:pPr>
            <w:r w:rsidRPr="00B0152A">
              <w:rPr>
                <w:rFonts w:ascii="Arial Narrow" w:hAnsi="Arial Narrow" w:cs="Arial"/>
                <w:sz w:val="18"/>
                <w:szCs w:val="18"/>
                <w:lang w:val="cs-CZ"/>
              </w:rPr>
              <w:t xml:space="preserve">% </w:t>
            </w:r>
            <w:r w:rsidRPr="00B0152A">
              <w:rPr>
                <w:rFonts w:ascii="Arial Narrow" w:hAnsi="Arial Narrow" w:cs="Arial"/>
                <w:sz w:val="18"/>
                <w:szCs w:val="18"/>
                <w:lang w:val="cs-CZ"/>
              </w:rPr>
              <w:t xml:space="preserve">              2011/2010</w:t>
            </w:r>
          </w:p>
        </w:tc>
      </w:tr>
      <w:tr>
        <w:tblPrEx>
          <w:tblW w:w="9384" w:type="dxa"/>
          <w:tblInd w:w="55" w:type="dxa"/>
          <w:tblCellMar>
            <w:left w:w="70" w:type="dxa"/>
            <w:right w:w="70" w:type="dxa"/>
          </w:tblCellMar>
        </w:tblPrEx>
        <w:trPr>
          <w:trHeight w:val="292"/>
        </w:trPr>
        <w:tc>
          <w:tcPr>
            <w:tcW w:w="2286" w:type="dxa"/>
            <w:tcBorders>
              <w:top w:val="nil"/>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rPr>
                <w:rFonts w:ascii="Arial Narrow" w:hAnsi="Arial Narrow" w:cs="Arial"/>
                <w:b/>
                <w:bCs/>
                <w:sz w:val="18"/>
                <w:szCs w:val="18"/>
              </w:rPr>
            </w:pPr>
            <w:r w:rsidRPr="00B0152A">
              <w:rPr>
                <w:rFonts w:ascii="Arial Narrow" w:hAnsi="Arial Narrow" w:cs="Arial"/>
                <w:b/>
                <w:bCs/>
                <w:sz w:val="18"/>
                <w:szCs w:val="18"/>
              </w:rPr>
              <w:t xml:space="preserve">Osobné výdavky  </w:t>
            </w:r>
            <w:r w:rsidRPr="00B0152A">
              <w:rPr>
                <w:rFonts w:ascii="Arial Narrow" w:hAnsi="Arial Narrow" w:cs="Arial"/>
                <w:sz w:val="18"/>
                <w:szCs w:val="18"/>
              </w:rPr>
              <w:t>(tis. eur)</w:t>
            </w:r>
          </w:p>
        </w:tc>
        <w:tc>
          <w:tcPr>
            <w:tcW w:w="974"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926 069</w:t>
            </w:r>
          </w:p>
        </w:tc>
        <w:tc>
          <w:tcPr>
            <w:tcW w:w="1017" w:type="dxa"/>
            <w:tcBorders>
              <w:top w:val="nil"/>
              <w:left w:val="nil"/>
              <w:bottom w:val="single" w:sz="8" w:space="0" w:color="auto"/>
              <w:right w:val="single" w:sz="8" w:space="0" w:color="auto"/>
              <w:tl2br w:val="nil"/>
              <w:tr2bl w:val="nil"/>
            </w:tcBorders>
            <w:shd w:val="clear" w:color="auto" w:fill="CCCCCC"/>
            <w:noWrap/>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1 018 255</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107,7</w:t>
            </w:r>
          </w:p>
        </w:tc>
        <w:tc>
          <w:tcPr>
            <w:tcW w:w="1100"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 xml:space="preserve">1 059 123 </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104,0</w:t>
            </w:r>
          </w:p>
        </w:tc>
        <w:tc>
          <w:tcPr>
            <w:tcW w:w="1100"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 xml:space="preserve">1 096 279 </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103,5</w:t>
            </w:r>
          </w:p>
        </w:tc>
      </w:tr>
      <w:tr>
        <w:tblPrEx>
          <w:tblW w:w="9384" w:type="dxa"/>
          <w:tblInd w:w="55" w:type="dxa"/>
          <w:tblCellMar>
            <w:left w:w="70" w:type="dxa"/>
            <w:right w:w="70" w:type="dxa"/>
          </w:tblCellMar>
        </w:tblPrEx>
        <w:trPr>
          <w:trHeight w:val="292"/>
        </w:trPr>
        <w:tc>
          <w:tcPr>
            <w:tcW w:w="2286" w:type="dxa"/>
            <w:tcBorders>
              <w:top w:val="single" w:sz="8" w:space="0" w:color="auto"/>
              <w:left w:val="single" w:sz="8" w:space="0" w:color="auto"/>
              <w:bottom w:val="nil"/>
              <w:right w:val="single" w:sz="8" w:space="0" w:color="auto"/>
              <w:tl2br w:val="nil"/>
              <w:tr2bl w:val="nil"/>
            </w:tcBorders>
            <w:textDirection w:val="lrTb"/>
            <w:vAlign w:val="bottom"/>
          </w:tcPr>
          <w:p w:rsidR="002F3A9F" w:rsidRPr="00B0152A" w:rsidP="00997953">
            <w:pPr>
              <w:rPr>
                <w:rFonts w:ascii="Arial Narrow" w:hAnsi="Arial Narrow" w:cs="Arial"/>
                <w:i/>
                <w:iCs/>
                <w:sz w:val="18"/>
                <w:szCs w:val="18"/>
              </w:rPr>
            </w:pPr>
            <w:r w:rsidRPr="00B0152A">
              <w:rPr>
                <w:rFonts w:ascii="Arial Narrow" w:hAnsi="Arial Narrow" w:cs="Arial"/>
                <w:i/>
                <w:iCs/>
                <w:sz w:val="18"/>
                <w:szCs w:val="18"/>
              </w:rPr>
              <w:t>z toho:</w:t>
            </w:r>
          </w:p>
        </w:tc>
        <w:tc>
          <w:tcPr>
            <w:tcW w:w="974"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 xml:space="preserve">684 962 </w:t>
            </w:r>
          </w:p>
        </w:tc>
        <w:tc>
          <w:tcPr>
            <w:tcW w:w="1017" w:type="dxa"/>
            <w:vMerge w:val="restart"/>
            <w:tcBorders>
              <w:top w:val="single" w:sz="8" w:space="0" w:color="auto"/>
              <w:left w:val="single" w:sz="8" w:space="0" w:color="auto"/>
              <w:bottom w:val="single" w:sz="8" w:space="0" w:color="000000"/>
              <w:right w:val="single" w:sz="8" w:space="0" w:color="auto"/>
              <w:tl2br w:val="nil"/>
              <w:tr2bl w:val="nil"/>
            </w:tcBorders>
            <w:noWrap/>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 xml:space="preserve">753 147 </w:t>
            </w:r>
          </w:p>
        </w:tc>
        <w:tc>
          <w:tcPr>
            <w:tcW w:w="969"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110,0</w:t>
            </w:r>
          </w:p>
        </w:tc>
        <w:tc>
          <w:tcPr>
            <w:tcW w:w="110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 xml:space="preserve">783 375 </w:t>
            </w:r>
          </w:p>
        </w:tc>
        <w:tc>
          <w:tcPr>
            <w:tcW w:w="969"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104,0</w:t>
            </w:r>
          </w:p>
        </w:tc>
        <w:tc>
          <w:tcPr>
            <w:tcW w:w="110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810 858</w:t>
            </w:r>
          </w:p>
        </w:tc>
        <w:tc>
          <w:tcPr>
            <w:tcW w:w="969"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103,5</w:t>
            </w:r>
          </w:p>
        </w:tc>
      </w:tr>
      <w:tr>
        <w:tblPrEx>
          <w:tblW w:w="9384" w:type="dxa"/>
          <w:tblInd w:w="55" w:type="dxa"/>
          <w:tblCellMar>
            <w:left w:w="70" w:type="dxa"/>
            <w:right w:w="70" w:type="dxa"/>
          </w:tblCellMar>
        </w:tblPrEx>
        <w:trPr>
          <w:trHeight w:val="292"/>
        </w:trPr>
        <w:tc>
          <w:tcPr>
            <w:tcW w:w="2286" w:type="dxa"/>
            <w:tcBorders>
              <w:top w:val="nil"/>
              <w:left w:val="single" w:sz="8" w:space="0" w:color="auto"/>
              <w:bottom w:val="single" w:sz="8" w:space="0" w:color="auto"/>
              <w:right w:val="single" w:sz="8" w:space="0" w:color="auto"/>
              <w:tl2br w:val="nil"/>
              <w:tr2bl w:val="nil"/>
            </w:tcBorders>
            <w:textDirection w:val="lrTb"/>
            <w:vAlign w:val="bottom"/>
          </w:tcPr>
          <w:p w:rsidR="002F3A9F" w:rsidRPr="00B0152A" w:rsidP="00997953">
            <w:pPr>
              <w:rPr>
                <w:rFonts w:ascii="Arial Narrow" w:hAnsi="Arial Narrow" w:cs="Arial"/>
                <w:b/>
                <w:bCs/>
                <w:sz w:val="18"/>
                <w:szCs w:val="18"/>
              </w:rPr>
            </w:pPr>
            <w:r w:rsidRPr="00B0152A">
              <w:rPr>
                <w:rFonts w:ascii="Arial Narrow" w:hAnsi="Arial Narrow" w:cs="Arial"/>
                <w:b/>
                <w:bCs/>
                <w:sz w:val="18"/>
                <w:szCs w:val="18"/>
              </w:rPr>
              <w:t xml:space="preserve">mzdové výdavky </w:t>
            </w:r>
            <w:r w:rsidRPr="00B0152A">
              <w:rPr>
                <w:rFonts w:ascii="Arial Narrow" w:hAnsi="Arial Narrow" w:cs="Arial"/>
                <w:sz w:val="18"/>
                <w:szCs w:val="18"/>
              </w:rPr>
              <w:t>(tis. eur)</w:t>
            </w:r>
          </w:p>
        </w:tc>
        <w:tc>
          <w:tcPr>
            <w:tcW w:w="974"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rPr>
            </w:pPr>
          </w:p>
        </w:tc>
        <w:tc>
          <w:tcPr>
            <w:tcW w:w="1017"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rPr>
            </w:pPr>
          </w:p>
        </w:tc>
        <w:tc>
          <w:tcPr>
            <w:tcW w:w="969"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sz w:val="18"/>
                <w:szCs w:val="18"/>
              </w:rPr>
            </w:pPr>
          </w:p>
        </w:tc>
        <w:tc>
          <w:tcPr>
            <w:tcW w:w="1100"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rPr>
            </w:pPr>
          </w:p>
        </w:tc>
        <w:tc>
          <w:tcPr>
            <w:tcW w:w="969"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sz w:val="18"/>
                <w:szCs w:val="18"/>
              </w:rPr>
            </w:pPr>
          </w:p>
        </w:tc>
        <w:tc>
          <w:tcPr>
            <w:tcW w:w="1100"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b/>
                <w:bCs/>
                <w:sz w:val="18"/>
                <w:szCs w:val="18"/>
              </w:rPr>
            </w:pPr>
          </w:p>
        </w:tc>
        <w:tc>
          <w:tcPr>
            <w:tcW w:w="969" w:type="dxa"/>
            <w:vMerge/>
            <w:tcBorders>
              <w:top w:val="nil"/>
              <w:left w:val="single" w:sz="8" w:space="0" w:color="auto"/>
              <w:bottom w:val="single" w:sz="8" w:space="0" w:color="000000"/>
              <w:right w:val="single" w:sz="8" w:space="0" w:color="auto"/>
              <w:tl2br w:val="nil"/>
              <w:tr2bl w:val="nil"/>
            </w:tcBorders>
            <w:textDirection w:val="lrTb"/>
            <w:vAlign w:val="center"/>
          </w:tcPr>
          <w:p w:rsidR="002F3A9F" w:rsidRPr="00B0152A" w:rsidP="00997953">
            <w:pPr>
              <w:rPr>
                <w:rFonts w:ascii="Arial Narrow" w:hAnsi="Arial Narrow" w:cs="Arial"/>
                <w:sz w:val="18"/>
                <w:szCs w:val="18"/>
              </w:rPr>
            </w:pPr>
          </w:p>
        </w:tc>
      </w:tr>
      <w:tr>
        <w:tblPrEx>
          <w:tblW w:w="9384" w:type="dxa"/>
          <w:tblInd w:w="55" w:type="dxa"/>
          <w:tblCellMar>
            <w:left w:w="70" w:type="dxa"/>
            <w:right w:w="70" w:type="dxa"/>
          </w:tblCellMar>
        </w:tblPrEx>
        <w:trPr>
          <w:trHeight w:val="292"/>
        </w:trPr>
        <w:tc>
          <w:tcPr>
            <w:tcW w:w="2286" w:type="dxa"/>
            <w:tcBorders>
              <w:top w:val="nil"/>
              <w:left w:val="single" w:sz="8" w:space="0" w:color="auto"/>
              <w:bottom w:val="single" w:sz="8" w:space="0" w:color="auto"/>
              <w:right w:val="single" w:sz="8" w:space="0" w:color="auto"/>
              <w:tl2br w:val="nil"/>
              <w:tr2bl w:val="nil"/>
            </w:tcBorders>
            <w:shd w:val="clear" w:color="auto" w:fill="CCCCCC"/>
            <w:textDirection w:val="lrTb"/>
            <w:vAlign w:val="bottom"/>
          </w:tcPr>
          <w:p w:rsidR="002F3A9F" w:rsidRPr="00B0152A" w:rsidP="00997953">
            <w:pPr>
              <w:rPr>
                <w:rFonts w:ascii="Arial Narrow" w:hAnsi="Arial Narrow" w:cs="Arial"/>
                <w:bCs/>
                <w:sz w:val="16"/>
                <w:szCs w:val="16"/>
              </w:rPr>
            </w:pPr>
            <w:r w:rsidRPr="00B0152A">
              <w:rPr>
                <w:rFonts w:ascii="Arial Narrow" w:hAnsi="Arial Narrow" w:cs="Arial"/>
                <w:b/>
                <w:bCs/>
                <w:sz w:val="16"/>
                <w:szCs w:val="16"/>
              </w:rPr>
              <w:t xml:space="preserve">Priemerný mzdový výdavok </w:t>
            </w:r>
            <w:r w:rsidRPr="00B0152A">
              <w:rPr>
                <w:rFonts w:ascii="Arial Narrow" w:hAnsi="Arial Narrow" w:cs="Arial"/>
                <w:bCs/>
                <w:sz w:val="16"/>
                <w:szCs w:val="16"/>
              </w:rPr>
              <w:t>(eur)</w:t>
            </w:r>
          </w:p>
        </w:tc>
        <w:tc>
          <w:tcPr>
            <w:tcW w:w="974"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642</w:t>
            </w:r>
          </w:p>
        </w:tc>
        <w:tc>
          <w:tcPr>
            <w:tcW w:w="1017"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706</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110,0</w:t>
            </w:r>
          </w:p>
        </w:tc>
        <w:tc>
          <w:tcPr>
            <w:tcW w:w="1100"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734</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104,0</w:t>
            </w:r>
          </w:p>
        </w:tc>
        <w:tc>
          <w:tcPr>
            <w:tcW w:w="1100"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760</w:t>
            </w:r>
          </w:p>
        </w:tc>
        <w:tc>
          <w:tcPr>
            <w:tcW w:w="969" w:type="dxa"/>
            <w:tcBorders>
              <w:top w:val="nil"/>
              <w:left w:val="nil"/>
              <w:bottom w:val="single" w:sz="8" w:space="0" w:color="auto"/>
              <w:right w:val="single" w:sz="8" w:space="0" w:color="auto"/>
              <w:tl2br w:val="nil"/>
              <w:tr2bl w:val="nil"/>
            </w:tcBorders>
            <w:shd w:val="clear" w:color="auto" w:fill="CCCCCC"/>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103,5</w:t>
            </w:r>
          </w:p>
        </w:tc>
      </w:tr>
      <w:tr>
        <w:tblPrEx>
          <w:tblW w:w="9384" w:type="dxa"/>
          <w:tblInd w:w="55" w:type="dxa"/>
          <w:tblCellMar>
            <w:left w:w="70" w:type="dxa"/>
            <w:right w:w="70" w:type="dxa"/>
          </w:tblCellMar>
        </w:tblPrEx>
        <w:trPr>
          <w:trHeight w:val="292"/>
        </w:trPr>
        <w:tc>
          <w:tcPr>
            <w:tcW w:w="2286" w:type="dxa"/>
            <w:tcBorders>
              <w:top w:val="nil"/>
              <w:left w:val="single" w:sz="8" w:space="0" w:color="auto"/>
              <w:bottom w:val="single" w:sz="8" w:space="0" w:color="auto"/>
              <w:right w:val="single" w:sz="8" w:space="0" w:color="auto"/>
              <w:tl2br w:val="nil"/>
              <w:tr2bl w:val="nil"/>
            </w:tcBorders>
            <w:textDirection w:val="lrTb"/>
            <w:vAlign w:val="bottom"/>
          </w:tcPr>
          <w:p w:rsidR="002F3A9F" w:rsidRPr="00B0152A" w:rsidP="00997953">
            <w:pPr>
              <w:rPr>
                <w:rFonts w:ascii="Arial Narrow" w:hAnsi="Arial Narrow" w:cs="Arial"/>
                <w:b/>
                <w:bCs/>
                <w:sz w:val="18"/>
                <w:szCs w:val="18"/>
              </w:rPr>
            </w:pPr>
            <w:r w:rsidRPr="00B0152A">
              <w:rPr>
                <w:rFonts w:ascii="Arial Narrow" w:hAnsi="Arial Narrow" w:cs="Arial"/>
                <w:b/>
                <w:bCs/>
                <w:sz w:val="18"/>
                <w:szCs w:val="18"/>
              </w:rPr>
              <w:t>Zamestnanci</w:t>
            </w:r>
          </w:p>
        </w:tc>
        <w:tc>
          <w:tcPr>
            <w:tcW w:w="974"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88 923</w:t>
            </w:r>
          </w:p>
        </w:tc>
        <w:tc>
          <w:tcPr>
            <w:tcW w:w="1017" w:type="dxa"/>
            <w:tcBorders>
              <w:top w:val="nil"/>
              <w:left w:val="nil"/>
              <w:bottom w:val="single" w:sz="8" w:space="0" w:color="auto"/>
              <w:right w:val="single" w:sz="8" w:space="0" w:color="auto"/>
              <w:tl2br w:val="nil"/>
              <w:tr2bl w:val="nil"/>
            </w:tcBorders>
            <w:noWrap/>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88 923</w:t>
            </w:r>
          </w:p>
        </w:tc>
        <w:tc>
          <w:tcPr>
            <w:tcW w:w="969"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100,0</w:t>
            </w:r>
          </w:p>
        </w:tc>
        <w:tc>
          <w:tcPr>
            <w:tcW w:w="110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88 923</w:t>
            </w:r>
          </w:p>
        </w:tc>
        <w:tc>
          <w:tcPr>
            <w:tcW w:w="969"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100,0</w:t>
            </w:r>
          </w:p>
        </w:tc>
        <w:tc>
          <w:tcPr>
            <w:tcW w:w="1100"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b/>
                <w:bCs/>
                <w:sz w:val="18"/>
                <w:szCs w:val="18"/>
              </w:rPr>
            </w:pPr>
            <w:r w:rsidRPr="00B0152A">
              <w:rPr>
                <w:rFonts w:ascii="Arial Narrow" w:hAnsi="Arial Narrow" w:cs="Arial"/>
                <w:b/>
                <w:bCs/>
                <w:sz w:val="18"/>
                <w:szCs w:val="18"/>
              </w:rPr>
              <w:t>88 923</w:t>
            </w:r>
          </w:p>
        </w:tc>
        <w:tc>
          <w:tcPr>
            <w:tcW w:w="969" w:type="dxa"/>
            <w:tcBorders>
              <w:top w:val="nil"/>
              <w:left w:val="nil"/>
              <w:bottom w:val="single" w:sz="8" w:space="0" w:color="auto"/>
              <w:right w:val="single" w:sz="8" w:space="0" w:color="auto"/>
              <w:tl2br w:val="nil"/>
              <w:tr2bl w:val="nil"/>
            </w:tcBorders>
            <w:textDirection w:val="lrTb"/>
            <w:vAlign w:val="bottom"/>
          </w:tcPr>
          <w:p w:rsidR="002F3A9F" w:rsidRPr="00B0152A" w:rsidP="00997953">
            <w:pPr>
              <w:jc w:val="right"/>
              <w:rPr>
                <w:rFonts w:ascii="Arial Narrow" w:hAnsi="Arial Narrow" w:cs="Arial"/>
                <w:sz w:val="18"/>
                <w:szCs w:val="18"/>
              </w:rPr>
            </w:pPr>
            <w:r w:rsidRPr="00B0152A">
              <w:rPr>
                <w:rFonts w:ascii="Arial Narrow" w:hAnsi="Arial Narrow" w:cs="Arial"/>
                <w:sz w:val="18"/>
                <w:szCs w:val="18"/>
              </w:rPr>
              <w:t>100,0</w:t>
            </w:r>
          </w:p>
        </w:tc>
      </w:tr>
    </w:tbl>
    <w:p w:rsidR="00791FA9" w:rsidP="002F3A9F">
      <w:pPr>
        <w:spacing w:before="120"/>
        <w:ind w:firstLine="709"/>
        <w:jc w:val="both"/>
        <w:rPr>
          <w:rFonts w:ascii="Arial Narrow" w:hAnsi="Arial Narrow" w:cs="Times New Roman"/>
          <w:bCs/>
          <w:sz w:val="22"/>
          <w:szCs w:val="22"/>
        </w:rPr>
      </w:pPr>
    </w:p>
    <w:p w:rsidR="002F3A9F" w:rsidRPr="00B0152A" w:rsidP="002F3A9F">
      <w:pPr>
        <w:spacing w:before="120"/>
        <w:ind w:firstLine="709"/>
        <w:jc w:val="both"/>
        <w:rPr>
          <w:rFonts w:ascii="Arial Narrow" w:hAnsi="Arial Narrow" w:cs="Times New Roman"/>
          <w:sz w:val="22"/>
          <w:szCs w:val="22"/>
        </w:rPr>
      </w:pPr>
      <w:r w:rsidRPr="00B0152A">
        <w:rPr>
          <w:rFonts w:ascii="Arial Narrow" w:hAnsi="Arial Narrow" w:cs="Times New Roman"/>
          <w:bCs/>
          <w:sz w:val="22"/>
          <w:szCs w:val="22"/>
        </w:rPr>
        <w:t xml:space="preserve">Rozpisom výdavkov Ministerstva školstva SR, v súlade s vyššie uvedeným zákonom, došlo k zvýšeniu </w:t>
      </w:r>
      <w:r w:rsidRPr="00B0152A">
        <w:rPr>
          <w:rFonts w:ascii="Arial Narrow" w:hAnsi="Arial Narrow" w:cs="Times New Roman"/>
          <w:sz w:val="22"/>
          <w:szCs w:val="22"/>
        </w:rPr>
        <w:t xml:space="preserve"> priemerného rozpočtovaného mzdového výdavku pedagogického zamestnanca regionálneho školstva o 10,5%.</w:t>
      </w:r>
    </w:p>
    <w:p w:rsidR="002F3A9F" w:rsidRPr="00B0152A" w:rsidP="002F3A9F">
      <w:pPr>
        <w:tabs>
          <w:tab w:val="left" w:pos="720"/>
        </w:tabs>
        <w:spacing w:before="360"/>
        <w:rPr>
          <w:rFonts w:ascii="Arial Narrow" w:hAnsi="Arial Narrow" w:cs="Times New Roman"/>
          <w:b/>
          <w:bCs/>
          <w:szCs w:val="22"/>
        </w:rPr>
      </w:pPr>
      <w:r w:rsidRPr="00B0152A">
        <w:rPr>
          <w:rFonts w:ascii="Arial Narrow" w:hAnsi="Arial Narrow" w:cs="Times New Roman"/>
          <w:b/>
          <w:bCs/>
          <w:szCs w:val="22"/>
        </w:rPr>
        <w:t>A.2. Poistné a príspevok zamestnávateľa do poisťovní</w:t>
      </w:r>
    </w:p>
    <w:p w:rsidR="002F3A9F" w:rsidRPr="00B0152A" w:rsidP="002F3A9F">
      <w:pPr>
        <w:spacing w:before="240" w:after="240"/>
        <w:ind w:firstLine="720"/>
        <w:jc w:val="both"/>
        <w:rPr>
          <w:rFonts w:ascii="Arial Narrow" w:hAnsi="Arial Narrow" w:cs="Times New Roman"/>
          <w:szCs w:val="24"/>
        </w:rPr>
      </w:pPr>
      <w:r w:rsidRPr="00B0152A">
        <w:rPr>
          <w:rFonts w:ascii="Arial Narrow" w:hAnsi="Arial Narrow" w:cs="Times New Roman"/>
          <w:sz w:val="22"/>
          <w:szCs w:val="22"/>
        </w:rPr>
        <w:t>Pri kvantifikácii výdavkov v rozpočte verejnej správy na roky 2009 až 2011 na poistné a príspevok zamestnávateľa do poisťovní sa vychádzalo zo základnej úpravy vo výške 34,95 % zo mzdových výdavkov,  pričom sa zohľadňovali ďalšie špecifické skutočnosti vo vzťahu k  ozbrojeným zložkám, sudcom, prokurátorom, zahraničnej službe, verejným vysokých školám a k preneseným kompetenciám. Oproti predchádzajúcemu obdobiu sa v rozpočte pre rok 2009 premietla legislatívna zmena súvisiaca so zvýšením odvodovej povinnosti o 1 % na osobitný účet  bezpečnostných a ozbrojených zložiek.</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898"/>
        <w:gridCol w:w="2160"/>
        <w:gridCol w:w="2160"/>
        <w:gridCol w:w="2161"/>
      </w:tblGrid>
      <w:tr>
        <w:tblPrEx>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jc w:val="center"/>
        </w:trPr>
        <w:tc>
          <w:tcPr>
            <w:tcW w:w="2898" w:type="dxa"/>
            <w:tcBorders>
              <w:top w:val="single" w:sz="4" w:space="0" w:color="auto"/>
              <w:left w:val="single" w:sz="4" w:space="0" w:color="auto"/>
              <w:bottom w:val="single" w:sz="4" w:space="0" w:color="auto"/>
              <w:right w:val="single" w:sz="4" w:space="0" w:color="auto"/>
              <w:tl2br w:val="nil"/>
              <w:tr2bl w:val="nil"/>
            </w:tcBorders>
            <w:shd w:val="solid" w:color="auto" w:fill="auto"/>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U k a z o v a</w:t>
            </w:r>
            <w:r w:rsidR="00F039C1">
              <w:rPr>
                <w:rFonts w:ascii="Arial Narrow" w:hAnsi="Arial Narrow" w:cs="Times New Roman"/>
                <w:b/>
                <w:sz w:val="20"/>
              </w:rPr>
              <w:t> </w:t>
            </w:r>
            <w:r w:rsidRPr="00B0152A">
              <w:rPr>
                <w:rFonts w:ascii="Arial Narrow" w:hAnsi="Arial Narrow" w:cs="Times New Roman"/>
                <w:b/>
                <w:sz w:val="20"/>
              </w:rPr>
              <w:t>t e ľ</w:t>
            </w:r>
          </w:p>
          <w:p w:rsidR="002F3A9F" w:rsidRPr="00B0152A" w:rsidP="00997953">
            <w:pPr>
              <w:jc w:val="center"/>
              <w:rPr>
                <w:rFonts w:ascii="Arial Narrow" w:hAnsi="Arial Narrow" w:cs="Times New Roman"/>
                <w:sz w:val="18"/>
                <w:szCs w:val="18"/>
              </w:rPr>
            </w:pPr>
            <w:r w:rsidRPr="00B0152A">
              <w:rPr>
                <w:rFonts w:ascii="Arial Narrow" w:hAnsi="Arial Narrow" w:cs="Arial"/>
                <w:sz w:val="18"/>
                <w:szCs w:val="18"/>
              </w:rPr>
              <w:t>(tis. eur)</w:t>
            </w:r>
          </w:p>
        </w:tc>
        <w:tc>
          <w:tcPr>
            <w:tcW w:w="2160" w:type="dxa"/>
            <w:tcBorders>
              <w:top w:val="single" w:sz="4" w:space="0" w:color="auto"/>
              <w:left w:val="single" w:sz="4" w:space="0" w:color="auto"/>
              <w:bottom w:val="single" w:sz="4" w:space="0" w:color="auto"/>
              <w:right w:val="single" w:sz="4" w:space="0" w:color="auto"/>
              <w:tl2br w:val="nil"/>
              <w:tr2bl w:val="nil"/>
            </w:tcBorders>
            <w:shd w:val="solid" w:color="auto" w:fill="auto"/>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 xml:space="preserve"> 2009</w:t>
            </w:r>
          </w:p>
        </w:tc>
        <w:tc>
          <w:tcPr>
            <w:tcW w:w="2160" w:type="dxa"/>
            <w:tcBorders>
              <w:top w:val="single" w:sz="4" w:space="0" w:color="auto"/>
              <w:left w:val="single" w:sz="4" w:space="0" w:color="auto"/>
              <w:bottom w:val="single" w:sz="4" w:space="0" w:color="auto"/>
              <w:right w:val="single" w:sz="4" w:space="0" w:color="auto"/>
              <w:tl2br w:val="nil"/>
              <w:tr2bl w:val="nil"/>
            </w:tcBorders>
            <w:shd w:val="solid" w:color="auto" w:fill="auto"/>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 xml:space="preserve"> </w:t>
            </w:r>
            <w:r w:rsidRPr="00B0152A">
              <w:rPr>
                <w:rFonts w:ascii="Arial Narrow" w:hAnsi="Arial Narrow" w:cs="Times New Roman"/>
                <w:b/>
                <w:sz w:val="20"/>
              </w:rPr>
              <w:t>2010</w:t>
            </w:r>
          </w:p>
        </w:tc>
        <w:tc>
          <w:tcPr>
            <w:tcW w:w="2161" w:type="dxa"/>
            <w:tcBorders>
              <w:top w:val="single" w:sz="4" w:space="0" w:color="auto"/>
              <w:left w:val="single" w:sz="4" w:space="0" w:color="auto"/>
              <w:bottom w:val="single" w:sz="4" w:space="0" w:color="auto"/>
              <w:right w:val="single" w:sz="4" w:space="0" w:color="auto"/>
              <w:tl2br w:val="nil"/>
              <w:tr2bl w:val="nil"/>
            </w:tcBorders>
            <w:shd w:val="solid" w:color="auto" w:fill="auto"/>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 xml:space="preserve"> 2011</w:t>
            </w:r>
          </w:p>
        </w:tc>
      </w:tr>
      <w:tr>
        <w:tblPrEx>
          <w:tblW w:w="9379" w:type="dxa"/>
          <w:jc w:val="center"/>
        </w:tblPrEx>
        <w:trPr>
          <w:trHeight w:val="544"/>
          <w:jc w:val="center"/>
        </w:trPr>
        <w:tc>
          <w:tcPr>
            <w:tcW w:w="28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F3A9F" w:rsidRPr="00B0152A" w:rsidP="00997953">
            <w:pPr>
              <w:jc w:val="center"/>
              <w:rPr>
                <w:rFonts w:ascii="Arial Narrow" w:hAnsi="Arial Narrow" w:cs="Times New Roman"/>
                <w:sz w:val="20"/>
              </w:rPr>
            </w:pPr>
            <w:r w:rsidRPr="00B0152A">
              <w:rPr>
                <w:rFonts w:ascii="Arial Narrow" w:hAnsi="Arial Narrow" w:cs="Times New Roman"/>
                <w:sz w:val="20"/>
              </w:rPr>
              <w:t xml:space="preserve">Odvody       </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524 052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 xml:space="preserve">484 232 </w:t>
            </w:r>
          </w:p>
        </w:tc>
        <w:tc>
          <w:tcPr>
            <w:tcW w:w="21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F3A9F" w:rsidRPr="00B0152A" w:rsidP="00997953">
            <w:pPr>
              <w:jc w:val="center"/>
              <w:rPr>
                <w:rFonts w:ascii="Arial Narrow" w:hAnsi="Arial Narrow" w:cs="Times New Roman"/>
                <w:b/>
                <w:sz w:val="20"/>
              </w:rPr>
            </w:pPr>
            <w:r w:rsidRPr="00B0152A">
              <w:rPr>
                <w:rFonts w:ascii="Arial Narrow" w:hAnsi="Arial Narrow" w:cs="Times New Roman"/>
                <w:b/>
                <w:sz w:val="20"/>
              </w:rPr>
              <w:t>501 863</w:t>
            </w:r>
          </w:p>
        </w:tc>
      </w:tr>
    </w:tbl>
    <w:p w:rsidR="000E060D" w:rsidRPr="00A52A1E" w:rsidP="000E060D">
      <w:pPr>
        <w:jc w:val="both"/>
        <w:rPr>
          <w:rFonts w:cs="Times New Roman"/>
        </w:rPr>
      </w:pPr>
      <w:r w:rsidR="002F3A9F">
        <w:rPr>
          <w:rFonts w:cs="Times New Roman"/>
        </w:rPr>
        <w:t xml:space="preserve"> </w:t>
      </w:r>
    </w:p>
    <w:p w:rsidR="000E060D" w:rsidP="000E060D">
      <w:pPr>
        <w:jc w:val="both"/>
        <w:rPr>
          <w:rFonts w:ascii="Arial Narrow" w:hAnsi="Arial Narrow" w:cs="Arial"/>
          <w:b/>
          <w:szCs w:val="24"/>
        </w:rPr>
      </w:pPr>
      <w:r>
        <w:rPr>
          <w:rFonts w:ascii="Arial Narrow" w:hAnsi="Arial Narrow" w:cs="Arial"/>
          <w:b/>
          <w:szCs w:val="24"/>
        </w:rPr>
        <w:t>A.3. Tovary a služby</w:t>
      </w:r>
    </w:p>
    <w:p w:rsidR="000E060D" w:rsidP="000E060D">
      <w:pPr>
        <w:jc w:val="both"/>
        <w:rPr>
          <w:rFonts w:ascii="Arial Narrow" w:hAnsi="Arial Narrow" w:cs="Arial"/>
          <w:szCs w:val="24"/>
        </w:rPr>
      </w:pPr>
    </w:p>
    <w:p w:rsidR="000E060D" w:rsidP="000E060D">
      <w:pPr>
        <w:ind w:firstLine="709"/>
        <w:jc w:val="both"/>
        <w:rPr>
          <w:rFonts w:ascii="Arial Narrow" w:hAnsi="Arial Narrow" w:cs="Arial"/>
          <w:sz w:val="22"/>
          <w:szCs w:val="24"/>
        </w:rPr>
      </w:pPr>
      <w:r>
        <w:rPr>
          <w:rFonts w:ascii="Arial Narrow" w:hAnsi="Arial Narrow" w:cs="Arial"/>
          <w:sz w:val="22"/>
          <w:szCs w:val="24"/>
        </w:rPr>
        <w:t>Na základe rozpísaných limitov jednotlivých kapitol štátneho rozpočtu na roky 2009 až 2011 predstavujú výdavky na tovary a služby 1</w:t>
      </w:r>
      <w:r w:rsidR="00A93A22">
        <w:rPr>
          <w:rFonts w:ascii="Arial Narrow" w:hAnsi="Arial Narrow" w:cs="Arial"/>
          <w:sz w:val="22"/>
          <w:szCs w:val="24"/>
        </w:rPr>
        <w:t> </w:t>
      </w:r>
      <w:r>
        <w:rPr>
          <w:rFonts w:ascii="Arial Narrow" w:hAnsi="Arial Narrow" w:cs="Arial"/>
          <w:sz w:val="22"/>
          <w:szCs w:val="24"/>
        </w:rPr>
        <w:t>7</w:t>
      </w:r>
      <w:r w:rsidR="00A93A22">
        <w:rPr>
          <w:rFonts w:ascii="Arial Narrow" w:hAnsi="Arial Narrow" w:cs="Arial"/>
          <w:sz w:val="22"/>
          <w:szCs w:val="24"/>
        </w:rPr>
        <w:t>60 503</w:t>
      </w:r>
      <w:r>
        <w:rPr>
          <w:rFonts w:ascii="Arial Narrow" w:hAnsi="Arial Narrow" w:cs="Arial"/>
          <w:sz w:val="22"/>
          <w:szCs w:val="24"/>
        </w:rPr>
        <w:t xml:space="preserve"> tis. eur, 2</w:t>
      </w:r>
      <w:r w:rsidR="00C46DF2">
        <w:rPr>
          <w:rFonts w:ascii="Arial Narrow" w:hAnsi="Arial Narrow" w:cs="Arial"/>
          <w:sz w:val="22"/>
          <w:szCs w:val="24"/>
        </w:rPr>
        <w:t> 321 310</w:t>
      </w:r>
      <w:r>
        <w:rPr>
          <w:rFonts w:ascii="Arial Narrow" w:hAnsi="Arial Narrow" w:cs="Arial"/>
          <w:sz w:val="22"/>
          <w:szCs w:val="24"/>
        </w:rPr>
        <w:t xml:space="preserve"> tis. eur a 2</w:t>
      </w:r>
      <w:r w:rsidR="00C46DF2">
        <w:rPr>
          <w:rFonts w:ascii="Arial Narrow" w:hAnsi="Arial Narrow" w:cs="Arial"/>
          <w:sz w:val="22"/>
          <w:szCs w:val="24"/>
        </w:rPr>
        <w:t> 125 038</w:t>
      </w:r>
      <w:r>
        <w:rPr>
          <w:rFonts w:ascii="Arial Narrow" w:hAnsi="Arial Narrow" w:cs="Arial"/>
          <w:sz w:val="22"/>
          <w:szCs w:val="24"/>
        </w:rPr>
        <w:t xml:space="preserve"> tis. eur, v ktorých je premietnutý štandardný nárast výdavkov vzhľadom na očakávaný vývoj inflácie so zohľadnením špecifík jednotlivých kapitol štátneho rozpočtu.  </w:t>
      </w:r>
    </w:p>
    <w:p w:rsidR="000E060D" w:rsidP="000E060D">
      <w:pPr>
        <w:ind w:firstLine="709"/>
        <w:jc w:val="both"/>
        <w:rPr>
          <w:rFonts w:ascii="Arial Narrow" w:hAnsi="Arial Narrow" w:cs="Arial"/>
          <w:sz w:val="22"/>
          <w:szCs w:val="24"/>
        </w:rPr>
      </w:pPr>
    </w:p>
    <w:p w:rsidR="000E060D" w:rsidP="000E060D">
      <w:pPr>
        <w:ind w:firstLine="709"/>
        <w:jc w:val="both"/>
        <w:rPr>
          <w:rFonts w:ascii="Arial Narrow" w:hAnsi="Arial Narrow" w:cs="Arial"/>
          <w:sz w:val="22"/>
          <w:szCs w:val="24"/>
        </w:rPr>
      </w:pPr>
      <w:r>
        <w:rPr>
          <w:rFonts w:ascii="Arial Narrow" w:hAnsi="Arial Narrow" w:cs="Arial"/>
          <w:sz w:val="22"/>
          <w:szCs w:val="24"/>
        </w:rPr>
        <w:t xml:space="preserve">Z uvedených výdavkov najväčší podiel predstavujú v roku 2009 výdavky na energie, vodu a komunikácie, služby a materiál. </w:t>
      </w:r>
    </w:p>
    <w:p w:rsidR="000E060D" w:rsidP="000E060D">
      <w:pPr>
        <w:jc w:val="both"/>
        <w:rPr>
          <w:rFonts w:ascii="Arial Narrow" w:hAnsi="Arial Narrow" w:cs="Arial"/>
          <w:szCs w:val="24"/>
        </w:rPr>
      </w:pPr>
    </w:p>
    <w:p w:rsidR="000E060D" w:rsidRPr="00E37867" w:rsidP="000E060D">
      <w:pPr>
        <w:jc w:val="both"/>
        <w:rPr>
          <w:rFonts w:ascii="Arial Narrow" w:hAnsi="Arial Narrow" w:cs="Arial"/>
          <w:b/>
          <w:szCs w:val="24"/>
        </w:rPr>
      </w:pPr>
      <w:r w:rsidRPr="00E37867">
        <w:rPr>
          <w:rFonts w:ascii="Arial Narrow" w:hAnsi="Arial Narrow" w:cs="Arial"/>
          <w:b/>
          <w:szCs w:val="24"/>
        </w:rPr>
        <w:t>A.4. Bežné transfery</w:t>
      </w:r>
    </w:p>
    <w:p w:rsidR="000E060D" w:rsidP="000E060D">
      <w:pPr>
        <w:jc w:val="both"/>
        <w:rPr>
          <w:rFonts w:ascii="Arial Narrow" w:hAnsi="Arial Narrow" w:cs="Arial"/>
          <w:szCs w:val="24"/>
        </w:rPr>
      </w:pPr>
    </w:p>
    <w:p w:rsidR="000E060D" w:rsidP="000E060D">
      <w:pPr>
        <w:ind w:firstLine="709"/>
        <w:jc w:val="both"/>
        <w:rPr>
          <w:rFonts w:ascii="Arial Narrow" w:hAnsi="Arial Narrow" w:cs="Arial"/>
          <w:sz w:val="22"/>
          <w:szCs w:val="24"/>
        </w:rPr>
      </w:pPr>
      <w:r>
        <w:rPr>
          <w:rFonts w:ascii="Arial Narrow" w:hAnsi="Arial Narrow" w:cs="Arial"/>
          <w:sz w:val="22"/>
          <w:szCs w:val="24"/>
        </w:rPr>
        <w:t xml:space="preserve">V rokoch 2009 až 2011 sú rozpočtované vo výške </w:t>
      </w:r>
      <w:r w:rsidR="009D6B49">
        <w:rPr>
          <w:rFonts w:ascii="Arial Narrow" w:hAnsi="Arial Narrow" w:cs="Arial"/>
          <w:sz w:val="22"/>
          <w:szCs w:val="24"/>
        </w:rPr>
        <w:t>7 055 817</w:t>
      </w:r>
      <w:r>
        <w:rPr>
          <w:rFonts w:ascii="Arial Narrow" w:hAnsi="Arial Narrow" w:cs="Arial"/>
          <w:sz w:val="22"/>
          <w:szCs w:val="24"/>
        </w:rPr>
        <w:t xml:space="preserve"> tis. eur, 6</w:t>
      </w:r>
      <w:r w:rsidR="009D6B49">
        <w:rPr>
          <w:rFonts w:ascii="Arial Narrow" w:hAnsi="Arial Narrow" w:cs="Arial"/>
          <w:sz w:val="22"/>
          <w:szCs w:val="24"/>
        </w:rPr>
        <w:t> </w:t>
      </w:r>
      <w:r>
        <w:rPr>
          <w:rFonts w:ascii="Arial Narrow" w:hAnsi="Arial Narrow" w:cs="Arial"/>
          <w:sz w:val="22"/>
          <w:szCs w:val="24"/>
        </w:rPr>
        <w:t>9</w:t>
      </w:r>
      <w:r w:rsidR="009D6B49">
        <w:rPr>
          <w:rFonts w:ascii="Arial Narrow" w:hAnsi="Arial Narrow" w:cs="Arial"/>
          <w:sz w:val="22"/>
          <w:szCs w:val="24"/>
        </w:rPr>
        <w:t>60 456</w:t>
      </w:r>
      <w:r>
        <w:rPr>
          <w:rFonts w:ascii="Arial Narrow" w:hAnsi="Arial Narrow" w:cs="Arial"/>
          <w:sz w:val="22"/>
          <w:szCs w:val="24"/>
        </w:rPr>
        <w:t xml:space="preserve"> tis. eur a 7</w:t>
      </w:r>
      <w:r w:rsidR="009D6B49">
        <w:rPr>
          <w:rFonts w:ascii="Arial Narrow" w:hAnsi="Arial Narrow" w:cs="Arial"/>
          <w:sz w:val="22"/>
          <w:szCs w:val="24"/>
        </w:rPr>
        <w:t> </w:t>
      </w:r>
      <w:r>
        <w:rPr>
          <w:rFonts w:ascii="Arial Narrow" w:hAnsi="Arial Narrow" w:cs="Arial"/>
          <w:sz w:val="22"/>
          <w:szCs w:val="24"/>
        </w:rPr>
        <w:t>6</w:t>
      </w:r>
      <w:r w:rsidR="009D6B49">
        <w:rPr>
          <w:rFonts w:ascii="Arial Narrow" w:hAnsi="Arial Narrow" w:cs="Arial"/>
          <w:sz w:val="22"/>
          <w:szCs w:val="24"/>
        </w:rPr>
        <w:t>22 810</w:t>
      </w:r>
      <w:r>
        <w:rPr>
          <w:rFonts w:ascii="Arial Narrow" w:hAnsi="Arial Narrow" w:cs="Arial"/>
          <w:sz w:val="22"/>
          <w:szCs w:val="24"/>
        </w:rPr>
        <w:t xml:space="preserve"> tis. eur.</w:t>
      </w:r>
    </w:p>
    <w:p w:rsidR="000E060D" w:rsidP="000E060D">
      <w:pPr>
        <w:ind w:firstLine="709"/>
        <w:jc w:val="both"/>
        <w:rPr>
          <w:rFonts w:ascii="Arial Narrow" w:hAnsi="Arial Narrow" w:cs="Arial"/>
          <w:sz w:val="22"/>
          <w:szCs w:val="24"/>
        </w:rPr>
      </w:pPr>
    </w:p>
    <w:p w:rsidR="000E060D" w:rsidP="000E060D">
      <w:pPr>
        <w:ind w:firstLine="709"/>
        <w:jc w:val="both"/>
        <w:rPr>
          <w:rFonts w:ascii="Arial Narrow" w:hAnsi="Arial Narrow" w:cs="Arial"/>
          <w:sz w:val="22"/>
          <w:szCs w:val="24"/>
        </w:rPr>
      </w:pPr>
      <w:r>
        <w:rPr>
          <w:rFonts w:ascii="Arial Narrow" w:hAnsi="Arial Narrow" w:cs="Arial"/>
          <w:sz w:val="22"/>
          <w:szCs w:val="24"/>
        </w:rPr>
        <w:t>V bežných transferoch sa rozpočtujú transfery v rámci sektora verejnej správy, transfery jednotlivcom a neziskovým právnickým osobám, dotácie nefinančným subjektom – právnickým a fyzickým osobám – podnikateľom, transfery zahraničné a transfery do tuzemských finančných inštitúcií.</w:t>
      </w:r>
    </w:p>
    <w:p w:rsidR="000E060D" w:rsidP="000E060D">
      <w:pPr>
        <w:jc w:val="both"/>
        <w:rPr>
          <w:rFonts w:ascii="Arial Narrow" w:hAnsi="Arial Narrow" w:cs="Arial"/>
          <w:sz w:val="22"/>
          <w:szCs w:val="24"/>
        </w:rPr>
      </w:pPr>
    </w:p>
    <w:p w:rsidR="000E060D" w:rsidP="000E060D">
      <w:pPr>
        <w:ind w:firstLine="709"/>
        <w:jc w:val="both"/>
        <w:rPr>
          <w:rFonts w:ascii="Arial Narrow" w:hAnsi="Arial Narrow" w:cs="Arial"/>
          <w:sz w:val="22"/>
          <w:szCs w:val="24"/>
        </w:rPr>
      </w:pPr>
      <w:r>
        <w:rPr>
          <w:rFonts w:ascii="Arial Narrow" w:hAnsi="Arial Narrow" w:cs="Arial"/>
          <w:b/>
          <w:sz w:val="22"/>
          <w:szCs w:val="24"/>
        </w:rPr>
        <w:t>Transfery v rámci sektora verejnej správy</w:t>
      </w:r>
      <w:r>
        <w:rPr>
          <w:rFonts w:ascii="Arial Narrow" w:hAnsi="Arial Narrow" w:cs="Arial"/>
          <w:sz w:val="22"/>
          <w:szCs w:val="24"/>
        </w:rPr>
        <w:t xml:space="preserve"> sú v roku 2009 rozpočtov</w:t>
      </w:r>
      <w:r>
        <w:rPr>
          <w:rFonts w:ascii="Arial Narrow" w:hAnsi="Arial Narrow" w:cs="Arial"/>
          <w:sz w:val="22"/>
          <w:szCs w:val="24"/>
        </w:rPr>
        <w:t>ané vo výške 1</w:t>
      </w:r>
      <w:r w:rsidR="009D6B49">
        <w:rPr>
          <w:rFonts w:ascii="Arial Narrow" w:hAnsi="Arial Narrow" w:cs="Arial"/>
          <w:sz w:val="22"/>
          <w:szCs w:val="24"/>
        </w:rPr>
        <w:t> </w:t>
      </w:r>
      <w:r>
        <w:rPr>
          <w:rFonts w:ascii="Arial Narrow" w:hAnsi="Arial Narrow" w:cs="Arial"/>
          <w:sz w:val="22"/>
          <w:szCs w:val="24"/>
        </w:rPr>
        <w:t>8</w:t>
      </w:r>
      <w:r w:rsidR="009D6B49">
        <w:rPr>
          <w:rFonts w:ascii="Arial Narrow" w:hAnsi="Arial Narrow" w:cs="Arial"/>
          <w:sz w:val="22"/>
          <w:szCs w:val="24"/>
        </w:rPr>
        <w:t>63 844</w:t>
      </w:r>
      <w:r>
        <w:rPr>
          <w:rFonts w:ascii="Arial Narrow" w:hAnsi="Arial Narrow" w:cs="Arial"/>
          <w:sz w:val="22"/>
          <w:szCs w:val="24"/>
        </w:rPr>
        <w:t xml:space="preserve"> tis. eur. Z uvedenej sumy predstavuje transfer Štátnemu fondu rozvoja bývania </w:t>
      </w:r>
      <w:r w:rsidR="00927350">
        <w:rPr>
          <w:rFonts w:ascii="Arial Narrow" w:hAnsi="Arial Narrow" w:cs="Arial"/>
          <w:sz w:val="22"/>
          <w:szCs w:val="24"/>
        </w:rPr>
        <w:t>66 960</w:t>
      </w:r>
      <w:r>
        <w:rPr>
          <w:rFonts w:ascii="Arial Narrow" w:hAnsi="Arial Narrow" w:cs="Arial"/>
          <w:sz w:val="22"/>
          <w:szCs w:val="24"/>
        </w:rPr>
        <w:t xml:space="preserve"> tis. eur, verejným vysokým školám </w:t>
      </w:r>
      <w:r w:rsidR="00927350">
        <w:rPr>
          <w:rFonts w:ascii="Arial Narrow" w:hAnsi="Arial Narrow" w:cs="Arial"/>
          <w:sz w:val="22"/>
          <w:szCs w:val="24"/>
        </w:rPr>
        <w:t>501 048</w:t>
      </w:r>
      <w:r>
        <w:rPr>
          <w:rFonts w:ascii="Arial Narrow" w:hAnsi="Arial Narrow" w:cs="Arial"/>
          <w:sz w:val="22"/>
          <w:szCs w:val="24"/>
        </w:rPr>
        <w:t xml:space="preserve"> tis. eur, obciam </w:t>
      </w:r>
      <w:r w:rsidR="00927350">
        <w:rPr>
          <w:rFonts w:ascii="Arial Narrow" w:hAnsi="Arial Narrow" w:cs="Arial"/>
          <w:sz w:val="22"/>
          <w:szCs w:val="24"/>
        </w:rPr>
        <w:t>693 148</w:t>
      </w:r>
      <w:r>
        <w:rPr>
          <w:rFonts w:ascii="Arial Narrow" w:hAnsi="Arial Narrow" w:cs="Arial"/>
          <w:sz w:val="22"/>
          <w:szCs w:val="24"/>
        </w:rPr>
        <w:t xml:space="preserve"> tis. eur a vyšším územným celkom 4</w:t>
      </w:r>
      <w:r w:rsidR="00927350">
        <w:rPr>
          <w:rFonts w:ascii="Arial Narrow" w:hAnsi="Arial Narrow" w:cs="Arial"/>
          <w:sz w:val="22"/>
          <w:szCs w:val="24"/>
        </w:rPr>
        <w:t>15 242</w:t>
      </w:r>
      <w:r>
        <w:rPr>
          <w:rFonts w:ascii="Arial Narrow" w:hAnsi="Arial Narrow" w:cs="Arial"/>
          <w:sz w:val="22"/>
          <w:szCs w:val="24"/>
        </w:rPr>
        <w:t xml:space="preserve"> tis. </w:t>
      </w:r>
      <w:r w:rsidR="00412FCF">
        <w:rPr>
          <w:rFonts w:ascii="Arial Narrow" w:hAnsi="Arial Narrow" w:cs="Arial"/>
          <w:sz w:val="22"/>
          <w:szCs w:val="24"/>
        </w:rPr>
        <w:t>e</w:t>
      </w:r>
      <w:r>
        <w:rPr>
          <w:rFonts w:ascii="Arial Narrow" w:hAnsi="Arial Narrow" w:cs="Arial"/>
          <w:sz w:val="22"/>
          <w:szCs w:val="24"/>
        </w:rPr>
        <w:t>ur. Ostatné transfery v rámci sekt</w:t>
      </w:r>
      <w:r>
        <w:rPr>
          <w:rFonts w:ascii="Arial Narrow" w:hAnsi="Arial Narrow" w:cs="Arial"/>
          <w:sz w:val="22"/>
          <w:szCs w:val="24"/>
        </w:rPr>
        <w:t>ora verejnej správy, vrátane transferov príspevkovým organizáciám, sa v roku 2009 rozpočtujú vo výške 1</w:t>
      </w:r>
      <w:r w:rsidR="00927350">
        <w:rPr>
          <w:rFonts w:ascii="Arial Narrow" w:hAnsi="Arial Narrow" w:cs="Arial"/>
          <w:sz w:val="22"/>
          <w:szCs w:val="24"/>
        </w:rPr>
        <w:t>87 446</w:t>
      </w:r>
      <w:r>
        <w:rPr>
          <w:rFonts w:ascii="Arial Narrow" w:hAnsi="Arial Narrow" w:cs="Arial"/>
          <w:sz w:val="22"/>
          <w:szCs w:val="24"/>
        </w:rPr>
        <w:t xml:space="preserve"> tis. eur. </w:t>
      </w:r>
    </w:p>
    <w:p w:rsidR="000E060D" w:rsidP="000E060D">
      <w:pPr>
        <w:jc w:val="both"/>
        <w:rPr>
          <w:rFonts w:ascii="Arial Narrow" w:hAnsi="Arial Narrow" w:cs="Arial"/>
          <w:sz w:val="22"/>
          <w:szCs w:val="24"/>
        </w:rPr>
      </w:pPr>
    </w:p>
    <w:p w:rsidR="000E060D" w:rsidRPr="00944406" w:rsidP="000E060D">
      <w:pPr>
        <w:ind w:firstLine="709"/>
        <w:jc w:val="both"/>
        <w:rPr>
          <w:rFonts w:ascii="Arial Narrow" w:hAnsi="Arial Narrow" w:cs="Arial"/>
          <w:sz w:val="22"/>
          <w:szCs w:val="24"/>
        </w:rPr>
      </w:pPr>
      <w:r>
        <w:rPr>
          <w:rFonts w:ascii="Arial Narrow" w:hAnsi="Arial Narrow" w:cs="Arial"/>
          <w:b/>
          <w:sz w:val="22"/>
          <w:szCs w:val="24"/>
        </w:rPr>
        <w:t>Transfery jednotlivcom a neziskovým právnickým osobám</w:t>
      </w:r>
      <w:r>
        <w:rPr>
          <w:rFonts w:ascii="Arial Narrow" w:hAnsi="Arial Narrow" w:cs="Arial"/>
          <w:sz w:val="22"/>
          <w:szCs w:val="24"/>
        </w:rPr>
        <w:t xml:space="preserve"> sa v roku 2009 rozpočtujú vo výške </w:t>
      </w:r>
      <w:r w:rsidR="00A4207A">
        <w:rPr>
          <w:rFonts w:ascii="Arial Narrow" w:hAnsi="Arial Narrow" w:cs="Arial"/>
          <w:sz w:val="22"/>
          <w:szCs w:val="24"/>
        </w:rPr>
        <w:t>3 421 917</w:t>
      </w:r>
      <w:r>
        <w:rPr>
          <w:rFonts w:ascii="Arial Narrow" w:hAnsi="Arial Narrow" w:cs="Arial"/>
          <w:sz w:val="22"/>
          <w:szCs w:val="24"/>
        </w:rPr>
        <w:t xml:space="preserve"> tis. eur. Najväčší objem z uvedenej sumy predstavuje platené poistné za zákonom určené skupiny osôb a štátne sociálne dávky. V roku 2009 sa štátom platené poistné za zákonom určené skupiny osôb rozpočtuje vo výške 1</w:t>
      </w:r>
      <w:r w:rsidR="00A4207A">
        <w:rPr>
          <w:rFonts w:ascii="Arial Narrow" w:hAnsi="Arial Narrow" w:cs="Arial"/>
          <w:sz w:val="22"/>
          <w:szCs w:val="24"/>
        </w:rPr>
        <w:t> 415 935</w:t>
      </w:r>
      <w:r>
        <w:rPr>
          <w:rFonts w:ascii="Arial Narrow" w:hAnsi="Arial Narrow" w:cs="Arial"/>
          <w:sz w:val="22"/>
          <w:szCs w:val="24"/>
        </w:rPr>
        <w:t xml:space="preserve"> tis. eur. Sk, čo predstavuje medziročný nárast oproti roku 2008 o</w:t>
      </w:r>
      <w:r w:rsidR="00A4207A">
        <w:rPr>
          <w:rFonts w:ascii="Arial Narrow" w:hAnsi="Arial Narrow" w:cs="Arial"/>
          <w:sz w:val="22"/>
          <w:szCs w:val="24"/>
        </w:rPr>
        <w:t> 1</w:t>
      </w:r>
      <w:r w:rsidR="00A4207A">
        <w:rPr>
          <w:rFonts w:ascii="Arial Narrow" w:hAnsi="Arial Narrow" w:cs="Arial"/>
          <w:sz w:val="22"/>
          <w:szCs w:val="24"/>
        </w:rPr>
        <w:t>90 591</w:t>
      </w:r>
      <w:r>
        <w:rPr>
          <w:rFonts w:ascii="Arial Narrow" w:hAnsi="Arial Narrow" w:cs="Arial"/>
          <w:sz w:val="22"/>
          <w:szCs w:val="24"/>
        </w:rPr>
        <w:t xml:space="preserve"> tis. eur., resp. 1</w:t>
      </w:r>
      <w:r w:rsidR="00A4207A">
        <w:rPr>
          <w:rFonts w:ascii="Arial Narrow" w:hAnsi="Arial Narrow" w:cs="Arial"/>
          <w:sz w:val="22"/>
          <w:szCs w:val="24"/>
        </w:rPr>
        <w:t>5</w:t>
      </w:r>
      <w:r>
        <w:rPr>
          <w:rFonts w:ascii="Arial Narrow" w:hAnsi="Arial Narrow" w:cs="Arial"/>
          <w:sz w:val="22"/>
          <w:szCs w:val="24"/>
        </w:rPr>
        <w:t>,</w:t>
      </w:r>
      <w:r w:rsidR="00A4207A">
        <w:rPr>
          <w:rFonts w:ascii="Arial Narrow" w:hAnsi="Arial Narrow" w:cs="Arial"/>
          <w:sz w:val="22"/>
          <w:szCs w:val="24"/>
        </w:rPr>
        <w:t>6</w:t>
      </w:r>
      <w:r>
        <w:rPr>
          <w:rFonts w:ascii="Arial Narrow" w:hAnsi="Arial Narrow" w:cs="Arial"/>
          <w:sz w:val="22"/>
          <w:szCs w:val="24"/>
        </w:rPr>
        <w:t xml:space="preserve"> %. </w:t>
      </w:r>
      <w:r w:rsidRPr="00944406">
        <w:rPr>
          <w:rFonts w:ascii="Arial Narrow" w:hAnsi="Arial Narrow" w:cs="Arial"/>
          <w:sz w:val="22"/>
          <w:szCs w:val="24"/>
        </w:rPr>
        <w:t>Štátom platené poistné na zdravotné poistenie sa v roku 200</w:t>
      </w:r>
      <w:r>
        <w:rPr>
          <w:rFonts w:ascii="Arial Narrow" w:hAnsi="Arial Narrow" w:cs="Arial"/>
          <w:sz w:val="22"/>
          <w:szCs w:val="24"/>
        </w:rPr>
        <w:t>9</w:t>
      </w:r>
      <w:r w:rsidRPr="00944406">
        <w:rPr>
          <w:rFonts w:ascii="Arial Narrow" w:hAnsi="Arial Narrow" w:cs="Arial"/>
          <w:sz w:val="22"/>
          <w:szCs w:val="24"/>
        </w:rPr>
        <w:t xml:space="preserve"> rozpočtuje vo výške</w:t>
      </w:r>
      <w:r>
        <w:rPr>
          <w:rFonts w:ascii="Arial Narrow" w:hAnsi="Arial Narrow" w:cs="Arial"/>
          <w:sz w:val="22"/>
          <w:szCs w:val="24"/>
        </w:rPr>
        <w:t xml:space="preserve"> 1</w:t>
      </w:r>
      <w:r w:rsidR="00B07216">
        <w:rPr>
          <w:rFonts w:ascii="Arial Narrow" w:hAnsi="Arial Narrow" w:cs="Arial"/>
          <w:sz w:val="22"/>
          <w:szCs w:val="24"/>
        </w:rPr>
        <w:t> </w:t>
      </w:r>
      <w:r>
        <w:rPr>
          <w:rFonts w:ascii="Arial Narrow" w:hAnsi="Arial Narrow" w:cs="Arial"/>
          <w:sz w:val="22"/>
          <w:szCs w:val="24"/>
        </w:rPr>
        <w:t>1</w:t>
      </w:r>
      <w:r w:rsidR="00B07216">
        <w:rPr>
          <w:rFonts w:ascii="Arial Narrow" w:hAnsi="Arial Narrow" w:cs="Arial"/>
          <w:sz w:val="22"/>
          <w:szCs w:val="24"/>
        </w:rPr>
        <w:t>84 724</w:t>
      </w:r>
      <w:r>
        <w:rPr>
          <w:rFonts w:ascii="Arial Narrow" w:hAnsi="Arial Narrow" w:cs="Arial"/>
          <w:sz w:val="22"/>
          <w:szCs w:val="24"/>
        </w:rPr>
        <w:t xml:space="preserve"> tis. eur</w:t>
      </w:r>
      <w:r w:rsidRPr="00944406">
        <w:rPr>
          <w:rFonts w:ascii="Arial Narrow" w:hAnsi="Arial Narrow" w:cs="Arial"/>
          <w:sz w:val="22"/>
          <w:szCs w:val="24"/>
        </w:rPr>
        <w:t>, čo v porovnaní s rokom 200</w:t>
      </w:r>
      <w:r>
        <w:rPr>
          <w:rFonts w:ascii="Arial Narrow" w:hAnsi="Arial Narrow" w:cs="Arial"/>
          <w:sz w:val="22"/>
          <w:szCs w:val="24"/>
        </w:rPr>
        <w:t>8</w:t>
      </w:r>
      <w:r w:rsidRPr="00944406">
        <w:rPr>
          <w:rFonts w:ascii="Arial Narrow" w:hAnsi="Arial Narrow" w:cs="Arial"/>
          <w:sz w:val="22"/>
          <w:szCs w:val="24"/>
        </w:rPr>
        <w:t xml:space="preserve"> predstavuje nárast o</w:t>
      </w:r>
      <w:r w:rsidR="00B07216">
        <w:rPr>
          <w:rFonts w:ascii="Arial Narrow" w:hAnsi="Arial Narrow" w:cs="Arial"/>
          <w:sz w:val="22"/>
          <w:szCs w:val="24"/>
        </w:rPr>
        <w:t> </w:t>
      </w:r>
      <w:r>
        <w:rPr>
          <w:rFonts w:ascii="Arial Narrow" w:hAnsi="Arial Narrow" w:cs="Arial"/>
          <w:sz w:val="22"/>
          <w:szCs w:val="24"/>
        </w:rPr>
        <w:t>1</w:t>
      </w:r>
      <w:r w:rsidR="00B07216">
        <w:rPr>
          <w:rFonts w:ascii="Arial Narrow" w:hAnsi="Arial Narrow" w:cs="Arial"/>
          <w:sz w:val="22"/>
          <w:szCs w:val="24"/>
        </w:rPr>
        <w:t>70 966</w:t>
      </w:r>
      <w:r>
        <w:rPr>
          <w:rFonts w:ascii="Arial Narrow" w:hAnsi="Arial Narrow" w:cs="Arial"/>
          <w:sz w:val="22"/>
          <w:szCs w:val="24"/>
        </w:rPr>
        <w:t xml:space="preserve"> tis. eur</w:t>
      </w:r>
      <w:r w:rsidRPr="00944406">
        <w:rPr>
          <w:rFonts w:ascii="Arial Narrow" w:hAnsi="Arial Narrow" w:cs="Arial"/>
          <w:sz w:val="22"/>
          <w:szCs w:val="24"/>
        </w:rPr>
        <w:t xml:space="preserve">, resp. </w:t>
      </w:r>
      <w:r>
        <w:rPr>
          <w:rFonts w:ascii="Arial Narrow" w:hAnsi="Arial Narrow" w:cs="Arial"/>
          <w:sz w:val="22"/>
          <w:szCs w:val="24"/>
        </w:rPr>
        <w:t>1</w:t>
      </w:r>
      <w:r w:rsidR="00B07216">
        <w:rPr>
          <w:rFonts w:ascii="Arial Narrow" w:hAnsi="Arial Narrow" w:cs="Arial"/>
          <w:sz w:val="22"/>
          <w:szCs w:val="24"/>
        </w:rPr>
        <w:t>6</w:t>
      </w:r>
      <w:r>
        <w:rPr>
          <w:rFonts w:ascii="Arial Narrow" w:hAnsi="Arial Narrow" w:cs="Arial"/>
          <w:sz w:val="22"/>
          <w:szCs w:val="24"/>
        </w:rPr>
        <w:t>,</w:t>
      </w:r>
      <w:r w:rsidR="00B07216">
        <w:rPr>
          <w:rFonts w:ascii="Arial Narrow" w:hAnsi="Arial Narrow" w:cs="Arial"/>
          <w:sz w:val="22"/>
          <w:szCs w:val="24"/>
        </w:rPr>
        <w:t>9</w:t>
      </w:r>
      <w:r>
        <w:rPr>
          <w:rFonts w:ascii="Arial Narrow" w:hAnsi="Arial Narrow" w:cs="Arial"/>
          <w:sz w:val="22"/>
          <w:szCs w:val="24"/>
        </w:rPr>
        <w:t xml:space="preserve"> </w:t>
      </w:r>
      <w:r w:rsidRPr="00944406">
        <w:rPr>
          <w:rFonts w:ascii="Arial Narrow" w:hAnsi="Arial Narrow" w:cs="Arial"/>
          <w:sz w:val="22"/>
          <w:szCs w:val="24"/>
        </w:rPr>
        <w:t>%. V roku 200</w:t>
      </w:r>
      <w:r>
        <w:rPr>
          <w:rFonts w:ascii="Arial Narrow" w:hAnsi="Arial Narrow" w:cs="Arial"/>
          <w:sz w:val="22"/>
          <w:szCs w:val="24"/>
        </w:rPr>
        <w:t>9</w:t>
      </w:r>
      <w:r w:rsidRPr="00944406">
        <w:rPr>
          <w:rFonts w:ascii="Arial Narrow" w:hAnsi="Arial Narrow" w:cs="Arial"/>
          <w:sz w:val="22"/>
          <w:szCs w:val="24"/>
        </w:rPr>
        <w:t xml:space="preserve"> sa v oblasti sociálnych dávok a príspevkov rozpočtujú finančné prostriedky vo výške</w:t>
      </w:r>
      <w:r>
        <w:rPr>
          <w:rFonts w:ascii="Arial Narrow" w:hAnsi="Arial Narrow" w:cs="Arial"/>
          <w:sz w:val="22"/>
          <w:szCs w:val="24"/>
        </w:rPr>
        <w:t xml:space="preserve"> 1 285 201 tis. eur</w:t>
      </w:r>
      <w:r w:rsidRPr="00944406">
        <w:rPr>
          <w:rFonts w:ascii="Arial Narrow" w:hAnsi="Arial Narrow" w:cs="Arial"/>
          <w:sz w:val="22"/>
          <w:szCs w:val="24"/>
        </w:rPr>
        <w:t xml:space="preserve">. </w:t>
      </w:r>
    </w:p>
    <w:p w:rsidR="000E060D" w:rsidP="000E060D">
      <w:pPr>
        <w:jc w:val="both"/>
        <w:rPr>
          <w:rFonts w:ascii="Arial Narrow" w:hAnsi="Arial Narrow" w:cs="Arial"/>
          <w:sz w:val="22"/>
          <w:szCs w:val="24"/>
        </w:rPr>
      </w:pPr>
    </w:p>
    <w:p w:rsidR="000E060D" w:rsidP="000E060D">
      <w:pPr>
        <w:ind w:firstLine="709"/>
        <w:jc w:val="both"/>
        <w:rPr>
          <w:rFonts w:ascii="Arial Narrow" w:hAnsi="Arial Narrow" w:cs="Arial"/>
          <w:sz w:val="22"/>
          <w:szCs w:val="24"/>
        </w:rPr>
      </w:pPr>
      <w:r>
        <w:rPr>
          <w:rFonts w:ascii="Arial Narrow" w:hAnsi="Arial Narrow" w:cs="Arial"/>
          <w:b/>
          <w:sz w:val="22"/>
          <w:szCs w:val="24"/>
        </w:rPr>
        <w:t>Dotácie nefinančným subjektom – právnickým osobám a fyzickým osobám – podnikateľom</w:t>
      </w:r>
      <w:r>
        <w:rPr>
          <w:rFonts w:ascii="Arial Narrow" w:hAnsi="Arial Narrow" w:cs="Arial"/>
          <w:sz w:val="22"/>
          <w:szCs w:val="24"/>
        </w:rPr>
        <w:t xml:space="preserve"> sa rozpočtujú v roku 2009 vo výške </w:t>
      </w:r>
      <w:r w:rsidR="00DD6258">
        <w:rPr>
          <w:rFonts w:ascii="Arial Narrow" w:hAnsi="Arial Narrow" w:cs="Arial"/>
          <w:sz w:val="22"/>
          <w:szCs w:val="24"/>
        </w:rPr>
        <w:t>1 078 561</w:t>
      </w:r>
      <w:r>
        <w:rPr>
          <w:rFonts w:ascii="Arial Narrow" w:hAnsi="Arial Narrow" w:cs="Arial"/>
          <w:sz w:val="22"/>
          <w:szCs w:val="24"/>
        </w:rPr>
        <w:t xml:space="preserve"> tis. eur, v roku 2010 vo výške </w:t>
      </w:r>
      <w:r w:rsidR="00DD6258">
        <w:rPr>
          <w:rFonts w:ascii="Arial Narrow" w:hAnsi="Arial Narrow" w:cs="Arial"/>
          <w:sz w:val="22"/>
          <w:szCs w:val="24"/>
        </w:rPr>
        <w:t>9</w:t>
      </w:r>
      <w:r>
        <w:rPr>
          <w:rFonts w:ascii="Arial Narrow" w:hAnsi="Arial Narrow" w:cs="Arial"/>
          <w:sz w:val="22"/>
          <w:szCs w:val="24"/>
        </w:rPr>
        <w:t>04 430 tis. eur a v roku 2011 vo výške 913 720 tis. eur. Najvyšší objem dotácií sa uvoľňuje prostredníctvom kapitoly Ministerstva pôdohospodárstva SR a Ministerstva dopravy, pôšt a telekomunikácií SR.</w:t>
      </w:r>
    </w:p>
    <w:p w:rsidR="000E060D" w:rsidP="000E060D">
      <w:pPr>
        <w:jc w:val="both"/>
        <w:rPr>
          <w:rFonts w:ascii="Arial Narrow" w:hAnsi="Arial Narrow" w:cs="Arial"/>
          <w:sz w:val="22"/>
          <w:szCs w:val="24"/>
        </w:rPr>
      </w:pPr>
    </w:p>
    <w:p w:rsidR="000E060D" w:rsidP="000E060D">
      <w:pPr>
        <w:ind w:firstLine="709"/>
        <w:jc w:val="both"/>
        <w:rPr>
          <w:rFonts w:ascii="Arial Narrow" w:hAnsi="Arial Narrow" w:cs="Arial"/>
          <w:b/>
          <w:sz w:val="22"/>
          <w:szCs w:val="24"/>
        </w:rPr>
      </w:pPr>
      <w:r>
        <w:rPr>
          <w:rFonts w:ascii="Arial Narrow" w:hAnsi="Arial Narrow" w:cs="Arial"/>
          <w:b/>
          <w:sz w:val="22"/>
          <w:szCs w:val="24"/>
        </w:rPr>
        <w:t>Zahraničné transfery</w:t>
      </w:r>
      <w:r>
        <w:rPr>
          <w:rFonts w:ascii="Arial Narrow" w:hAnsi="Arial Narrow" w:cs="Arial"/>
          <w:sz w:val="22"/>
          <w:szCs w:val="24"/>
        </w:rPr>
        <w:t xml:space="preserve"> sa rozpočtujú v roku 2009 vo výške 6</w:t>
      </w:r>
      <w:r w:rsidR="00DD6258">
        <w:rPr>
          <w:rFonts w:ascii="Arial Narrow" w:hAnsi="Arial Narrow" w:cs="Arial"/>
          <w:sz w:val="22"/>
          <w:szCs w:val="24"/>
        </w:rPr>
        <w:t>83 515</w:t>
      </w:r>
      <w:r>
        <w:rPr>
          <w:rFonts w:ascii="Arial Narrow" w:hAnsi="Arial Narrow" w:cs="Arial"/>
          <w:sz w:val="22"/>
          <w:szCs w:val="24"/>
        </w:rPr>
        <w:t xml:space="preserve"> tis. eur, v roku 2010 vo výške 681 430 tis. eur a v roku 2011 vo výške 666 722 tis. eur. Najväčší objem z uvedených súm predstavujú odvody a príspevky do rozpočtu EÚ, v roku 2009 vo výške </w:t>
      </w:r>
      <w:r w:rsidR="00FA031D">
        <w:rPr>
          <w:rFonts w:ascii="Arial Narrow" w:hAnsi="Arial Narrow" w:cs="Arial"/>
          <w:sz w:val="22"/>
          <w:szCs w:val="24"/>
        </w:rPr>
        <w:t>600</w:t>
      </w:r>
      <w:r>
        <w:rPr>
          <w:rFonts w:ascii="Arial Narrow" w:hAnsi="Arial Narrow" w:cs="Arial"/>
          <w:sz w:val="22"/>
          <w:szCs w:val="24"/>
        </w:rPr>
        <w:t> </w:t>
      </w:r>
      <w:r w:rsidR="00FA031D">
        <w:rPr>
          <w:rFonts w:ascii="Arial Narrow" w:hAnsi="Arial Narrow" w:cs="Arial"/>
          <w:sz w:val="22"/>
          <w:szCs w:val="24"/>
        </w:rPr>
        <w:t>198</w:t>
      </w:r>
      <w:r>
        <w:rPr>
          <w:rFonts w:ascii="Arial Narrow" w:hAnsi="Arial Narrow" w:cs="Arial"/>
          <w:sz w:val="22"/>
          <w:szCs w:val="24"/>
        </w:rPr>
        <w:t xml:space="preserve"> tis. eur.  </w:t>
      </w:r>
    </w:p>
    <w:p w:rsidR="000E060D" w:rsidP="000E060D">
      <w:pPr>
        <w:jc w:val="both"/>
        <w:rPr>
          <w:rFonts w:ascii="Arial Narrow" w:hAnsi="Arial Narrow" w:cs="Arial"/>
          <w:sz w:val="22"/>
          <w:szCs w:val="24"/>
        </w:rPr>
      </w:pPr>
    </w:p>
    <w:p w:rsidR="000E060D" w:rsidP="000E060D">
      <w:pPr>
        <w:ind w:firstLine="708"/>
        <w:jc w:val="both"/>
        <w:rPr>
          <w:rFonts w:cs="Times New Roman"/>
          <w:b/>
        </w:rPr>
      </w:pPr>
      <w:r w:rsidRPr="00E37867">
        <w:rPr>
          <w:rFonts w:ascii="Arial Narrow" w:hAnsi="Arial Narrow" w:cs="Arial"/>
          <w:b/>
          <w:sz w:val="22"/>
          <w:szCs w:val="24"/>
        </w:rPr>
        <w:t>Transfery do tuzemských finančných inštitúcií</w:t>
      </w:r>
      <w:r w:rsidRPr="00E37867">
        <w:rPr>
          <w:rFonts w:ascii="Arial Narrow" w:hAnsi="Arial Narrow" w:cs="Arial"/>
          <w:sz w:val="22"/>
          <w:szCs w:val="24"/>
        </w:rPr>
        <w:t xml:space="preserve"> sa rozpočtu</w:t>
      </w:r>
      <w:r w:rsidRPr="00E37867">
        <w:rPr>
          <w:rFonts w:ascii="Arial Narrow" w:hAnsi="Arial Narrow" w:cs="Arial"/>
          <w:sz w:val="22"/>
          <w:szCs w:val="24"/>
        </w:rPr>
        <w:t>jú v roku 2009 vo výške 7 979 tis. eur, v roku 2010 vo výške 7 647 tis. eur a v roku 2011 vo výške 7 120 tis. eur.</w:t>
      </w:r>
      <w:r>
        <w:rPr>
          <w:rFonts w:cs="Times New Roman"/>
          <w:b/>
        </w:rPr>
        <w:t xml:space="preserve"> </w:t>
      </w:r>
    </w:p>
    <w:p w:rsidR="000E060D" w:rsidP="000E060D">
      <w:pPr>
        <w:rPr>
          <w:rFonts w:cs="Times New Roman"/>
        </w:rPr>
      </w:pPr>
    </w:p>
    <w:p w:rsidR="000E060D" w:rsidP="000E060D">
      <w:pPr>
        <w:jc w:val="both"/>
        <w:rPr>
          <w:rFonts w:cs="Times New Roman"/>
        </w:rPr>
      </w:pPr>
      <w:r w:rsidRPr="00E37867">
        <w:rPr>
          <w:rFonts w:ascii="Arial Narrow" w:hAnsi="Arial Narrow" w:cs="Arial"/>
          <w:b/>
          <w:szCs w:val="24"/>
        </w:rPr>
        <w:t>A.5. Splácanie úrokov a ostatné platby súvisiace s úvermi</w:t>
      </w:r>
      <w:r>
        <w:rPr>
          <w:rFonts w:cs="Times New Roman"/>
        </w:rPr>
        <w:tab/>
      </w:r>
    </w:p>
    <w:p w:rsidR="000E060D" w:rsidP="000E060D">
      <w:pPr>
        <w:tabs>
          <w:tab w:val="left" w:pos="5927"/>
        </w:tabs>
        <w:jc w:val="both"/>
        <w:rPr>
          <w:rFonts w:ascii="Arial Narrow" w:hAnsi="Arial Narrow" w:cs="Arial"/>
          <w:b/>
          <w:szCs w:val="24"/>
        </w:rPr>
      </w:pPr>
    </w:p>
    <w:p w:rsidR="000E060D" w:rsidP="000E060D">
      <w:pPr>
        <w:tabs>
          <w:tab w:val="left" w:pos="5927"/>
        </w:tabs>
        <w:jc w:val="both"/>
        <w:rPr>
          <w:rFonts w:ascii="Arial Narrow" w:hAnsi="Arial Narrow" w:cs="Arial"/>
          <w:sz w:val="22"/>
          <w:szCs w:val="24"/>
        </w:rPr>
      </w:pPr>
      <w:r>
        <w:rPr>
          <w:rFonts w:ascii="Arial Narrow" w:hAnsi="Arial Narrow" w:cs="Arial"/>
          <w:sz w:val="22"/>
          <w:szCs w:val="24"/>
        </w:rPr>
        <w:t xml:space="preserve">           Úroky a ostatné platby súvisiace s úvermi sú rozpočtované v roku 200</w:t>
      </w:r>
      <w:r>
        <w:rPr>
          <w:rFonts w:ascii="Arial Narrow" w:hAnsi="Arial Narrow" w:cs="Arial"/>
          <w:sz w:val="22"/>
          <w:szCs w:val="24"/>
        </w:rPr>
        <w:t>9 vo výške 998 454 tis. eur, v roku 2010 vo výške 1 137 050 tis. eur a v roku 2011 vo výške 1 115 569 tis. eur.</w:t>
      </w:r>
    </w:p>
    <w:p w:rsidR="000E060D" w:rsidP="000E060D">
      <w:pPr>
        <w:tabs>
          <w:tab w:val="left" w:pos="5927"/>
        </w:tabs>
        <w:jc w:val="both"/>
        <w:rPr>
          <w:rFonts w:ascii="Arial Narrow" w:hAnsi="Arial Narrow" w:cs="Arial"/>
          <w:sz w:val="22"/>
          <w:szCs w:val="24"/>
        </w:rPr>
      </w:pPr>
    </w:p>
    <w:p w:rsidR="000E060D" w:rsidRPr="00E37867" w:rsidP="000E060D">
      <w:pPr>
        <w:jc w:val="both"/>
        <w:rPr>
          <w:rFonts w:ascii="Arial Narrow" w:hAnsi="Arial Narrow" w:cs="Arial"/>
          <w:b/>
          <w:szCs w:val="24"/>
        </w:rPr>
      </w:pPr>
      <w:bookmarkStart w:id="45" w:name="_Toc109024030"/>
      <w:bookmarkStart w:id="46" w:name="_Toc109024823"/>
      <w:bookmarkStart w:id="47" w:name="_Toc109787128"/>
      <w:bookmarkStart w:id="48" w:name="_Toc109798660"/>
      <w:bookmarkStart w:id="49" w:name="_Toc110224525"/>
      <w:bookmarkStart w:id="50" w:name="_Toc116476496"/>
      <w:r>
        <w:rPr>
          <w:rFonts w:ascii="Arial Narrow" w:hAnsi="Arial Narrow" w:cs="Arial"/>
          <w:b/>
          <w:szCs w:val="24"/>
        </w:rPr>
        <w:t xml:space="preserve">B. </w:t>
      </w:r>
      <w:r w:rsidRPr="00E37867">
        <w:rPr>
          <w:rFonts w:ascii="Arial Narrow" w:hAnsi="Arial Narrow" w:cs="Arial"/>
          <w:b/>
          <w:szCs w:val="24"/>
        </w:rPr>
        <w:t>Kapitálové výdavky</w:t>
      </w:r>
      <w:bookmarkEnd w:id="45"/>
      <w:bookmarkEnd w:id="46"/>
      <w:bookmarkEnd w:id="47"/>
      <w:bookmarkEnd w:id="48"/>
      <w:bookmarkEnd w:id="49"/>
      <w:bookmarkEnd w:id="50"/>
    </w:p>
    <w:p w:rsidR="000E060D" w:rsidP="000E060D">
      <w:pPr>
        <w:jc w:val="both"/>
        <w:rPr>
          <w:rFonts w:ascii="Arial Narrow" w:hAnsi="Arial Narrow" w:cs="Arial"/>
          <w:szCs w:val="24"/>
        </w:rPr>
      </w:pPr>
    </w:p>
    <w:p w:rsidR="000E060D" w:rsidP="000E060D">
      <w:pPr>
        <w:ind w:firstLine="708"/>
        <w:jc w:val="both"/>
        <w:rPr>
          <w:rFonts w:ascii="Arial Narrow" w:hAnsi="Arial Narrow" w:cs="Arial"/>
          <w:sz w:val="22"/>
          <w:szCs w:val="24"/>
        </w:rPr>
      </w:pPr>
      <w:r>
        <w:rPr>
          <w:rFonts w:ascii="Arial Narrow" w:hAnsi="Arial Narrow" w:cs="Arial"/>
          <w:sz w:val="22"/>
          <w:szCs w:val="24"/>
        </w:rPr>
        <w:t>Kapitálové výdavky na rok 2009 sa rozpočtujú vo výške 2</w:t>
      </w:r>
      <w:r w:rsidR="00FA031D">
        <w:rPr>
          <w:rFonts w:ascii="Arial Narrow" w:hAnsi="Arial Narrow" w:cs="Arial"/>
          <w:sz w:val="22"/>
          <w:szCs w:val="24"/>
        </w:rPr>
        <w:t> 180 683</w:t>
      </w:r>
      <w:r>
        <w:rPr>
          <w:rFonts w:ascii="Arial Narrow" w:hAnsi="Arial Narrow" w:cs="Arial"/>
          <w:sz w:val="22"/>
          <w:szCs w:val="24"/>
        </w:rPr>
        <w:t xml:space="preserve"> tis. eur, v roku 2010 v objeme </w:t>
      </w:r>
      <w:r w:rsidR="00FA031D">
        <w:rPr>
          <w:rFonts w:ascii="Arial Narrow" w:hAnsi="Arial Narrow" w:cs="Arial"/>
          <w:sz w:val="22"/>
          <w:szCs w:val="24"/>
        </w:rPr>
        <w:t xml:space="preserve">    </w:t>
      </w:r>
      <w:r>
        <w:rPr>
          <w:rFonts w:ascii="Arial Narrow" w:hAnsi="Arial Narrow" w:cs="Arial"/>
          <w:sz w:val="22"/>
          <w:szCs w:val="24"/>
        </w:rPr>
        <w:t>2</w:t>
      </w:r>
      <w:r w:rsidR="00FA031D">
        <w:rPr>
          <w:rFonts w:ascii="Arial Narrow" w:hAnsi="Arial Narrow" w:cs="Arial"/>
          <w:sz w:val="22"/>
          <w:szCs w:val="24"/>
        </w:rPr>
        <w:t> </w:t>
      </w:r>
      <w:r>
        <w:rPr>
          <w:rFonts w:ascii="Arial Narrow" w:hAnsi="Arial Narrow" w:cs="Arial"/>
          <w:sz w:val="22"/>
          <w:szCs w:val="24"/>
        </w:rPr>
        <w:t>3</w:t>
      </w:r>
      <w:r w:rsidR="00FA031D">
        <w:rPr>
          <w:rFonts w:ascii="Arial Narrow" w:hAnsi="Arial Narrow" w:cs="Arial"/>
          <w:sz w:val="22"/>
          <w:szCs w:val="24"/>
        </w:rPr>
        <w:t>87 222</w:t>
      </w:r>
      <w:r>
        <w:rPr>
          <w:rFonts w:ascii="Arial Narrow" w:hAnsi="Arial Narrow" w:cs="Arial"/>
          <w:sz w:val="22"/>
          <w:szCs w:val="24"/>
        </w:rPr>
        <w:t xml:space="preserve"> tis. eur a </w:t>
      </w:r>
      <w:r>
        <w:rPr>
          <w:rFonts w:ascii="Arial Narrow" w:hAnsi="Arial Narrow" w:cs="Arial"/>
          <w:sz w:val="22"/>
          <w:szCs w:val="24"/>
        </w:rPr>
        <w:t>v roku 2011 vo výške 2</w:t>
      </w:r>
      <w:r w:rsidR="00FA031D">
        <w:rPr>
          <w:rFonts w:ascii="Arial Narrow" w:hAnsi="Arial Narrow" w:cs="Arial"/>
          <w:sz w:val="22"/>
          <w:szCs w:val="24"/>
        </w:rPr>
        <w:t> </w:t>
      </w:r>
      <w:r>
        <w:rPr>
          <w:rFonts w:ascii="Arial Narrow" w:hAnsi="Arial Narrow" w:cs="Arial"/>
          <w:sz w:val="22"/>
          <w:szCs w:val="24"/>
        </w:rPr>
        <w:t>4</w:t>
      </w:r>
      <w:r w:rsidR="00FA031D">
        <w:rPr>
          <w:rFonts w:ascii="Arial Narrow" w:hAnsi="Arial Narrow" w:cs="Arial"/>
          <w:sz w:val="22"/>
          <w:szCs w:val="24"/>
        </w:rPr>
        <w:t>97 180</w:t>
      </w:r>
      <w:r>
        <w:rPr>
          <w:rFonts w:ascii="Arial Narrow" w:hAnsi="Arial Narrow" w:cs="Arial"/>
          <w:sz w:val="22"/>
          <w:szCs w:val="24"/>
        </w:rPr>
        <w:t xml:space="preserve"> tis. eur. V rokoch 2009 až 2011 tak dochádza k medziročnému nárastu kapitálových výdavkov na úrovni </w:t>
      </w:r>
      <w:r w:rsidR="00BB0FD3">
        <w:rPr>
          <w:rFonts w:ascii="Arial Narrow" w:hAnsi="Arial Narrow" w:cs="Arial"/>
          <w:sz w:val="22"/>
          <w:szCs w:val="24"/>
        </w:rPr>
        <w:t>65</w:t>
      </w:r>
      <w:r>
        <w:rPr>
          <w:rFonts w:ascii="Arial Narrow" w:hAnsi="Arial Narrow" w:cs="Arial"/>
          <w:sz w:val="22"/>
          <w:szCs w:val="24"/>
        </w:rPr>
        <w:t>,</w:t>
      </w:r>
      <w:r w:rsidR="00BB0FD3">
        <w:rPr>
          <w:rFonts w:ascii="Arial Narrow" w:hAnsi="Arial Narrow" w:cs="Arial"/>
          <w:sz w:val="22"/>
          <w:szCs w:val="24"/>
        </w:rPr>
        <w:t>0</w:t>
      </w:r>
      <w:r>
        <w:rPr>
          <w:rFonts w:ascii="Arial Narrow" w:hAnsi="Arial Narrow" w:cs="Arial"/>
          <w:sz w:val="22"/>
          <w:szCs w:val="24"/>
        </w:rPr>
        <w:t xml:space="preserve"> % v roku 2009, </w:t>
      </w:r>
      <w:r w:rsidR="00BB0FD3">
        <w:rPr>
          <w:rFonts w:ascii="Arial Narrow" w:hAnsi="Arial Narrow" w:cs="Arial"/>
          <w:sz w:val="22"/>
          <w:szCs w:val="24"/>
        </w:rPr>
        <w:t>9</w:t>
      </w:r>
      <w:r>
        <w:rPr>
          <w:rFonts w:ascii="Arial Narrow" w:hAnsi="Arial Narrow" w:cs="Arial"/>
          <w:sz w:val="22"/>
          <w:szCs w:val="24"/>
        </w:rPr>
        <w:t>,</w:t>
      </w:r>
      <w:r w:rsidR="00BB0FD3">
        <w:rPr>
          <w:rFonts w:ascii="Arial Narrow" w:hAnsi="Arial Narrow" w:cs="Arial"/>
          <w:sz w:val="22"/>
          <w:szCs w:val="24"/>
        </w:rPr>
        <w:t>5</w:t>
      </w:r>
      <w:r>
        <w:rPr>
          <w:rFonts w:ascii="Arial Narrow" w:hAnsi="Arial Narrow" w:cs="Arial"/>
          <w:sz w:val="22"/>
          <w:szCs w:val="24"/>
        </w:rPr>
        <w:t xml:space="preserve"> % v roku 2010 a 4,</w:t>
      </w:r>
      <w:r w:rsidR="00BB0FD3">
        <w:rPr>
          <w:rFonts w:ascii="Arial Narrow" w:hAnsi="Arial Narrow" w:cs="Arial"/>
          <w:sz w:val="22"/>
          <w:szCs w:val="24"/>
        </w:rPr>
        <w:t>6</w:t>
      </w:r>
      <w:r>
        <w:rPr>
          <w:rFonts w:ascii="Arial Narrow" w:hAnsi="Arial Narrow" w:cs="Arial"/>
          <w:sz w:val="22"/>
          <w:szCs w:val="24"/>
        </w:rPr>
        <w:t xml:space="preserve"> % v roku 2011. </w:t>
      </w:r>
      <w:r w:rsidR="00737250">
        <w:rPr>
          <w:rFonts w:ascii="Arial Narrow" w:hAnsi="Arial Narrow" w:cs="Arial"/>
          <w:sz w:val="22"/>
          <w:szCs w:val="24"/>
        </w:rPr>
        <w:t>N</w:t>
      </w:r>
      <w:r>
        <w:rPr>
          <w:rFonts w:ascii="Arial Narrow" w:hAnsi="Arial Narrow" w:cs="Arial"/>
          <w:sz w:val="22"/>
          <w:szCs w:val="24"/>
        </w:rPr>
        <w:t xml:space="preserve">árast v rokoch 2009 a 2010 je spôsobený najmä rozpočtovaním a nástupom čerpania prostriedkov EÚ z druhého programového obdobia. </w:t>
      </w:r>
    </w:p>
    <w:p w:rsidR="000E060D" w:rsidP="000E060D">
      <w:pPr>
        <w:ind w:firstLine="708"/>
        <w:jc w:val="both"/>
        <w:rPr>
          <w:rFonts w:ascii="Arial Narrow" w:hAnsi="Arial Narrow" w:cs="Arial"/>
          <w:sz w:val="22"/>
          <w:szCs w:val="24"/>
        </w:rPr>
      </w:pPr>
      <w:r>
        <w:rPr>
          <w:rFonts w:ascii="Arial Narrow" w:hAnsi="Arial Narrow" w:cs="Arial"/>
          <w:sz w:val="22"/>
          <w:szCs w:val="24"/>
        </w:rPr>
        <w:t xml:space="preserve"> </w:t>
      </w:r>
    </w:p>
    <w:p w:rsidR="000E060D" w:rsidP="000E060D">
      <w:pPr>
        <w:jc w:val="both"/>
        <w:rPr>
          <w:rFonts w:ascii="Arial Narrow" w:hAnsi="Arial Narrow" w:cs="Arial"/>
          <w:sz w:val="22"/>
          <w:szCs w:val="24"/>
        </w:rPr>
      </w:pPr>
      <w:r>
        <w:rPr>
          <w:rFonts w:ascii="Arial Narrow" w:hAnsi="Arial Narrow" w:cs="Arial"/>
          <w:sz w:val="22"/>
          <w:szCs w:val="24"/>
        </w:rPr>
        <w:tab/>
        <w:t xml:space="preserve">V rámci navrhovaného objemu kapitálových výdavkov v roku 2009 predstavujú výdavky na </w:t>
      </w:r>
      <w:r>
        <w:rPr>
          <w:rFonts w:ascii="Arial Narrow" w:hAnsi="Arial Narrow" w:cs="Arial"/>
          <w:b/>
          <w:sz w:val="22"/>
          <w:szCs w:val="24"/>
        </w:rPr>
        <w:t xml:space="preserve">obstarávanie kapitálových aktív </w:t>
      </w:r>
      <w:r w:rsidR="00737250">
        <w:rPr>
          <w:rFonts w:ascii="Arial Narrow" w:hAnsi="Arial Narrow" w:cs="Arial"/>
          <w:b/>
          <w:sz w:val="22"/>
          <w:szCs w:val="24"/>
        </w:rPr>
        <w:t>439 976</w:t>
      </w:r>
      <w:r>
        <w:rPr>
          <w:rFonts w:ascii="Arial Narrow" w:hAnsi="Arial Narrow" w:cs="Arial"/>
          <w:b/>
          <w:sz w:val="22"/>
          <w:szCs w:val="24"/>
        </w:rPr>
        <w:t xml:space="preserve"> tis. eur</w:t>
      </w:r>
      <w:r>
        <w:rPr>
          <w:rFonts w:ascii="Arial Narrow" w:hAnsi="Arial Narrow" w:cs="Arial"/>
          <w:sz w:val="22"/>
          <w:szCs w:val="24"/>
        </w:rPr>
        <w:t xml:space="preserve"> a </w:t>
      </w:r>
      <w:r>
        <w:rPr>
          <w:rFonts w:ascii="Arial Narrow" w:hAnsi="Arial Narrow" w:cs="Arial"/>
          <w:b/>
          <w:sz w:val="22"/>
          <w:szCs w:val="24"/>
        </w:rPr>
        <w:t>kapitálové transfery 1</w:t>
      </w:r>
      <w:r w:rsidR="00737250">
        <w:rPr>
          <w:rFonts w:ascii="Arial Narrow" w:hAnsi="Arial Narrow" w:cs="Arial"/>
          <w:b/>
          <w:sz w:val="22"/>
          <w:szCs w:val="24"/>
        </w:rPr>
        <w:t> 740 708</w:t>
      </w:r>
      <w:r>
        <w:rPr>
          <w:rFonts w:ascii="Arial Narrow" w:hAnsi="Arial Narrow" w:cs="Arial"/>
          <w:b/>
          <w:sz w:val="22"/>
          <w:szCs w:val="24"/>
        </w:rPr>
        <w:t xml:space="preserve"> tis. eur</w:t>
      </w:r>
      <w:r>
        <w:rPr>
          <w:rFonts w:ascii="Arial Narrow" w:hAnsi="Arial Narrow" w:cs="Arial"/>
          <w:sz w:val="22"/>
          <w:szCs w:val="24"/>
        </w:rPr>
        <w:t xml:space="preserve">. </w:t>
      </w:r>
    </w:p>
    <w:p w:rsidR="000E060D" w:rsidP="000E060D">
      <w:pPr>
        <w:jc w:val="both"/>
        <w:rPr>
          <w:rFonts w:ascii="Arial Narrow" w:hAnsi="Arial Narrow" w:cs="Arial"/>
          <w:sz w:val="22"/>
          <w:szCs w:val="24"/>
        </w:rPr>
      </w:pPr>
    </w:p>
    <w:p w:rsidR="000E060D" w:rsidP="000E060D">
      <w:pPr>
        <w:ind w:firstLine="708"/>
        <w:jc w:val="both"/>
        <w:rPr>
          <w:rFonts w:ascii="Arial Narrow" w:hAnsi="Arial Narrow" w:cs="Arial"/>
          <w:sz w:val="22"/>
          <w:szCs w:val="24"/>
        </w:rPr>
      </w:pPr>
      <w:r>
        <w:rPr>
          <w:rFonts w:ascii="Arial Narrow" w:hAnsi="Arial Narrow" w:cs="Arial"/>
          <w:sz w:val="22"/>
          <w:szCs w:val="24"/>
        </w:rPr>
        <w:t>Z finančný</w:t>
      </w:r>
      <w:r>
        <w:rPr>
          <w:rFonts w:ascii="Arial Narrow" w:hAnsi="Arial Narrow" w:cs="Arial"/>
          <w:sz w:val="22"/>
          <w:szCs w:val="24"/>
        </w:rPr>
        <w:t xml:space="preserve">ch prostriedkov na </w:t>
      </w:r>
      <w:r>
        <w:rPr>
          <w:rFonts w:ascii="Arial Narrow" w:hAnsi="Arial Narrow" w:cs="Arial"/>
          <w:b/>
          <w:sz w:val="22"/>
          <w:szCs w:val="24"/>
        </w:rPr>
        <w:t>obstarávanie kapitálových aktív</w:t>
      </w:r>
      <w:r>
        <w:rPr>
          <w:rFonts w:ascii="Arial Narrow" w:hAnsi="Arial Narrow" w:cs="Arial"/>
          <w:sz w:val="22"/>
          <w:szCs w:val="24"/>
        </w:rPr>
        <w:t xml:space="preserve"> predstavujú najväčší objem v sume </w:t>
      </w:r>
      <w:r w:rsidR="00245823">
        <w:rPr>
          <w:rFonts w:ascii="Arial Narrow" w:hAnsi="Arial Narrow" w:cs="Arial"/>
          <w:sz w:val="22"/>
          <w:szCs w:val="24"/>
        </w:rPr>
        <w:t xml:space="preserve">  196 977</w:t>
      </w:r>
      <w:r>
        <w:rPr>
          <w:rFonts w:ascii="Arial Narrow" w:hAnsi="Arial Narrow" w:cs="Arial"/>
          <w:sz w:val="22"/>
          <w:szCs w:val="24"/>
        </w:rPr>
        <w:t xml:space="preserve"> tis. eur výdavky na realizáciu stavieb a ich technického zhodnotenia, z ktorých podstatná časť v sume 66 085 tis. eur sa rozpočtuje v kapitole Ministerstva dopra</w:t>
      </w:r>
      <w:r>
        <w:rPr>
          <w:rFonts w:ascii="Arial Narrow" w:hAnsi="Arial Narrow" w:cs="Arial"/>
          <w:sz w:val="22"/>
          <w:szCs w:val="24"/>
        </w:rPr>
        <w:t xml:space="preserve">vy, pôšt a telekomunikácií SR. </w:t>
      </w:r>
    </w:p>
    <w:p w:rsidR="000E060D" w:rsidP="000E060D">
      <w:pPr>
        <w:ind w:firstLine="708"/>
        <w:jc w:val="both"/>
        <w:rPr>
          <w:rFonts w:ascii="Arial Narrow" w:hAnsi="Arial Narrow" w:cs="Arial"/>
          <w:sz w:val="22"/>
          <w:szCs w:val="24"/>
        </w:rPr>
      </w:pPr>
      <w:r>
        <w:rPr>
          <w:rFonts w:ascii="Arial Narrow" w:hAnsi="Arial Narrow" w:cs="Arial"/>
          <w:b/>
          <w:sz w:val="22"/>
          <w:szCs w:val="24"/>
        </w:rPr>
        <w:t>Kapitálové transfery</w:t>
      </w:r>
      <w:r>
        <w:rPr>
          <w:rFonts w:ascii="Arial Narrow" w:hAnsi="Arial Narrow" w:cs="Arial"/>
          <w:sz w:val="22"/>
          <w:szCs w:val="24"/>
        </w:rPr>
        <w:t xml:space="preserve"> sa rozpočtujú v roku 2009 vo výške 1</w:t>
      </w:r>
      <w:r w:rsidR="009F584C">
        <w:rPr>
          <w:rFonts w:ascii="Arial Narrow" w:hAnsi="Arial Narrow" w:cs="Arial"/>
          <w:sz w:val="22"/>
          <w:szCs w:val="24"/>
        </w:rPr>
        <w:t> 740 708</w:t>
      </w:r>
      <w:r>
        <w:rPr>
          <w:rFonts w:ascii="Arial Narrow" w:hAnsi="Arial Narrow" w:cs="Arial"/>
          <w:sz w:val="22"/>
          <w:szCs w:val="24"/>
        </w:rPr>
        <w:t xml:space="preserve"> tis. eur. V rámci nich sa rozpočtujú transfery v rámci sektora verejnej správy vo výške </w:t>
      </w:r>
      <w:r w:rsidR="009F584C">
        <w:rPr>
          <w:rFonts w:ascii="Arial Narrow" w:hAnsi="Arial Narrow" w:cs="Arial"/>
          <w:sz w:val="22"/>
          <w:szCs w:val="24"/>
        </w:rPr>
        <w:t>386 700</w:t>
      </w:r>
      <w:r>
        <w:rPr>
          <w:rFonts w:ascii="Arial Narrow" w:hAnsi="Arial Narrow" w:cs="Arial"/>
          <w:sz w:val="22"/>
          <w:szCs w:val="24"/>
        </w:rPr>
        <w:t xml:space="preserve"> tis. eur, transfery jednotlivcom a neziskovým právnickým osobá</w:t>
      </w:r>
      <w:r>
        <w:rPr>
          <w:rFonts w:ascii="Arial Narrow" w:hAnsi="Arial Narrow" w:cs="Arial"/>
          <w:sz w:val="22"/>
          <w:szCs w:val="24"/>
        </w:rPr>
        <w:t>m v sume 16 </w:t>
      </w:r>
      <w:r w:rsidR="009F584C">
        <w:rPr>
          <w:rFonts w:ascii="Arial Narrow" w:hAnsi="Arial Narrow" w:cs="Arial"/>
          <w:sz w:val="22"/>
          <w:szCs w:val="24"/>
        </w:rPr>
        <w:t>647</w:t>
      </w:r>
      <w:r>
        <w:rPr>
          <w:rFonts w:ascii="Arial Narrow" w:hAnsi="Arial Narrow" w:cs="Arial"/>
          <w:sz w:val="22"/>
          <w:szCs w:val="24"/>
        </w:rPr>
        <w:t xml:space="preserve"> tis. eur, transfery nefinančným právnickým osobám a fyzickým osobám podnikateľom vo výške 1</w:t>
      </w:r>
      <w:r w:rsidR="009F584C">
        <w:rPr>
          <w:rFonts w:ascii="Arial Narrow" w:hAnsi="Arial Narrow" w:cs="Arial"/>
          <w:sz w:val="22"/>
          <w:szCs w:val="24"/>
        </w:rPr>
        <w:t> 335 809</w:t>
      </w:r>
      <w:r>
        <w:rPr>
          <w:rFonts w:ascii="Arial Narrow" w:hAnsi="Arial Narrow" w:cs="Arial"/>
          <w:sz w:val="22"/>
          <w:szCs w:val="24"/>
        </w:rPr>
        <w:t xml:space="preserve"> tis. eur a transfery do zahraničia 1 552 tis. eur. </w:t>
      </w:r>
    </w:p>
    <w:p w:rsidR="000E060D" w:rsidP="000E060D">
      <w:pPr>
        <w:ind w:firstLine="708"/>
        <w:jc w:val="both"/>
        <w:rPr>
          <w:rFonts w:ascii="Arial Narrow" w:hAnsi="Arial Narrow" w:cs="Arial"/>
          <w:sz w:val="22"/>
          <w:szCs w:val="24"/>
        </w:rPr>
      </w:pPr>
    </w:p>
    <w:p w:rsidR="008D6382" w:rsidP="000E060D">
      <w:pPr>
        <w:ind w:firstLine="360"/>
        <w:jc w:val="both"/>
        <w:rPr>
          <w:rFonts w:ascii="Arial Narrow" w:hAnsi="Arial Narrow" w:cs="Times New Roman"/>
          <w:sz w:val="22"/>
          <w:szCs w:val="22"/>
        </w:rPr>
      </w:pPr>
      <w:r w:rsidR="000E060D">
        <w:rPr>
          <w:rFonts w:ascii="Arial Narrow" w:hAnsi="Arial Narrow" w:cs="Times New Roman"/>
          <w:sz w:val="22"/>
          <w:szCs w:val="22"/>
        </w:rPr>
        <w:t>Transfery v rámci sektora verejnej správy predstavujú výdavky príspevkovým organizáciám</w:t>
      </w:r>
      <w:r w:rsidR="000E060D">
        <w:rPr>
          <w:rFonts w:ascii="Arial Narrow" w:hAnsi="Arial Narrow" w:cs="Times New Roman"/>
          <w:sz w:val="22"/>
          <w:szCs w:val="22"/>
        </w:rPr>
        <w:t xml:space="preserve">, verejným vysokým školám, obciam, vyšším územným celkom. </w:t>
      </w:r>
    </w:p>
    <w:p w:rsidR="000E060D" w:rsidP="000E060D">
      <w:pPr>
        <w:pStyle w:val="Heading2"/>
        <w:rPr>
          <w:i w:val="0"/>
        </w:rPr>
      </w:pPr>
      <w:bookmarkStart w:id="51" w:name="_Toc211592401"/>
      <w:r w:rsidRPr="00DC3560">
        <w:rPr>
          <w:rFonts w:ascii="Arial Narrow" w:hAnsi="Arial Narrow"/>
          <w:i w:val="0"/>
          <w:sz w:val="24"/>
          <w:szCs w:val="24"/>
        </w:rPr>
        <w:t>4.2. Rozpočtovanie výdavkov podľa vybraných oblastí</w:t>
      </w:r>
      <w:bookmarkEnd w:id="51"/>
    </w:p>
    <w:p w:rsidR="00AE49BA" w:rsidP="00AE49BA">
      <w:pPr>
        <w:rPr>
          <w:rFonts w:cs="Times New Roman"/>
        </w:rPr>
      </w:pPr>
      <w:bookmarkStart w:id="52" w:name="_Toc148255259"/>
      <w:bookmarkStart w:id="53" w:name="_Toc174871976"/>
      <w:bookmarkStart w:id="54" w:name="_Toc206478411"/>
    </w:p>
    <w:p w:rsidR="00AE49BA" w:rsidRPr="007835F8" w:rsidP="00AE49BA">
      <w:pPr>
        <w:pBdr>
          <w:bottom w:val="single" w:sz="6" w:space="1" w:color="auto"/>
        </w:pBdr>
        <w:rPr>
          <w:rFonts w:ascii="Arial Narrow" w:hAnsi="Arial Narrow" w:cs="Times New Roman"/>
          <w:b/>
          <w:sz w:val="22"/>
          <w:szCs w:val="22"/>
        </w:rPr>
      </w:pPr>
      <w:r w:rsidRPr="007835F8">
        <w:rPr>
          <w:rFonts w:ascii="Arial Narrow" w:hAnsi="Arial Narrow" w:cs="Times New Roman"/>
          <w:b/>
          <w:sz w:val="22"/>
          <w:szCs w:val="22"/>
        </w:rPr>
        <w:t>Zdravotníctvo</w:t>
      </w:r>
    </w:p>
    <w:p w:rsidR="00AE49BA" w:rsidRPr="005D53B0" w:rsidP="00AE49BA">
      <w:pPr>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 xml:space="preserve">Objem verejných, ako aj celkových zdrojov do oblasti zdravotníctva medziročne výrazne rastie. </w:t>
      </w:r>
      <w:r w:rsidRPr="00CE117B">
        <w:rPr>
          <w:rFonts w:ascii="Arial Narrow" w:hAnsi="Arial Narrow" w:cs="Times New Roman"/>
          <w:b/>
          <w:sz w:val="22"/>
          <w:szCs w:val="22"/>
        </w:rPr>
        <w:t xml:space="preserve">Nárast objemu verejných zdrojov </w:t>
      </w:r>
      <w:r>
        <w:rPr>
          <w:rFonts w:ascii="Arial Narrow" w:hAnsi="Arial Narrow" w:cs="Times New Roman"/>
          <w:b/>
          <w:sz w:val="22"/>
          <w:szCs w:val="22"/>
        </w:rPr>
        <w:t>v r</w:t>
      </w:r>
      <w:r>
        <w:rPr>
          <w:rFonts w:ascii="Arial Narrow" w:hAnsi="Arial Narrow" w:cs="Times New Roman"/>
          <w:b/>
          <w:sz w:val="22"/>
          <w:szCs w:val="22"/>
        </w:rPr>
        <w:t xml:space="preserve">oku 2009 sa predpokladá o 15,8 </w:t>
      </w:r>
      <w:r w:rsidRPr="00CE117B">
        <w:rPr>
          <w:rFonts w:ascii="Arial Narrow" w:hAnsi="Arial Narrow" w:cs="Times New Roman"/>
          <w:b/>
          <w:sz w:val="22"/>
          <w:szCs w:val="22"/>
        </w:rPr>
        <w:t>% oproti roku 2008</w:t>
      </w:r>
      <w:r>
        <w:rPr>
          <w:rFonts w:ascii="Arial Narrow" w:hAnsi="Arial Narrow" w:cs="Times New Roman"/>
          <w:sz w:val="22"/>
          <w:szCs w:val="22"/>
        </w:rPr>
        <w:t xml:space="preserve">. Uvedený objem zdrojov zaznamenal nárast oproti roku 2006 až o 45,8 %. K nárastu celkových zdrojov významne prispieva aj rast poistného plateného štátom, ktorého sadzba pre výpočet výšky poistného vzrástla </w:t>
      </w:r>
      <w:r>
        <w:rPr>
          <w:rFonts w:ascii="Arial Narrow" w:hAnsi="Arial Narrow" w:cs="Times New Roman"/>
          <w:sz w:val="22"/>
          <w:szCs w:val="22"/>
        </w:rPr>
        <w:t>zo 4 % v roku 2006 na 5 % pre rok 2009.</w:t>
      </w:r>
    </w:p>
    <w:p w:rsidR="00AE49BA" w:rsidP="00AE49BA">
      <w:pPr>
        <w:jc w:val="both"/>
        <w:rPr>
          <w:rFonts w:ascii="Arial Narrow" w:hAnsi="Arial Narrow" w:cs="Times New Roman"/>
          <w:sz w:val="22"/>
          <w:szCs w:val="22"/>
        </w:rPr>
      </w:pPr>
    </w:p>
    <w:tbl>
      <w:tblPr>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Disponibilné zdroje zdravotných poisťovní</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3 193 089</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P="00AE49BA">
            <w:pPr>
              <w:jc w:val="right"/>
              <w:rPr>
                <w:rFonts w:ascii="Arial Narrow" w:hAnsi="Arial Narrow" w:cs="Arial"/>
                <w:sz w:val="20"/>
              </w:rPr>
            </w:pPr>
            <w:r>
              <w:rPr>
                <w:rFonts w:ascii="Arial Narrow" w:hAnsi="Arial Narrow" w:cs="Arial"/>
                <w:sz w:val="20"/>
              </w:rPr>
              <w:t>3 715 947</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P="00AE49BA">
            <w:pPr>
              <w:jc w:val="right"/>
              <w:rPr>
                <w:rFonts w:ascii="Arial Narrow" w:hAnsi="Arial Narrow" w:cs="Arial"/>
                <w:sz w:val="20"/>
              </w:rPr>
            </w:pPr>
            <w:r>
              <w:rPr>
                <w:rFonts w:ascii="Arial Narrow" w:hAnsi="Arial Narrow" w:cs="Arial"/>
                <w:sz w:val="20"/>
              </w:rPr>
              <w:t>3 933 166</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P="00AE49BA">
            <w:pPr>
              <w:jc w:val="right"/>
              <w:rPr>
                <w:rFonts w:ascii="Arial Narrow" w:hAnsi="Arial Narrow" w:cs="Arial"/>
                <w:sz w:val="20"/>
              </w:rPr>
            </w:pPr>
            <w:r>
              <w:rPr>
                <w:rFonts w:ascii="Arial Narrow" w:hAnsi="Arial Narrow" w:cs="Arial"/>
                <w:sz w:val="20"/>
              </w:rPr>
              <w:t>4 280 531</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MZ SR (bez poistného plateného štátom a príspevku ZP)</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104 029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111 112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157 528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178 763</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Iné rozpoč</w:t>
            </w:r>
            <w:r w:rsidRPr="0012379F">
              <w:rPr>
                <w:rFonts w:ascii="Arial Narrow" w:hAnsi="Arial Narrow" w:cs="Arial"/>
                <w:sz w:val="20"/>
              </w:rPr>
              <w:t>tové kapitoly</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22 363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17 933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16 860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16 383</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VÚC, obce</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17 238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19 983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20 746</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23 236</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12379F" w:rsidP="00AE49BA">
            <w:pPr>
              <w:rPr>
                <w:rFonts w:ascii="Arial Narrow" w:hAnsi="Arial Narrow" w:cs="Arial"/>
                <w:b/>
                <w:bCs/>
                <w:sz w:val="20"/>
              </w:rPr>
            </w:pPr>
            <w:r w:rsidRPr="0012379F">
              <w:rPr>
                <w:rFonts w:ascii="Arial Narrow" w:hAnsi="Arial Narrow" w:cs="Arial"/>
                <w:b/>
                <w:bCs/>
                <w:sz w:val="20"/>
              </w:rPr>
              <w:t xml:space="preserve">Disponibilné verejné zdroje v zdravotníctve spolu </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3 336 719</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3 864 975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4 128 300</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4 498 913</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A4DD2" w:rsidP="00AE49BA">
            <w:pPr>
              <w:rPr>
                <w:rFonts w:ascii="Arial Narrow" w:hAnsi="Arial Narrow" w:cs="Arial"/>
                <w:b/>
                <w:iCs/>
                <w:sz w:val="20"/>
              </w:rPr>
            </w:pPr>
            <w:r w:rsidRPr="002A4DD2">
              <w:rPr>
                <w:rFonts w:ascii="Arial Narrow" w:hAnsi="Arial Narrow" w:cs="Arial"/>
                <w:b/>
                <w:iCs/>
                <w:sz w:val="20"/>
              </w:rPr>
              <w:t>medziročná zmena (v %)</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A4DD2" w:rsidP="00AE49BA">
            <w:pPr>
              <w:jc w:val="right"/>
              <w:rPr>
                <w:rFonts w:ascii="Arial Narrow" w:hAnsi="Arial Narrow" w:cs="Arial"/>
                <w:b/>
                <w:iCs/>
                <w:sz w:val="20"/>
              </w:rPr>
            </w:pPr>
            <w:r w:rsidRPr="002A4DD2">
              <w:rPr>
                <w:rFonts w:ascii="Arial Narrow" w:hAnsi="Arial Narrow" w:cs="Arial"/>
                <w:b/>
                <w:iCs/>
                <w:sz w:val="20"/>
              </w:rPr>
              <w:t>15,5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8928B1" w:rsidP="00AE49BA">
            <w:pPr>
              <w:jc w:val="right"/>
              <w:rPr>
                <w:rFonts w:ascii="Arial Narrow" w:hAnsi="Arial Narrow" w:cs="Arial"/>
                <w:b/>
                <w:iCs/>
                <w:sz w:val="20"/>
              </w:rPr>
            </w:pPr>
            <w:r w:rsidRPr="008928B1">
              <w:rPr>
                <w:rFonts w:ascii="Arial Narrow" w:hAnsi="Arial Narrow" w:cs="Arial"/>
                <w:b/>
                <w:iCs/>
                <w:sz w:val="20"/>
              </w:rPr>
              <w:t>15,8</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8928B1" w:rsidP="00AE49BA">
            <w:pPr>
              <w:jc w:val="right"/>
              <w:rPr>
                <w:rFonts w:ascii="Arial Narrow" w:hAnsi="Arial Narrow" w:cs="Arial"/>
                <w:b/>
                <w:iCs/>
                <w:sz w:val="20"/>
              </w:rPr>
            </w:pPr>
            <w:r w:rsidRPr="008928B1">
              <w:rPr>
                <w:rFonts w:ascii="Arial Narrow" w:hAnsi="Arial Narrow" w:cs="Arial"/>
                <w:b/>
                <w:iCs/>
                <w:sz w:val="20"/>
              </w:rPr>
              <w:t>6,8</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8928B1" w:rsidP="00AE49BA">
            <w:pPr>
              <w:jc w:val="right"/>
              <w:rPr>
                <w:rFonts w:ascii="Arial Narrow" w:hAnsi="Arial Narrow" w:cs="Arial"/>
                <w:b/>
                <w:iCs/>
                <w:sz w:val="20"/>
              </w:rPr>
            </w:pPr>
            <w:r w:rsidRPr="008928B1">
              <w:rPr>
                <w:rFonts w:ascii="Arial Narrow" w:hAnsi="Arial Narrow" w:cs="Arial"/>
                <w:b/>
                <w:iCs/>
                <w:sz w:val="20"/>
              </w:rPr>
              <w:t>9,0</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Priame platby obyvateľstva</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992 498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1 165</w:t>
            </w:r>
            <w:r>
              <w:rPr>
                <w:rFonts w:ascii="Arial Narrow" w:hAnsi="Arial Narrow" w:cs="Arial"/>
                <w:sz w:val="20"/>
              </w:rPr>
              <w:t xml:space="preserve"> 106</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1 304 521</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1 463 851</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12379F" w:rsidP="00AE49BA">
            <w:pPr>
              <w:rPr>
                <w:rFonts w:ascii="Arial Narrow" w:hAnsi="Arial Narrow" w:cs="Arial"/>
                <w:b/>
                <w:bCs/>
                <w:sz w:val="20"/>
              </w:rPr>
            </w:pPr>
            <w:r w:rsidRPr="0012379F">
              <w:rPr>
                <w:rFonts w:ascii="Arial Narrow" w:hAnsi="Arial Narrow" w:cs="Arial"/>
                <w:b/>
                <w:bCs/>
                <w:sz w:val="20"/>
              </w:rPr>
              <w:t>Celkové zdroje v zdravotníctve spolu</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4 329 217</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5 030 081</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5 432 821</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5 962 764</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A4DD2" w:rsidP="00AE49BA">
            <w:pPr>
              <w:rPr>
                <w:rFonts w:ascii="Arial Narrow" w:hAnsi="Arial Narrow" w:cs="Arial"/>
                <w:b/>
                <w:iCs/>
                <w:sz w:val="20"/>
              </w:rPr>
            </w:pPr>
            <w:r w:rsidRPr="002A4DD2">
              <w:rPr>
                <w:rFonts w:ascii="Arial Narrow" w:hAnsi="Arial Narrow" w:cs="Arial"/>
                <w:b/>
                <w:iCs/>
                <w:sz w:val="20"/>
              </w:rPr>
              <w:t>medziročná zmena (v %)</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A4DD2" w:rsidP="00AE49BA">
            <w:pPr>
              <w:jc w:val="right"/>
              <w:rPr>
                <w:rFonts w:ascii="Arial Narrow" w:hAnsi="Arial Narrow" w:cs="Arial"/>
                <w:b/>
                <w:sz w:val="20"/>
              </w:rPr>
            </w:pPr>
            <w:r w:rsidRPr="002A4DD2">
              <w:rPr>
                <w:rFonts w:ascii="Arial Narrow" w:hAnsi="Arial Narrow" w:cs="Arial"/>
                <w:b/>
                <w:sz w:val="20"/>
              </w:rPr>
              <w:t>18,5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16,2</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8,0</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9,8</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Podiel celkových zdrojov na HDP v b.c. (v</w:t>
            </w:r>
            <w:r>
              <w:rPr>
                <w:rFonts w:ascii="Arial Narrow" w:hAnsi="Arial Narrow" w:cs="Arial"/>
                <w:sz w:val="20"/>
              </w:rPr>
              <w:t xml:space="preserve"> </w:t>
            </w:r>
            <w:r w:rsidRPr="0012379F">
              <w:rPr>
                <w:rFonts w:ascii="Arial Narrow" w:hAnsi="Arial Narrow" w:cs="Arial"/>
                <w:sz w:val="20"/>
              </w:rPr>
              <w:t>%)</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6,56</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6,72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6,67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6,74</w:t>
            </w:r>
          </w:p>
        </w:tc>
      </w:tr>
    </w:tbl>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 xml:space="preserve">Celkové rozpočtované </w:t>
      </w:r>
      <w:r w:rsidRPr="00CE117B">
        <w:rPr>
          <w:rFonts w:ascii="Arial Narrow" w:hAnsi="Arial Narrow" w:cs="Times New Roman"/>
          <w:b/>
          <w:sz w:val="22"/>
          <w:szCs w:val="22"/>
        </w:rPr>
        <w:t>výdavky Ministerstva z</w:t>
      </w:r>
      <w:r w:rsidRPr="00CE117B">
        <w:rPr>
          <w:rFonts w:ascii="Arial Narrow" w:hAnsi="Arial Narrow" w:cs="Times New Roman"/>
          <w:b/>
          <w:sz w:val="22"/>
          <w:szCs w:val="22"/>
        </w:rPr>
        <w:t>dravotníctva SR</w:t>
      </w:r>
      <w:r w:rsidRPr="005D53B0">
        <w:rPr>
          <w:rFonts w:ascii="Arial Narrow" w:hAnsi="Arial Narrow" w:cs="Times New Roman"/>
          <w:sz w:val="22"/>
          <w:szCs w:val="22"/>
        </w:rPr>
        <w:t xml:space="preserve"> vrátane poistného plateného štátom</w:t>
      </w:r>
      <w:r>
        <w:rPr>
          <w:rFonts w:ascii="Arial Narrow" w:hAnsi="Arial Narrow" w:cs="Times New Roman"/>
          <w:sz w:val="22"/>
          <w:szCs w:val="22"/>
        </w:rPr>
        <w:t xml:space="preserve"> a zahraničných grantov</w:t>
      </w:r>
      <w:r w:rsidRPr="005D53B0">
        <w:rPr>
          <w:rFonts w:ascii="Arial Narrow" w:hAnsi="Arial Narrow" w:cs="Times New Roman"/>
          <w:sz w:val="22"/>
          <w:szCs w:val="22"/>
        </w:rPr>
        <w:t xml:space="preserve"> </w:t>
      </w:r>
      <w:r w:rsidRPr="00CE117B">
        <w:rPr>
          <w:rFonts w:ascii="Arial Narrow" w:hAnsi="Arial Narrow" w:cs="Times New Roman"/>
          <w:b/>
          <w:sz w:val="22"/>
          <w:szCs w:val="22"/>
        </w:rPr>
        <w:t>vzrástli v roku 2009 o</w:t>
      </w:r>
      <w:r>
        <w:rPr>
          <w:rFonts w:ascii="Arial Narrow" w:hAnsi="Arial Narrow" w:cs="Times New Roman"/>
          <w:b/>
          <w:sz w:val="22"/>
          <w:szCs w:val="22"/>
        </w:rPr>
        <w:t xml:space="preserve"> 15,9 </w:t>
      </w:r>
      <w:r w:rsidRPr="00CE117B">
        <w:rPr>
          <w:rFonts w:ascii="Arial Narrow" w:hAnsi="Arial Narrow" w:cs="Times New Roman"/>
          <w:b/>
          <w:sz w:val="22"/>
          <w:szCs w:val="22"/>
        </w:rPr>
        <w:t>% oproti roku 2008</w:t>
      </w:r>
      <w:r>
        <w:rPr>
          <w:rFonts w:ascii="Arial Narrow" w:hAnsi="Arial Narrow" w:cs="Times New Roman"/>
          <w:sz w:val="22"/>
          <w:szCs w:val="22"/>
        </w:rPr>
        <w:t xml:space="preserve">. Oproti roku 2006 uvedené výdavky zaznamenali nárast o 48,2 %. K nárastu výdavkov kapitoly v roku 2009, ako aj v nasledovných rokoch, prispieva okrem nárastu poistného plateného štátom aj objem EÚ prostriedkov z Operačného programu Zdravotníctvo a Operačného programu Vzdelávanie vrátane spolufinancovania. </w:t>
      </w:r>
    </w:p>
    <w:p w:rsidR="00AE49BA" w:rsidP="00AE49BA">
      <w:pPr>
        <w:jc w:val="both"/>
        <w:rPr>
          <w:rFonts w:ascii="Arial Narrow" w:hAnsi="Arial Narrow" w:cs="Times New Roman"/>
          <w:sz w:val="22"/>
          <w:szCs w:val="22"/>
        </w:rPr>
      </w:pPr>
    </w:p>
    <w:tbl>
      <w:tblPr>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Bežné výdavky, z toho:</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1 093 108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1 260 132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1 24</w:t>
            </w:r>
            <w:r>
              <w:rPr>
                <w:rFonts w:ascii="Arial Narrow" w:hAnsi="Arial Narrow" w:cs="Arial"/>
                <w:b/>
                <w:bCs/>
                <w:sz w:val="20"/>
              </w:rPr>
              <w:t>0 383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1 326 183</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sz w:val="20"/>
              </w:rPr>
            </w:pPr>
            <w:r w:rsidRPr="0012379F">
              <w:rPr>
                <w:rFonts w:ascii="Arial Narrow" w:hAnsi="Arial Narrow" w:cs="Arial"/>
                <w:sz w:val="20"/>
              </w:rPr>
              <w:t>poistné platené štátom</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1 013 758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1 184 724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1 162 064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1 244 981</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sz w:val="20"/>
              </w:rPr>
            </w:pPr>
            <w:r w:rsidRPr="0012379F">
              <w:rPr>
                <w:rFonts w:ascii="Arial Narrow" w:hAnsi="Arial Narrow" w:cs="Arial"/>
                <w:sz w:val="20"/>
              </w:rPr>
              <w:t>ostatné bežné výdavky</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79 350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75 408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78 319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81 202</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Kapitálové výdavky, z toho:</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23 189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6 639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6 639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6 639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sz w:val="20"/>
              </w:rPr>
            </w:pPr>
            <w:r w:rsidRPr="0012379F">
              <w:rPr>
                <w:rFonts w:ascii="Arial Narrow" w:hAnsi="Arial Narrow" w:cs="Arial"/>
                <w:sz w:val="20"/>
              </w:rPr>
              <w:t>SECAL - úver Svetovej banky</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16 597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0</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sz w:val="20"/>
              </w:rPr>
            </w:pPr>
            <w:r w:rsidRPr="0012379F">
              <w:rPr>
                <w:rFonts w:ascii="Arial Narrow" w:hAnsi="Arial Narrow" w:cs="Arial"/>
                <w:sz w:val="20"/>
              </w:rPr>
              <w:t>ostatné kapitálové výdavky</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6</w:t>
            </w:r>
            <w:r w:rsidRPr="0012379F">
              <w:rPr>
                <w:rFonts w:ascii="Arial Narrow" w:hAnsi="Arial Narrow" w:cs="Arial"/>
                <w:sz w:val="20"/>
              </w:rPr>
              <w:t xml:space="preserve"> 592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6 639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6 639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6 639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textDirection w:val="lrTb"/>
            <w:vAlign w:val="bottom"/>
          </w:tcPr>
          <w:p w:rsidR="00AE49BA" w:rsidRPr="0012379F" w:rsidP="00AE49BA">
            <w:pPr>
              <w:rPr>
                <w:rFonts w:ascii="Arial Narrow" w:hAnsi="Arial Narrow" w:cs="Arial"/>
                <w:b/>
                <w:bCs/>
                <w:sz w:val="20"/>
              </w:rPr>
            </w:pPr>
            <w:r w:rsidRPr="0012379F">
              <w:rPr>
                <w:rFonts w:ascii="Arial Narrow" w:hAnsi="Arial Narrow" w:cs="Arial"/>
                <w:b/>
                <w:bCs/>
                <w:sz w:val="20"/>
              </w:rPr>
              <w:t xml:space="preserve">Prostriedky EU, spolufinancovanie </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9 793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38 638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83 466</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102 569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Zahraničné granty*</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481</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258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188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95</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Výdavky Ministerstva zdravotníctva SR celkom</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1 126 571</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1 305 667</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1 330 676</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P="00AE49BA">
            <w:pPr>
              <w:jc w:val="right"/>
              <w:rPr>
                <w:rFonts w:ascii="Arial Narrow" w:hAnsi="Arial Narrow" w:cs="Arial"/>
                <w:b/>
                <w:bCs/>
                <w:sz w:val="20"/>
              </w:rPr>
            </w:pPr>
            <w:r>
              <w:rPr>
                <w:rFonts w:ascii="Arial Narrow" w:hAnsi="Arial Narrow" w:cs="Arial"/>
                <w:b/>
                <w:bCs/>
                <w:sz w:val="20"/>
              </w:rPr>
              <w:t>1 435 486</w:t>
            </w:r>
          </w:p>
        </w:tc>
      </w:tr>
    </w:tbl>
    <w:p w:rsidR="00AE49BA" w:rsidRPr="00C318D6" w:rsidP="00AE49BA">
      <w:pPr>
        <w:jc w:val="both"/>
        <w:rPr>
          <w:rFonts w:ascii="Arial Narrow" w:hAnsi="Arial Narrow" w:cs="Times New Roman"/>
          <w:sz w:val="16"/>
          <w:szCs w:val="16"/>
        </w:rPr>
      </w:pPr>
      <w:r w:rsidRPr="00C318D6">
        <w:rPr>
          <w:rFonts w:ascii="Arial Narrow" w:hAnsi="Arial Narrow" w:cs="Arial"/>
          <w:sz w:val="16"/>
          <w:szCs w:val="16"/>
        </w:rPr>
        <w:t>*Phare, Prechodný fond, Nórsky finančný mechanizmus, Finančný mechanizmus EHP vrátane spolufinancovania</w:t>
      </w: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5D53B0">
        <w:rPr>
          <w:rFonts w:ascii="Arial Narrow" w:hAnsi="Arial Narrow" w:cs="Times New Roman"/>
          <w:sz w:val="22"/>
          <w:szCs w:val="22"/>
        </w:rPr>
        <w:t>Poistné platené štátom je určené pre zákonom vymedzené kategórie</w:t>
      </w:r>
      <w:r>
        <w:rPr>
          <w:rFonts w:ascii="Arial Narrow" w:hAnsi="Arial Narrow" w:cs="Times New Roman"/>
          <w:sz w:val="22"/>
          <w:szCs w:val="22"/>
        </w:rPr>
        <w:t xml:space="preserve"> obyvateľov.</w:t>
      </w:r>
      <w:r w:rsidRPr="005D53B0">
        <w:rPr>
          <w:rFonts w:ascii="Arial Narrow" w:hAnsi="Arial Narrow" w:cs="Times New Roman"/>
          <w:sz w:val="22"/>
          <w:szCs w:val="22"/>
        </w:rPr>
        <w:t xml:space="preserve"> Pri kvantifikácii poistného</w:t>
      </w:r>
      <w:r>
        <w:rPr>
          <w:rFonts w:ascii="Arial Narrow" w:hAnsi="Arial Narrow" w:cs="Times New Roman"/>
          <w:sz w:val="22"/>
          <w:szCs w:val="22"/>
        </w:rPr>
        <w:t xml:space="preserve"> plateného štátom na roky 2009 </w:t>
      </w:r>
      <w:r w:rsidRPr="005D53B0">
        <w:rPr>
          <w:rFonts w:ascii="Arial Narrow" w:hAnsi="Arial Narrow" w:cs="Times New Roman"/>
          <w:sz w:val="22"/>
          <w:szCs w:val="22"/>
        </w:rPr>
        <w:t>sa vychádzalo zo sadzby pre výpočet poistné</w:t>
      </w:r>
      <w:r>
        <w:rPr>
          <w:rFonts w:ascii="Arial Narrow" w:hAnsi="Arial Narrow" w:cs="Times New Roman"/>
          <w:sz w:val="22"/>
          <w:szCs w:val="22"/>
        </w:rPr>
        <w:t>ho vo výške 5</w:t>
      </w:r>
      <w:r w:rsidRPr="005D53B0">
        <w:rPr>
          <w:rFonts w:ascii="Arial Narrow" w:hAnsi="Arial Narrow" w:cs="Times New Roman"/>
          <w:sz w:val="22"/>
          <w:szCs w:val="22"/>
        </w:rPr>
        <w:t xml:space="preserve"> % z vy</w:t>
      </w:r>
      <w:r w:rsidRPr="005D53B0">
        <w:rPr>
          <w:rFonts w:ascii="Arial Narrow" w:hAnsi="Arial Narrow" w:cs="Times New Roman"/>
          <w:sz w:val="22"/>
          <w:szCs w:val="22"/>
        </w:rPr>
        <w:t>meriavacieho základu.</w:t>
      </w:r>
      <w:r>
        <w:rPr>
          <w:rFonts w:ascii="Arial Narrow" w:hAnsi="Arial Narrow" w:cs="Times New Roman"/>
          <w:sz w:val="22"/>
          <w:szCs w:val="22"/>
        </w:rPr>
        <w:t xml:space="preserve"> </w:t>
      </w:r>
      <w:r w:rsidRPr="00CE117B">
        <w:rPr>
          <w:rFonts w:ascii="Arial Narrow" w:hAnsi="Arial Narrow" w:cs="Times New Roman"/>
          <w:b/>
          <w:sz w:val="22"/>
          <w:szCs w:val="22"/>
        </w:rPr>
        <w:t>Objem poistného v roku 2009 vzrástol o</w:t>
      </w:r>
      <w:r>
        <w:rPr>
          <w:rFonts w:ascii="Arial Narrow" w:hAnsi="Arial Narrow" w:cs="Times New Roman"/>
          <w:b/>
          <w:sz w:val="22"/>
          <w:szCs w:val="22"/>
        </w:rPr>
        <w:t> 16,9</w:t>
      </w:r>
      <w:r w:rsidRPr="00CE117B">
        <w:rPr>
          <w:rFonts w:ascii="Arial Narrow" w:hAnsi="Arial Narrow" w:cs="Times New Roman"/>
          <w:b/>
          <w:sz w:val="22"/>
          <w:szCs w:val="22"/>
        </w:rPr>
        <w:t xml:space="preserve"> % oproti roku </w:t>
      </w:r>
      <w:smartTag w:uri="urn:schemas-microsoft-com:office:smarttags" w:element="metricconverter">
        <w:smartTagPr>
          <w:attr w:name="ProductID" w:val="2008 a"/>
        </w:smartTagPr>
        <w:r w:rsidRPr="00CE117B">
          <w:rPr>
            <w:rFonts w:ascii="Arial Narrow" w:hAnsi="Arial Narrow" w:cs="Times New Roman"/>
            <w:b/>
            <w:sz w:val="22"/>
            <w:szCs w:val="22"/>
          </w:rPr>
          <w:t>2008</w:t>
        </w:r>
        <w:r>
          <w:rPr>
            <w:rFonts w:ascii="Arial Narrow" w:hAnsi="Arial Narrow" w:cs="Times New Roman"/>
            <w:sz w:val="22"/>
            <w:szCs w:val="22"/>
          </w:rPr>
          <w:t xml:space="preserve"> a</w:t>
        </w:r>
      </w:smartTag>
      <w:r>
        <w:rPr>
          <w:rFonts w:ascii="Arial Narrow" w:hAnsi="Arial Narrow" w:cs="Times New Roman"/>
          <w:sz w:val="22"/>
          <w:szCs w:val="22"/>
        </w:rPr>
        <w:t xml:space="preserve"> predstavuje nárast  oproti roku 2006 až o 52,5 %. </w:t>
      </w:r>
    </w:p>
    <w:p w:rsidR="00AE49BA" w:rsidP="00AE49BA">
      <w:pPr>
        <w:jc w:val="both"/>
        <w:rPr>
          <w:rFonts w:ascii="Arial Narrow" w:hAnsi="Arial Narrow" w:cs="Times New Roman"/>
          <w:sz w:val="22"/>
          <w:szCs w:val="22"/>
        </w:rPr>
      </w:pPr>
    </w:p>
    <w:tbl>
      <w:tblPr>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both"/>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sz w:val="20"/>
              </w:rPr>
              <w:t>poistné platené štátom</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776 998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902 144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1 013 758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P="00AE49BA">
            <w:pPr>
              <w:jc w:val="right"/>
              <w:rPr>
                <w:rFonts w:ascii="Arial Narrow" w:hAnsi="Arial Narrow" w:cs="Arial"/>
                <w:sz w:val="20"/>
              </w:rPr>
            </w:pPr>
            <w:r>
              <w:rPr>
                <w:rFonts w:ascii="Arial Narrow" w:hAnsi="Arial Narrow" w:cs="Arial"/>
                <w:sz w:val="20"/>
              </w:rPr>
              <w:t>1 184 724</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12379F" w:rsidP="00AE49BA">
            <w:pPr>
              <w:jc w:val="both"/>
              <w:rPr>
                <w:rFonts w:ascii="Arial Narrow" w:hAnsi="Arial Narrow" w:cs="Arial"/>
                <w:sz w:val="20"/>
              </w:rPr>
            </w:pPr>
            <w:r w:rsidRPr="0012379F">
              <w:rPr>
                <w:rFonts w:ascii="Arial Narrow" w:hAnsi="Arial Narrow" w:cs="Arial"/>
                <w:sz w:val="20"/>
              </w:rPr>
              <w:t>počet poistencov štátu</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3 081 603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3 025 154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3 011 927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2 952 596</w:t>
            </w:r>
          </w:p>
        </w:tc>
      </w:tr>
    </w:tbl>
    <w:p w:rsidR="003E2C4A" w:rsidP="00AE49BA">
      <w:pPr>
        <w:ind w:firstLine="708"/>
        <w:jc w:val="both"/>
        <w:rPr>
          <w:rFonts w:ascii="Arial Narrow" w:hAnsi="Arial Narrow" w:cs="Times New Roman"/>
          <w:sz w:val="22"/>
          <w:szCs w:val="22"/>
        </w:rPr>
      </w:pPr>
    </w:p>
    <w:p w:rsidR="00AE49BA" w:rsidRPr="00CB7D3E" w:rsidP="00AE49BA">
      <w:pPr>
        <w:ind w:firstLine="708"/>
        <w:jc w:val="both"/>
        <w:rPr>
          <w:rFonts w:ascii="Arial Narrow" w:hAnsi="Arial Narrow" w:cs="Times New Roman"/>
          <w:sz w:val="22"/>
          <w:szCs w:val="22"/>
        </w:rPr>
      </w:pPr>
      <w:r>
        <w:rPr>
          <w:rFonts w:ascii="Arial Narrow" w:hAnsi="Arial Narrow" w:cs="Times New Roman"/>
          <w:sz w:val="22"/>
          <w:szCs w:val="22"/>
        </w:rPr>
        <w:t xml:space="preserve">Prostredníctvom </w:t>
      </w:r>
      <w:r w:rsidRPr="005D53B0">
        <w:rPr>
          <w:rFonts w:ascii="Arial Narrow" w:hAnsi="Arial Narrow" w:cs="Times New Roman"/>
          <w:sz w:val="22"/>
          <w:szCs w:val="22"/>
        </w:rPr>
        <w:t>Ministerstva zdravotníctva SR sa zabezpečuje financovanie činností v pôsobnosti úradu a financovanie rozpočtových a príspevkových organizácií. Najvýraznejší podiel na</w:t>
      </w:r>
      <w:r>
        <w:rPr>
          <w:rFonts w:ascii="Arial Narrow" w:hAnsi="Arial Narrow" w:cs="Times New Roman"/>
          <w:sz w:val="22"/>
          <w:szCs w:val="22"/>
        </w:rPr>
        <w:t xml:space="preserve"> bežných</w:t>
      </w:r>
      <w:r w:rsidRPr="005D53B0">
        <w:rPr>
          <w:rFonts w:ascii="Arial Narrow" w:hAnsi="Arial Narrow" w:cs="Times New Roman"/>
          <w:sz w:val="22"/>
          <w:szCs w:val="22"/>
        </w:rPr>
        <w:t xml:space="preserve"> výdavkoch</w:t>
      </w:r>
      <w:r>
        <w:rPr>
          <w:rFonts w:ascii="Arial Narrow" w:hAnsi="Arial Narrow" w:cs="Times New Roman"/>
          <w:sz w:val="22"/>
          <w:szCs w:val="22"/>
        </w:rPr>
        <w:t xml:space="preserve"> kapitoly tvo</w:t>
      </w:r>
      <w:r>
        <w:rPr>
          <w:rFonts w:ascii="Arial Narrow" w:hAnsi="Arial Narrow" w:cs="Times New Roman"/>
          <w:sz w:val="22"/>
          <w:szCs w:val="22"/>
        </w:rPr>
        <w:t>ria výdavky Úradu verejného zdravotníctva SR a regionálnych ú</w:t>
      </w:r>
      <w:r w:rsidRPr="005D53B0">
        <w:rPr>
          <w:rFonts w:ascii="Arial Narrow" w:hAnsi="Arial Narrow" w:cs="Times New Roman"/>
          <w:sz w:val="22"/>
          <w:szCs w:val="22"/>
        </w:rPr>
        <w:t>rad</w:t>
      </w:r>
      <w:r>
        <w:rPr>
          <w:rFonts w:ascii="Arial Narrow" w:hAnsi="Arial Narrow" w:cs="Times New Roman"/>
          <w:sz w:val="22"/>
          <w:szCs w:val="22"/>
        </w:rPr>
        <w:t>ov</w:t>
      </w:r>
      <w:r w:rsidRPr="005D53B0">
        <w:rPr>
          <w:rFonts w:ascii="Arial Narrow" w:hAnsi="Arial Narrow" w:cs="Times New Roman"/>
          <w:sz w:val="22"/>
          <w:szCs w:val="22"/>
        </w:rPr>
        <w:t xml:space="preserve"> verejného zdravot</w:t>
      </w:r>
      <w:r>
        <w:rPr>
          <w:rFonts w:ascii="Arial Narrow" w:hAnsi="Arial Narrow" w:cs="Times New Roman"/>
          <w:sz w:val="22"/>
          <w:szCs w:val="22"/>
        </w:rPr>
        <w:t xml:space="preserve">níctva. Regionálne úrady verejného zdravotníctve pôsobia </w:t>
      </w:r>
      <w:r w:rsidRPr="00CB7D3E">
        <w:rPr>
          <w:rFonts w:ascii="Arial Narrow" w:hAnsi="Arial Narrow" w:cs="Times New Roman"/>
          <w:sz w:val="22"/>
          <w:szCs w:val="22"/>
        </w:rPr>
        <w:t>na úseku ochrany, podpory a rozvoja verejného zdravia</w:t>
      </w:r>
      <w:r>
        <w:rPr>
          <w:rFonts w:ascii="Arial Narrow" w:hAnsi="Arial Narrow" w:cs="Times New Roman"/>
          <w:sz w:val="22"/>
          <w:szCs w:val="22"/>
        </w:rPr>
        <w:t xml:space="preserve"> na regionálnej úrovni. Bežné výdavky na financovanie úradov medziročne rastú. Nárast bežných výdavkov v roku 2009 oproti roku 2008 predstavuje 1,8 % a oproti roku 2006 12,8 %.  </w:t>
      </w:r>
    </w:p>
    <w:p w:rsidR="00AE49BA" w:rsidRPr="005D53B0" w:rsidP="00AE49BA">
      <w:pPr>
        <w:jc w:val="both"/>
        <w:rPr>
          <w:rFonts w:ascii="Arial Narrow" w:hAnsi="Arial Narrow" w:cs="Times New Roman"/>
          <w:sz w:val="22"/>
          <w:szCs w:val="22"/>
        </w:rPr>
      </w:pPr>
    </w:p>
    <w:p w:rsidR="00AE49BA" w:rsidRPr="005D53B0" w:rsidP="00AE49BA">
      <w:pPr>
        <w:ind w:firstLine="708"/>
        <w:jc w:val="both"/>
        <w:rPr>
          <w:rFonts w:ascii="Arial Narrow" w:hAnsi="Arial Narrow" w:cs="Times New Roman"/>
          <w:sz w:val="22"/>
          <w:szCs w:val="22"/>
        </w:rPr>
      </w:pPr>
      <w:r w:rsidRPr="005D53B0">
        <w:rPr>
          <w:rFonts w:ascii="Arial Narrow" w:hAnsi="Arial Narrow" w:cs="Times New Roman"/>
          <w:sz w:val="22"/>
          <w:szCs w:val="22"/>
        </w:rPr>
        <w:t xml:space="preserve">Kapitálové výdavky Ministerstva zdravotníctva SR </w:t>
      </w:r>
      <w:r>
        <w:rPr>
          <w:rFonts w:ascii="Arial Narrow" w:hAnsi="Arial Narrow" w:cs="Times New Roman"/>
          <w:sz w:val="22"/>
          <w:szCs w:val="22"/>
        </w:rPr>
        <w:t xml:space="preserve">predstavujú na roky 2009 až 2011 zo zdrojov rozpočtových prostriedkov kapitoly stabilnú úroveň 6,6 mil. eur. </w:t>
      </w:r>
      <w:r w:rsidRPr="005D53B0">
        <w:rPr>
          <w:rFonts w:ascii="Arial Narrow" w:hAnsi="Arial Narrow" w:cs="Times New Roman"/>
          <w:sz w:val="22"/>
          <w:szCs w:val="22"/>
        </w:rPr>
        <w:t xml:space="preserve">Prostriedky sú určené pre financovanie investičných akcií rozpočtových a príspevkových organizácií v pôsobnosti Ministerstva zdravotníctva SR. </w:t>
      </w:r>
      <w:r>
        <w:rPr>
          <w:rFonts w:ascii="Arial Narrow" w:hAnsi="Arial Narrow" w:cs="Times New Roman"/>
          <w:sz w:val="22"/>
          <w:szCs w:val="22"/>
        </w:rPr>
        <w:t>V predchádzajúcich rokoch kapitola čerpala aj prostriedky kryté úverom od Svetovej banky na P</w:t>
      </w:r>
      <w:r>
        <w:rPr>
          <w:rFonts w:ascii="Arial Narrow" w:hAnsi="Arial Narrow" w:cs="Times New Roman"/>
          <w:sz w:val="22"/>
          <w:szCs w:val="22"/>
        </w:rPr>
        <w:t xml:space="preserve">rojekt </w:t>
      </w:r>
      <w:r w:rsidRPr="00DC1F40">
        <w:rPr>
          <w:rFonts w:ascii="Arial Narrow" w:hAnsi="Arial Narrow" w:cs="Arial"/>
          <w:sz w:val="22"/>
          <w:szCs w:val="22"/>
        </w:rPr>
        <w:t>mode</w:t>
      </w:r>
      <w:r>
        <w:rPr>
          <w:rFonts w:ascii="Arial Narrow" w:hAnsi="Arial Narrow" w:cs="Arial"/>
          <w:sz w:val="22"/>
          <w:szCs w:val="22"/>
        </w:rPr>
        <w:t>rnizácie sektoru zdravotníctva</w:t>
      </w:r>
      <w:r w:rsidRPr="00DC1F40">
        <w:rPr>
          <w:rFonts w:ascii="Arial Narrow" w:hAnsi="Arial Narrow" w:cs="Arial"/>
          <w:sz w:val="22"/>
          <w:szCs w:val="22"/>
        </w:rPr>
        <w:t xml:space="preserve"> SECAL</w:t>
      </w:r>
      <w:r>
        <w:rPr>
          <w:rFonts w:ascii="Arial Narrow" w:hAnsi="Arial Narrow" w:cs="Arial"/>
          <w:sz w:val="22"/>
          <w:szCs w:val="22"/>
        </w:rPr>
        <w:t xml:space="preserve"> v ročnej výške 16,6 mil. eur, ktorý bol ukončený v roku 2008. Na modernizáciu zdravotníctva sa budú od roku 2008 využívať EÚ prostriedky prostredníctvom </w:t>
      </w:r>
      <w:r>
        <w:rPr>
          <w:rFonts w:ascii="Arial Narrow" w:hAnsi="Arial Narrow" w:cs="Times New Roman"/>
          <w:sz w:val="22"/>
          <w:szCs w:val="22"/>
        </w:rPr>
        <w:t>Operačného</w:t>
      </w:r>
      <w:r w:rsidRPr="005D53B0">
        <w:rPr>
          <w:rFonts w:ascii="Arial Narrow" w:hAnsi="Arial Narrow" w:cs="Times New Roman"/>
          <w:sz w:val="22"/>
          <w:szCs w:val="22"/>
        </w:rPr>
        <w:t xml:space="preserve"> program</w:t>
      </w:r>
      <w:r>
        <w:rPr>
          <w:rFonts w:ascii="Arial Narrow" w:hAnsi="Arial Narrow" w:cs="Times New Roman"/>
          <w:sz w:val="22"/>
          <w:szCs w:val="22"/>
        </w:rPr>
        <w:t>u</w:t>
      </w:r>
      <w:r w:rsidRPr="005D53B0">
        <w:rPr>
          <w:rFonts w:ascii="Arial Narrow" w:hAnsi="Arial Narrow" w:cs="Times New Roman"/>
          <w:sz w:val="22"/>
          <w:szCs w:val="22"/>
        </w:rPr>
        <w:t xml:space="preserve"> Zdravotníctvo</w:t>
      </w:r>
      <w:r>
        <w:rPr>
          <w:rFonts w:ascii="Arial Narrow" w:hAnsi="Arial Narrow" w:cs="Times New Roman"/>
          <w:sz w:val="22"/>
          <w:szCs w:val="22"/>
        </w:rPr>
        <w:t>.</w:t>
      </w:r>
    </w:p>
    <w:p w:rsidR="00AE49BA" w:rsidRPr="005D53B0"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5D53B0">
        <w:rPr>
          <w:rFonts w:ascii="Arial Narrow" w:hAnsi="Arial Narrow" w:cs="Times New Roman"/>
          <w:sz w:val="22"/>
          <w:szCs w:val="22"/>
        </w:rPr>
        <w:t>Od roku 2008 sú pre</w:t>
      </w:r>
      <w:r w:rsidRPr="005D53B0">
        <w:rPr>
          <w:rFonts w:ascii="Arial Narrow" w:hAnsi="Arial Narrow" w:cs="Times New Roman"/>
          <w:sz w:val="22"/>
          <w:szCs w:val="22"/>
        </w:rPr>
        <w:t xml:space="preserve"> rezort zdravotníctva</w:t>
      </w:r>
      <w:r>
        <w:rPr>
          <w:rFonts w:ascii="Arial Narrow" w:hAnsi="Arial Narrow" w:cs="Times New Roman"/>
          <w:sz w:val="22"/>
          <w:szCs w:val="22"/>
        </w:rPr>
        <w:t xml:space="preserve"> rozpočtované</w:t>
      </w:r>
      <w:r w:rsidRPr="005D53B0">
        <w:rPr>
          <w:rFonts w:ascii="Arial Narrow" w:hAnsi="Arial Narrow" w:cs="Times New Roman"/>
          <w:sz w:val="22"/>
          <w:szCs w:val="22"/>
        </w:rPr>
        <w:t xml:space="preserve"> EÚ prostriedky 2. programov</w:t>
      </w:r>
      <w:r>
        <w:rPr>
          <w:rFonts w:ascii="Arial Narrow" w:hAnsi="Arial Narrow" w:cs="Times New Roman"/>
          <w:sz w:val="22"/>
          <w:szCs w:val="22"/>
        </w:rPr>
        <w:t>ého</w:t>
      </w:r>
      <w:r w:rsidRPr="005D53B0">
        <w:rPr>
          <w:rFonts w:ascii="Arial Narrow" w:hAnsi="Arial Narrow" w:cs="Times New Roman"/>
          <w:sz w:val="22"/>
          <w:szCs w:val="22"/>
        </w:rPr>
        <w:t xml:space="preserve"> obdobia v predpokl</w:t>
      </w:r>
      <w:r>
        <w:rPr>
          <w:rFonts w:ascii="Arial Narrow" w:hAnsi="Arial Narrow" w:cs="Times New Roman"/>
          <w:sz w:val="22"/>
          <w:szCs w:val="22"/>
        </w:rPr>
        <w:t>adanej celkovej výške 250 mil. eur</w:t>
      </w:r>
      <w:r w:rsidRPr="005D53B0">
        <w:rPr>
          <w:rFonts w:ascii="Arial Narrow" w:hAnsi="Arial Narrow" w:cs="Times New Roman"/>
          <w:sz w:val="22"/>
          <w:szCs w:val="22"/>
        </w:rPr>
        <w:t xml:space="preserve"> pre Operačný program Zdravotníctvo, ktorý je zameraný na výstavbu, rekonštrukciu a modernizáciu všeobecných, špecializovaných nemocníc, a</w:t>
      </w:r>
      <w:r w:rsidRPr="005D53B0">
        <w:rPr>
          <w:rFonts w:ascii="Arial Narrow" w:hAnsi="Arial Narrow" w:cs="Times New Roman"/>
          <w:sz w:val="22"/>
          <w:szCs w:val="22"/>
        </w:rPr>
        <w:t>mbulantnej zdravotnej starostlivosti a obnovu a modernizáciu zdr</w:t>
      </w:r>
      <w:r>
        <w:rPr>
          <w:rFonts w:ascii="Arial Narrow" w:hAnsi="Arial Narrow" w:cs="Times New Roman"/>
          <w:sz w:val="22"/>
          <w:szCs w:val="22"/>
        </w:rPr>
        <w:t>avotníckej techniky a 27 mil. eur</w:t>
      </w:r>
      <w:r w:rsidRPr="005D53B0">
        <w:rPr>
          <w:rFonts w:ascii="Arial Narrow" w:hAnsi="Arial Narrow" w:cs="Times New Roman"/>
          <w:sz w:val="22"/>
          <w:szCs w:val="22"/>
        </w:rPr>
        <w:t xml:space="preserve"> pre Operačný program Vzdelávanie so zameraním najmä na podporu ďalšieho vzdelávania </w:t>
      </w:r>
      <w:r>
        <w:rPr>
          <w:rFonts w:ascii="Arial Narrow" w:hAnsi="Arial Narrow" w:cs="Times New Roman"/>
          <w:sz w:val="22"/>
          <w:szCs w:val="22"/>
        </w:rPr>
        <w:t>zdravotníckych pracovníkov</w:t>
      </w:r>
      <w:r w:rsidRPr="005D53B0">
        <w:rPr>
          <w:rFonts w:ascii="Arial Narrow" w:hAnsi="Arial Narrow" w:cs="Times New Roman"/>
          <w:sz w:val="22"/>
          <w:szCs w:val="22"/>
        </w:rPr>
        <w:t xml:space="preserve">. </w:t>
      </w:r>
    </w:p>
    <w:p w:rsidR="00AE49BA" w:rsidP="00AE49BA">
      <w:pPr>
        <w:jc w:val="both"/>
        <w:rPr>
          <w:rFonts w:ascii="Arial Narrow" w:hAnsi="Arial Narrow" w:cs="Times New Roman"/>
          <w:sz w:val="22"/>
          <w:szCs w:val="22"/>
        </w:rPr>
      </w:pPr>
    </w:p>
    <w:tbl>
      <w:tblPr>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6" w:space="0" w:color="auto"/>
              <w:right w:val="single" w:sz="6"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6" w:space="0" w:color="auto"/>
              <w:bottom w:val="single" w:sz="6"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shd w:val="clear" w:color="auto" w:fill="C0C0C0"/>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2. progra</w:t>
            </w:r>
            <w:r w:rsidRPr="0012379F">
              <w:rPr>
                <w:rFonts w:ascii="Arial Narrow" w:hAnsi="Arial Narrow" w:cs="Arial"/>
                <w:b/>
                <w:bCs/>
                <w:sz w:val="20"/>
              </w:rPr>
              <w:t>mové obdobie</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9 793</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38 638</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83 466</w:t>
            </w:r>
          </w:p>
        </w:tc>
        <w:tc>
          <w:tcPr>
            <w:tcW w:w="1125" w:type="dxa"/>
            <w:tcBorders>
              <w:top w:val="single" w:sz="6" w:space="0" w:color="auto"/>
              <w:left w:val="single" w:sz="6" w:space="0" w:color="auto"/>
              <w:bottom w:val="single" w:sz="6" w:space="0" w:color="auto"/>
              <w:right w:val="single" w:sz="4" w:space="0" w:color="auto"/>
              <w:tl2br w:val="nil"/>
              <w:tr2bl w:val="nil"/>
            </w:tcBorders>
            <w:shd w:val="clear" w:color="auto" w:fill="C0C0C0"/>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102 569</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Operačný program Zdravotníctvo</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8 839</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35 020</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73 193</w:t>
            </w:r>
          </w:p>
        </w:tc>
        <w:tc>
          <w:tcPr>
            <w:tcW w:w="1125" w:type="dxa"/>
            <w:tcBorders>
              <w:top w:val="single" w:sz="6" w:space="0" w:color="auto"/>
              <w:left w:val="single" w:sz="6" w:space="0" w:color="auto"/>
              <w:bottom w:val="single" w:sz="6"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92 279</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 xml:space="preserve">     EÚ prostriedky</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7 513</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29 767</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62 214</w:t>
            </w:r>
          </w:p>
        </w:tc>
        <w:tc>
          <w:tcPr>
            <w:tcW w:w="1125" w:type="dxa"/>
            <w:tcBorders>
              <w:top w:val="single" w:sz="6" w:space="0" w:color="auto"/>
              <w:left w:val="single" w:sz="6" w:space="0" w:color="auto"/>
              <w:bottom w:val="single" w:sz="6"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78 437</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 xml:space="preserve">     spolufinancovanie</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1 326</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5 253</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10 979</w:t>
            </w:r>
          </w:p>
        </w:tc>
        <w:tc>
          <w:tcPr>
            <w:tcW w:w="1125" w:type="dxa"/>
            <w:tcBorders>
              <w:top w:val="single" w:sz="6" w:space="0" w:color="auto"/>
              <w:left w:val="single" w:sz="6" w:space="0" w:color="auto"/>
              <w:bottom w:val="single" w:sz="6"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13 842</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noWrap/>
            <w:textDirection w:val="lrTb"/>
            <w:vAlign w:val="bottom"/>
          </w:tcPr>
          <w:p w:rsidR="00AE49BA" w:rsidRPr="0012379F" w:rsidP="00AE49BA">
            <w:pPr>
              <w:jc w:val="both"/>
              <w:rPr>
                <w:rFonts w:ascii="Arial Narrow" w:hAnsi="Arial Narrow" w:cs="Arial"/>
                <w:b/>
                <w:bCs/>
                <w:sz w:val="20"/>
              </w:rPr>
            </w:pPr>
            <w:r w:rsidRPr="0012379F">
              <w:rPr>
                <w:rFonts w:ascii="Arial Narrow" w:hAnsi="Arial Narrow" w:cs="Arial"/>
                <w:b/>
                <w:bCs/>
                <w:sz w:val="20"/>
              </w:rPr>
              <w:t>Operačný program Vzdelávanie</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954</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3 618</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10 273</w:t>
            </w:r>
          </w:p>
        </w:tc>
        <w:tc>
          <w:tcPr>
            <w:tcW w:w="1125" w:type="dxa"/>
            <w:tcBorders>
              <w:top w:val="single" w:sz="6" w:space="0" w:color="auto"/>
              <w:left w:val="single" w:sz="6" w:space="0" w:color="auto"/>
              <w:bottom w:val="single" w:sz="6"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b/>
                <w:bCs/>
                <w:sz w:val="20"/>
              </w:rPr>
            </w:pPr>
            <w:r w:rsidRPr="0012379F">
              <w:rPr>
                <w:rFonts w:ascii="Arial Narrow" w:hAnsi="Arial Narrow" w:cs="Arial"/>
                <w:b/>
                <w:bCs/>
                <w:sz w:val="20"/>
              </w:rPr>
              <w:t>10 290</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 xml:space="preserve">   </w:t>
            </w:r>
            <w:r w:rsidRPr="0012379F">
              <w:rPr>
                <w:rFonts w:ascii="Arial Narrow" w:hAnsi="Arial Narrow" w:cs="Arial"/>
                <w:sz w:val="20"/>
              </w:rPr>
              <w:t xml:space="preserve">  EÚ prostriedky</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811</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3 075</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8 732</w:t>
            </w:r>
          </w:p>
        </w:tc>
        <w:tc>
          <w:tcPr>
            <w:tcW w:w="1125" w:type="dxa"/>
            <w:tcBorders>
              <w:top w:val="single" w:sz="6" w:space="0" w:color="auto"/>
              <w:left w:val="single" w:sz="6" w:space="0" w:color="auto"/>
              <w:bottom w:val="single" w:sz="6"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8 747</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4" w:space="0" w:color="auto"/>
              <w:right w:val="single" w:sz="6" w:space="0" w:color="auto"/>
              <w:tl2br w:val="nil"/>
              <w:tr2bl w:val="nil"/>
            </w:tcBorders>
            <w:noWrap/>
            <w:textDirection w:val="lrTb"/>
            <w:vAlign w:val="bottom"/>
          </w:tcPr>
          <w:p w:rsidR="00AE49BA" w:rsidRPr="0012379F" w:rsidP="00AE49BA">
            <w:pPr>
              <w:rPr>
                <w:rFonts w:ascii="Arial Narrow" w:hAnsi="Arial Narrow" w:cs="Arial"/>
                <w:sz w:val="20"/>
              </w:rPr>
            </w:pPr>
            <w:r w:rsidRPr="0012379F">
              <w:rPr>
                <w:rFonts w:ascii="Arial Narrow" w:hAnsi="Arial Narrow" w:cs="Arial"/>
                <w:sz w:val="20"/>
              </w:rPr>
              <w:t xml:space="preserve">     spolufinancovanie</w:t>
            </w:r>
          </w:p>
        </w:tc>
        <w:tc>
          <w:tcPr>
            <w:tcW w:w="1125" w:type="dxa"/>
            <w:tcBorders>
              <w:top w:val="single" w:sz="6" w:space="0" w:color="auto"/>
              <w:left w:val="single" w:sz="6" w:space="0" w:color="auto"/>
              <w:bottom w:val="single" w:sz="4"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143</w:t>
            </w:r>
          </w:p>
        </w:tc>
        <w:tc>
          <w:tcPr>
            <w:tcW w:w="1125" w:type="dxa"/>
            <w:tcBorders>
              <w:top w:val="single" w:sz="6" w:space="0" w:color="auto"/>
              <w:left w:val="single" w:sz="6" w:space="0" w:color="auto"/>
              <w:bottom w:val="single" w:sz="4"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543</w:t>
            </w:r>
          </w:p>
        </w:tc>
        <w:tc>
          <w:tcPr>
            <w:tcW w:w="1125" w:type="dxa"/>
            <w:tcBorders>
              <w:top w:val="single" w:sz="6" w:space="0" w:color="auto"/>
              <w:left w:val="single" w:sz="6" w:space="0" w:color="auto"/>
              <w:bottom w:val="single" w:sz="4" w:space="0" w:color="auto"/>
              <w:right w:val="single" w:sz="6"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1 541</w:t>
            </w:r>
          </w:p>
        </w:tc>
        <w:tc>
          <w:tcPr>
            <w:tcW w:w="1125" w:type="dxa"/>
            <w:tcBorders>
              <w:top w:val="single" w:sz="6" w:space="0" w:color="auto"/>
              <w:left w:val="single" w:sz="6" w:space="0" w:color="auto"/>
              <w:bottom w:val="single" w:sz="4" w:space="0" w:color="auto"/>
              <w:right w:val="single" w:sz="4" w:space="0" w:color="auto"/>
              <w:tl2br w:val="nil"/>
              <w:tr2bl w:val="nil"/>
            </w:tcBorders>
            <w:noWrap/>
            <w:textDirection w:val="lrTb"/>
            <w:vAlign w:val="bottom"/>
          </w:tcPr>
          <w:p w:rsidR="00AE49BA" w:rsidRPr="0012379F" w:rsidP="00AE49BA">
            <w:pPr>
              <w:jc w:val="right"/>
              <w:rPr>
                <w:rFonts w:ascii="Arial Narrow" w:hAnsi="Arial Narrow" w:cs="Arial"/>
                <w:sz w:val="20"/>
              </w:rPr>
            </w:pPr>
            <w:r w:rsidRPr="0012379F">
              <w:rPr>
                <w:rFonts w:ascii="Arial Narrow" w:hAnsi="Arial Narrow" w:cs="Arial"/>
                <w:sz w:val="20"/>
              </w:rPr>
              <w:t>1 543</w:t>
            </w:r>
          </w:p>
        </w:tc>
      </w:tr>
    </w:tbl>
    <w:p w:rsidR="00AE49BA" w:rsidRPr="005D53B0"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5D53B0">
        <w:rPr>
          <w:rFonts w:ascii="Arial Narrow" w:hAnsi="Arial Narrow" w:cs="Times New Roman"/>
          <w:sz w:val="22"/>
          <w:szCs w:val="22"/>
        </w:rPr>
        <w:t>Pre rezort zdravotníctva sú pre rok 2009 vyčlenené v štátnom rozpočte aj prostriedky z Prechodného fondu vrátane spolufinancovania</w:t>
      </w:r>
      <w:r>
        <w:rPr>
          <w:rFonts w:ascii="Arial Narrow" w:hAnsi="Arial Narrow" w:cs="Times New Roman"/>
          <w:sz w:val="22"/>
          <w:szCs w:val="22"/>
        </w:rPr>
        <w:t xml:space="preserve"> pre schválený projekt.</w:t>
      </w:r>
      <w:r w:rsidRPr="005D53B0">
        <w:rPr>
          <w:rFonts w:ascii="Arial Narrow" w:hAnsi="Arial Narrow" w:cs="Times New Roman"/>
          <w:sz w:val="22"/>
          <w:szCs w:val="22"/>
        </w:rPr>
        <w:t xml:space="preserve"> Zároveň od roku 2009 sa predpokladá aj čerpanie grantov v rámci programu Nórsky finančný mechanizmus</w:t>
      </w:r>
      <w:r>
        <w:rPr>
          <w:rFonts w:ascii="Arial Narrow" w:hAnsi="Arial Narrow" w:cs="Times New Roman"/>
          <w:sz w:val="22"/>
          <w:szCs w:val="22"/>
        </w:rPr>
        <w:t xml:space="preserve"> </w:t>
      </w:r>
      <w:r w:rsidRPr="005D53B0">
        <w:rPr>
          <w:rFonts w:ascii="Arial Narrow" w:hAnsi="Arial Narrow" w:cs="Times New Roman"/>
          <w:sz w:val="22"/>
          <w:szCs w:val="22"/>
        </w:rPr>
        <w:t>a</w:t>
      </w:r>
      <w:r>
        <w:rPr>
          <w:rFonts w:ascii="Arial Narrow" w:hAnsi="Arial Narrow" w:cs="Times New Roman"/>
          <w:sz w:val="22"/>
          <w:szCs w:val="22"/>
        </w:rPr>
        <w:t xml:space="preserve"> programu</w:t>
      </w:r>
      <w:r w:rsidRPr="005D53B0">
        <w:rPr>
          <w:rFonts w:ascii="Arial Narrow" w:hAnsi="Arial Narrow" w:cs="Times New Roman"/>
          <w:sz w:val="22"/>
          <w:szCs w:val="22"/>
        </w:rPr>
        <w:t> Finančný mechanizmus EHP vrátane spolufinancovani</w:t>
      </w:r>
      <w:r>
        <w:rPr>
          <w:rFonts w:ascii="Arial Narrow" w:hAnsi="Arial Narrow" w:cs="Times New Roman"/>
          <w:sz w:val="22"/>
          <w:szCs w:val="22"/>
        </w:rPr>
        <w:t>a pre oblasť výskumu a vývoja v zdravotníctve.</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 xml:space="preserve">Na financovanie zdravotníckych služieb, zdravotníckych zariadení a záchrannej zdravotnej služby v pôsobnosti obcí sa uvažuje s bežnými výdavkami vo výške 5,1 mil. eur a kapitálovými výdavkami vo výške 5,1 mil. eur. Zo zdrojov vyšších územných celkov sa predpokladá, že pre oblasť zdravotníctva budú vyčlenené kapitálové </w:t>
      </w:r>
      <w:r>
        <w:rPr>
          <w:rFonts w:ascii="Arial Narrow" w:hAnsi="Arial Narrow" w:cs="Times New Roman"/>
          <w:sz w:val="22"/>
          <w:szCs w:val="22"/>
        </w:rPr>
        <w:t xml:space="preserve">výdavky vo výške 9,7 mil. eur na rekonštrukcie zdravotníckych zariadení, ako aj na prístrojové vybavenie. </w:t>
      </w:r>
    </w:p>
    <w:p w:rsidR="00AE49BA" w:rsidP="00AE49BA">
      <w:pPr>
        <w:jc w:val="both"/>
        <w:rPr>
          <w:rFonts w:ascii="Arial Narrow" w:hAnsi="Arial Narrow" w:cs="Times New Roman"/>
          <w:sz w:val="22"/>
          <w:szCs w:val="22"/>
        </w:rPr>
      </w:pPr>
    </w:p>
    <w:p w:rsidR="00AE49BA" w:rsidRPr="007835F8" w:rsidP="00AE49BA">
      <w:pPr>
        <w:pBdr>
          <w:bottom w:val="single" w:sz="6" w:space="1" w:color="auto"/>
        </w:pBdr>
        <w:tabs>
          <w:tab w:val="left" w:pos="0"/>
          <w:tab w:val="left" w:pos="720"/>
          <w:tab w:val="left" w:pos="1440"/>
          <w:tab w:val="left" w:pos="2160"/>
          <w:tab w:val="left" w:pos="2880"/>
          <w:tab w:val="left" w:pos="3600"/>
          <w:tab w:val="left" w:pos="4320"/>
        </w:tabs>
        <w:autoSpaceDE/>
        <w:autoSpaceDN/>
        <w:spacing w:line="240" w:lineRule="atLeast"/>
        <w:jc w:val="both"/>
        <w:rPr>
          <w:rFonts w:ascii="Arial Narrow" w:hAnsi="Arial Narrow" w:cs="Helv"/>
          <w:b/>
          <w:color w:val="000000"/>
          <w:sz w:val="22"/>
          <w:szCs w:val="22"/>
        </w:rPr>
      </w:pPr>
      <w:r w:rsidRPr="007835F8">
        <w:rPr>
          <w:rFonts w:ascii="Arial Narrow" w:hAnsi="Arial Narrow" w:cs="Helv"/>
          <w:b/>
          <w:color w:val="000000"/>
          <w:sz w:val="22"/>
          <w:szCs w:val="22"/>
        </w:rPr>
        <w:t xml:space="preserve">Zamestnanosť a sociálne veci </w:t>
      </w:r>
    </w:p>
    <w:p w:rsidR="00AE49BA" w:rsidP="00AE49BA">
      <w:pPr>
        <w:tabs>
          <w:tab w:val="left" w:pos="0"/>
          <w:tab w:val="left" w:pos="720"/>
          <w:tab w:val="left" w:pos="1440"/>
          <w:tab w:val="left" w:pos="2160"/>
          <w:tab w:val="left" w:pos="2880"/>
          <w:tab w:val="left" w:pos="3600"/>
          <w:tab w:val="left" w:pos="4320"/>
        </w:tabs>
        <w:autoSpaceDE/>
        <w:autoSpaceDN/>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5C7EBC">
        <w:rPr>
          <w:rFonts w:ascii="Arial Narrow" w:hAnsi="Arial Narrow" w:cs="Helv"/>
          <w:color w:val="000000"/>
          <w:sz w:val="22"/>
          <w:szCs w:val="22"/>
        </w:rPr>
        <w:tab/>
      </w:r>
      <w:r w:rsidRPr="007D174B">
        <w:rPr>
          <w:rFonts w:ascii="Arial Narrow" w:hAnsi="Arial Narrow" w:cs="Helv"/>
          <w:color w:val="000000"/>
          <w:sz w:val="22"/>
          <w:szCs w:val="22"/>
        </w:rPr>
        <w:t xml:space="preserve">V súlade s Programovým vyhlásením vlády Slovenskej republiky vláda SR v  priebehu rokov 2006 až 2008 prijala   viaceré významné legislatívne zmeny v sociálnej oblasti s cieľom vytvoriť sociálne spravodlivý, transparentný, trvalo udržateľný  systém, ktorý bude garantovať dôstojnú životnú úroveň každého človeka.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Rozpočet  je pripravený  v podmienkach účinnosti sociálneho balíka, ktorý obsahuje reformné zákony a opatrenia v súlade s cieľmi a úlohami Programového vyhlásenia vlády SR. Celkové disponibilné zdroje MPSVR SR na rok 2009 sú  rozpočtované vo výške 1,89 mld. eur, čo  v porovnaní  s  rokom 2008 predstavuje nárast o 8,0 % a v porovnaní s rokom 2006 o 16 %. V porovnaní s rokom 2008 dochádza k výraznému zvýšeniu rozpočtových zdrojov Európskeho sociálneho fondu vrátane spolufinancovania zo štátneho rozpočtu (+ 29 %) a súčasne sa zvyšujú aj rozpočtové zdroje kapitoly (+</w:t>
      </w:r>
      <w:r w:rsidRPr="007D174B">
        <w:rPr>
          <w:rFonts w:ascii="Arial Narrow" w:hAnsi="Arial Narrow" w:cs="Helv"/>
          <w:color w:val="000000"/>
          <w:sz w:val="22"/>
          <w:szCs w:val="22"/>
        </w:rPr>
        <w:t xml:space="preserve"> 6 %). </w:t>
      </w:r>
    </w:p>
    <w:p w:rsidR="00AE49BA"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791FA9"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791FA9"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791FA9"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791FA9"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AE49BA"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r w:rsidRPr="007D174B">
        <w:rPr>
          <w:rFonts w:ascii="Arial Narrow" w:hAnsi="Arial Narrow" w:cs="Helv"/>
          <w:b/>
          <w:color w:val="000000"/>
          <w:sz w:val="22"/>
          <w:szCs w:val="22"/>
        </w:rPr>
        <w:t>Sociálna inklúzia</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4682"/>
        <w:gridCol w:w="1124"/>
        <w:gridCol w:w="1125"/>
        <w:gridCol w:w="1125"/>
        <w:gridCol w:w="1124"/>
      </w:tblGrid>
      <w:tr>
        <w:tblPrEx>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both"/>
              <w:rPr>
                <w:rFonts w:ascii="Arial Narrow" w:hAnsi="Arial Narrow" w:cs="Arial"/>
                <w:color w:val="FFFFFF"/>
                <w:sz w:val="20"/>
                <w:lang w:val="cs-CZ"/>
              </w:rPr>
            </w:pPr>
            <w:r w:rsidRPr="007D174B">
              <w:rPr>
                <w:rFonts w:ascii="Arial Narrow" w:hAnsi="Arial Narrow" w:cs="Arial"/>
                <w:color w:val="FFFFFF"/>
                <w:sz w:val="20"/>
                <w:lang w:val="cs-CZ"/>
              </w:rPr>
              <w:t> </w:t>
            </w:r>
            <w:r w:rsidRPr="007D174B">
              <w:rPr>
                <w:rFonts w:ascii="Arial Narrow" w:hAnsi="Arial Narrow" w:cs="Arial"/>
                <w:b/>
                <w:color w:val="FFFFFF"/>
                <w:sz w:val="20"/>
                <w:lang w:val="cs-CZ"/>
              </w:rPr>
              <w:t>(v tis. eur)</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center"/>
              <w:rPr>
                <w:rFonts w:ascii="Arial Narrow" w:hAnsi="Arial Narrow" w:cs="Arial"/>
                <w:b/>
                <w:bCs/>
                <w:color w:val="FFFFFF"/>
                <w:sz w:val="20"/>
                <w:lang w:val="cs-CZ"/>
              </w:rPr>
            </w:pPr>
            <w:r w:rsidRPr="007D174B">
              <w:rPr>
                <w:rFonts w:ascii="Arial Narrow" w:hAnsi="Arial Narrow" w:cs="Arial"/>
                <w:b/>
                <w:bCs/>
                <w:color w:val="FFFFFF"/>
                <w:sz w:val="20"/>
                <w:lang w:val="cs-CZ"/>
              </w:rPr>
              <w:t>2006</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center"/>
              <w:rPr>
                <w:rFonts w:ascii="Arial Narrow" w:hAnsi="Arial Narrow" w:cs="Arial"/>
                <w:b/>
                <w:bCs/>
                <w:color w:val="FFFFFF"/>
                <w:sz w:val="20"/>
                <w:lang w:val="cs-CZ"/>
              </w:rPr>
            </w:pPr>
            <w:r w:rsidRPr="007D174B">
              <w:rPr>
                <w:rFonts w:ascii="Arial Narrow" w:hAnsi="Arial Narrow" w:cs="Arial"/>
                <w:b/>
                <w:bCs/>
                <w:color w:val="FFFFFF"/>
                <w:sz w:val="20"/>
                <w:lang w:val="cs-CZ"/>
              </w:rPr>
              <w:t>2007</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center"/>
              <w:rPr>
                <w:rFonts w:ascii="Arial Narrow" w:hAnsi="Arial Narrow" w:cs="Arial"/>
                <w:b/>
                <w:bCs/>
                <w:color w:val="FFFFFF"/>
                <w:sz w:val="20"/>
                <w:lang w:val="cs-CZ"/>
              </w:rPr>
            </w:pPr>
            <w:r w:rsidRPr="007D174B">
              <w:rPr>
                <w:rFonts w:ascii="Arial Narrow" w:hAnsi="Arial Narrow" w:cs="Arial"/>
                <w:b/>
                <w:bCs/>
                <w:color w:val="FFFFFF"/>
                <w:sz w:val="20"/>
                <w:lang w:val="cs-CZ"/>
              </w:rPr>
              <w:t>2008</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center"/>
              <w:rPr>
                <w:rFonts w:ascii="Arial Narrow" w:hAnsi="Arial Narrow" w:cs="Arial"/>
                <w:b/>
                <w:bCs/>
                <w:color w:val="FFFFFF"/>
                <w:sz w:val="20"/>
                <w:lang w:val="cs-CZ"/>
              </w:rPr>
            </w:pPr>
            <w:r w:rsidRPr="007D174B">
              <w:rPr>
                <w:rFonts w:ascii="Arial Narrow" w:hAnsi="Arial Narrow" w:cs="Arial"/>
                <w:b/>
                <w:bCs/>
                <w:color w:val="FFFFFF"/>
                <w:sz w:val="20"/>
                <w:lang w:val="cs-CZ"/>
              </w:rPr>
              <w:t>2009</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AE49BA" w:rsidRPr="007D174B" w:rsidP="00AE49BA">
            <w:pPr>
              <w:rPr>
                <w:rFonts w:ascii="Arial Narrow" w:hAnsi="Arial Narrow" w:cs="Arial"/>
                <w:b/>
                <w:bCs/>
                <w:sz w:val="20"/>
                <w:lang w:val="cs-CZ"/>
              </w:rPr>
            </w:pPr>
            <w:r w:rsidRPr="007D174B">
              <w:rPr>
                <w:rFonts w:ascii="Arial Narrow" w:hAnsi="Arial Narrow" w:cs="Arial"/>
                <w:b/>
                <w:bCs/>
                <w:sz w:val="20"/>
                <w:lang w:val="cs-CZ"/>
              </w:rPr>
              <w:t>Sociálna inklúzia celkom, v tom:</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AE49BA" w:rsidRPr="007D174B" w:rsidP="00AE49BA">
            <w:pPr>
              <w:jc w:val="right"/>
              <w:rPr>
                <w:rFonts w:ascii="Arial Narrow" w:hAnsi="Arial Narrow" w:cs="Arial"/>
                <w:b/>
                <w:bCs/>
                <w:sz w:val="20"/>
                <w:lang w:val="cs-CZ"/>
              </w:rPr>
            </w:pPr>
            <w:r w:rsidRPr="007D174B">
              <w:rPr>
                <w:rFonts w:ascii="Arial Narrow" w:hAnsi="Arial Narrow" w:cs="Arial"/>
                <w:b/>
                <w:bCs/>
                <w:sz w:val="20"/>
                <w:lang w:val="cs-CZ"/>
              </w:rPr>
              <w:t>1 313 534</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AE49BA" w:rsidRPr="007D174B" w:rsidP="00AE49BA">
            <w:pPr>
              <w:jc w:val="right"/>
              <w:rPr>
                <w:rFonts w:ascii="Arial Narrow" w:hAnsi="Arial Narrow" w:cs="Arial"/>
                <w:b/>
                <w:bCs/>
                <w:sz w:val="20"/>
                <w:lang w:val="cs-CZ"/>
              </w:rPr>
            </w:pPr>
            <w:r w:rsidRPr="007D174B">
              <w:rPr>
                <w:rFonts w:ascii="Arial Narrow" w:hAnsi="Arial Narrow" w:cs="Arial"/>
                <w:b/>
                <w:bCs/>
                <w:sz w:val="20"/>
                <w:lang w:val="cs-CZ"/>
              </w:rPr>
              <w:t>1 370 928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AE49BA" w:rsidRPr="007D174B" w:rsidP="00AE49BA">
            <w:pPr>
              <w:jc w:val="right"/>
              <w:rPr>
                <w:rFonts w:ascii="Arial Narrow" w:hAnsi="Arial Narrow" w:cs="Arial"/>
                <w:b/>
                <w:bCs/>
                <w:sz w:val="20"/>
                <w:lang w:val="cs-CZ"/>
              </w:rPr>
            </w:pPr>
            <w:r w:rsidRPr="007D174B">
              <w:rPr>
                <w:rFonts w:ascii="Arial Narrow" w:hAnsi="Arial Narrow" w:cs="Arial"/>
                <w:b/>
                <w:bCs/>
                <w:sz w:val="20"/>
                <w:lang w:val="cs-CZ"/>
              </w:rPr>
              <w:t>1 454 385</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AE49BA" w:rsidRPr="007D174B" w:rsidP="00AE49BA">
            <w:pPr>
              <w:jc w:val="right"/>
              <w:rPr>
                <w:rFonts w:ascii="Arial Narrow" w:hAnsi="Arial Narrow" w:cs="Arial"/>
                <w:b/>
                <w:bCs/>
                <w:sz w:val="20"/>
                <w:lang w:val="cs-CZ"/>
              </w:rPr>
            </w:pPr>
            <w:r w:rsidRPr="007D174B">
              <w:rPr>
                <w:rFonts w:ascii="Arial Narrow" w:hAnsi="Arial Narrow" w:cs="Arial"/>
                <w:b/>
                <w:bCs/>
                <w:sz w:val="20"/>
                <w:lang w:val="cs-CZ"/>
              </w:rPr>
              <w:t>1 597 015</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hmotná núdza</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292 331</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302 073</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305 429</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295 645</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vianočný príspevok</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56 430</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61 309</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 xml:space="preserve">podpora rodiny </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717 672</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765 43</w:t>
            </w:r>
            <w:r w:rsidRPr="007D174B">
              <w:rPr>
                <w:rFonts w:ascii="Arial Narrow" w:hAnsi="Arial Narrow" w:cs="Helv"/>
                <w:color w:val="000000"/>
                <w:sz w:val="20"/>
                <w:lang w:val="cs-CZ"/>
              </w:rPr>
              <w:t>9</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785 759</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865 353</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kompenzácie ŤZP</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192 295</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192 422</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193 526</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224 806</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starostlivosť o ohrozené  deti</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57 192</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63 408</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70 560</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73 819</w:t>
            </w:r>
          </w:p>
        </w:tc>
      </w:tr>
      <w:tr>
        <w:tblPrEx>
          <w:tblW w:w="4942" w:type="pct"/>
          <w:tblInd w:w="108" w:type="dxa"/>
        </w:tblPrEx>
        <w:trPr>
          <w:trHeight w:val="284"/>
        </w:trPr>
        <w:tc>
          <w:tcPr>
            <w:tcW w:w="2550"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rPr>
                <w:rFonts w:ascii="Arial Narrow" w:hAnsi="Arial Narrow" w:cs="Helv"/>
                <w:color w:val="000000"/>
                <w:sz w:val="20"/>
                <w:lang w:val="cs-CZ"/>
              </w:rPr>
            </w:pPr>
            <w:r w:rsidRPr="007D174B">
              <w:rPr>
                <w:rFonts w:ascii="Arial Narrow" w:hAnsi="Arial Narrow" w:cs="Helv"/>
                <w:color w:val="000000"/>
                <w:sz w:val="20"/>
                <w:lang w:val="cs-CZ"/>
              </w:rPr>
              <w:t>nesystémové dávky</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39 700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35 650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36 215</w:t>
            </w:r>
          </w:p>
        </w:tc>
        <w:tc>
          <w:tcPr>
            <w:tcW w:w="61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D174B" w:rsidP="00AE49BA">
            <w:pPr>
              <w:tabs>
                <w:tab w:val="left" w:pos="0"/>
                <w:tab w:val="left" w:pos="720"/>
                <w:tab w:val="left" w:pos="1440"/>
                <w:tab w:val="left" w:pos="2160"/>
                <w:tab w:val="left" w:pos="2880"/>
                <w:tab w:val="left" w:pos="3600"/>
                <w:tab w:val="left" w:pos="4320"/>
              </w:tabs>
              <w:spacing w:line="240" w:lineRule="atLeast"/>
              <w:jc w:val="right"/>
              <w:rPr>
                <w:rFonts w:ascii="Arial Narrow" w:hAnsi="Arial Narrow" w:cs="Helv"/>
                <w:color w:val="000000"/>
                <w:sz w:val="20"/>
                <w:lang w:val="cs-CZ"/>
              </w:rPr>
            </w:pPr>
            <w:r w:rsidRPr="007D174B">
              <w:rPr>
                <w:rFonts w:ascii="Arial Narrow" w:hAnsi="Arial Narrow" w:cs="Helv"/>
                <w:color w:val="000000"/>
                <w:sz w:val="20"/>
                <w:lang w:val="cs-CZ"/>
              </w:rPr>
              <w:t>36 215</w:t>
            </w:r>
          </w:p>
        </w:tc>
      </w:tr>
    </w:tbl>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u w:val="single"/>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 xml:space="preserve">V roku 2009 sa rozpočtuje na </w:t>
      </w:r>
      <w:r w:rsidRPr="007D174B">
        <w:rPr>
          <w:rFonts w:ascii="Arial Narrow" w:hAnsi="Arial Narrow" w:cs="Helv"/>
          <w:b/>
          <w:color w:val="000000"/>
          <w:sz w:val="22"/>
          <w:szCs w:val="22"/>
        </w:rPr>
        <w:t>pomoc v hmotnej núdzi</w:t>
      </w:r>
      <w:r w:rsidRPr="007D174B">
        <w:rPr>
          <w:rFonts w:ascii="Arial Narrow" w:hAnsi="Arial Narrow" w:cs="Helv"/>
          <w:color w:val="000000"/>
          <w:sz w:val="22"/>
          <w:szCs w:val="22"/>
        </w:rPr>
        <w:t xml:space="preserve"> suma  296 mil. eur.  V roku 2009 sa budú financovať doposiaľ uplatňované dávky, príspevky v hmotnej núdzi a dotačné programy pre deti z nízkopríjmových skupín. Rozpočtovaný objem výdavkov umožňuje celoplošnú valorizáciu vo výške inflácie. Funkciu preventívneho prvku na predchádzanie </w:t>
      </w:r>
      <w:r w:rsidRPr="007D174B">
        <w:rPr>
          <w:rFonts w:ascii="Arial Narrow" w:hAnsi="Arial Narrow" w:cs="Helv"/>
          <w:color w:val="000000"/>
          <w:sz w:val="22"/>
          <w:szCs w:val="22"/>
        </w:rPr>
        <w:t xml:space="preserve">stavu hmotnej núdze detí plní </w:t>
      </w:r>
      <w:r w:rsidRPr="007D174B">
        <w:rPr>
          <w:rFonts w:ascii="Arial Narrow" w:hAnsi="Arial Narrow" w:cs="Helv"/>
          <w:b/>
          <w:color w:val="000000"/>
          <w:sz w:val="22"/>
          <w:szCs w:val="22"/>
        </w:rPr>
        <w:t>náhradné výživné,</w:t>
      </w:r>
      <w:r w:rsidRPr="007D174B">
        <w:rPr>
          <w:rFonts w:ascii="Arial Narrow" w:hAnsi="Arial Narrow" w:cs="Helv"/>
          <w:color w:val="000000"/>
          <w:sz w:val="22"/>
          <w:szCs w:val="22"/>
        </w:rPr>
        <w:t xml:space="preserve"> ktoré je súčasťou štátnych sociálnych dávok. Rozpočtovaná  suma na rok 2009 v objeme 3,85 mil. eur je určená pre cca 6 150  detí na zabezpečenie výživy nezaopatreného dieťaťa. Za účelom zvýšenia podpory k prístupu ku vzdelávaniu a väčšej motivácie u detí z nízkopríjmových rodín sa s účinnosťou od 1.1. 2009 zavádza do systému pomoci v hmotnej núdzi </w:t>
      </w:r>
      <w:r w:rsidRPr="007D174B">
        <w:rPr>
          <w:rFonts w:ascii="Arial Narrow" w:hAnsi="Arial Narrow" w:cs="Helv"/>
          <w:b/>
          <w:color w:val="000000"/>
          <w:sz w:val="22"/>
          <w:szCs w:val="22"/>
        </w:rPr>
        <w:t xml:space="preserve">nová dávka pre dieťa v hmotnej  núdzi, </w:t>
      </w:r>
      <w:r w:rsidRPr="007D174B">
        <w:rPr>
          <w:rFonts w:ascii="Arial Narrow" w:hAnsi="Arial Narrow" w:cs="Helv"/>
          <w:color w:val="000000"/>
          <w:sz w:val="22"/>
          <w:szCs w:val="22"/>
        </w:rPr>
        <w:t xml:space="preserve">ktoré si plní povinnú školskú dochádzku. Predpokladá sa, že sumou 11,4 mil. eur  sa podporí cca 61 500 detí v hmotnej núdzi.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 xml:space="preserve">Obdobne ako v roku 2008 sa na zmiernenie nepriaznivej sociálnej situácie poberateľov dôchodkových dávok rozpočtuje v roku 2009 </w:t>
      </w:r>
      <w:r w:rsidRPr="007D174B">
        <w:rPr>
          <w:rFonts w:ascii="Arial Narrow" w:hAnsi="Arial Narrow" w:cs="Helv"/>
          <w:b/>
          <w:color w:val="000000"/>
          <w:sz w:val="22"/>
          <w:szCs w:val="22"/>
        </w:rPr>
        <w:t xml:space="preserve">vianočný príspevok </w:t>
      </w:r>
      <w:r w:rsidRPr="007D174B">
        <w:rPr>
          <w:rFonts w:ascii="Arial Narrow" w:hAnsi="Arial Narrow" w:cs="Helv"/>
          <w:color w:val="000000"/>
          <w:sz w:val="22"/>
          <w:szCs w:val="22"/>
        </w:rPr>
        <w:t xml:space="preserve">vo výške 61,3 mil. eur. V uvedenej sume je zohľadnené rozšírenie okruhu poberateľov o cca 79 tisíc osôb, ktoré poberajú sólo sirotský, vdovský a vdovecký dôchodok.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AE49BA"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Arial Narrow"/>
          <w:color w:val="000000"/>
          <w:sz w:val="22"/>
          <w:szCs w:val="22"/>
          <w:lang w:eastAsia="sk-SK"/>
        </w:rPr>
      </w:pPr>
      <w:r w:rsidRPr="007D174B">
        <w:rPr>
          <w:rFonts w:ascii="Arial Narrow" w:hAnsi="Arial Narrow" w:cs="Helv"/>
          <w:b/>
          <w:color w:val="000000"/>
          <w:sz w:val="22"/>
          <w:szCs w:val="22"/>
        </w:rPr>
        <w:tab/>
        <w:t>Na podporu rodiny</w:t>
      </w:r>
      <w:r w:rsidRPr="007D174B">
        <w:rPr>
          <w:rFonts w:ascii="Arial Narrow" w:hAnsi="Arial Narrow" w:cs="Helv"/>
          <w:color w:val="000000"/>
          <w:sz w:val="22"/>
          <w:szCs w:val="22"/>
        </w:rPr>
        <w:t xml:space="preserve"> sa v roku 2009 rozpočtuje</w:t>
      </w:r>
      <w:r w:rsidRPr="007D174B">
        <w:rPr>
          <w:rFonts w:ascii="Arial Narrow" w:hAnsi="Arial Narrow" w:cs="Helv"/>
          <w:b/>
          <w:color w:val="000000"/>
          <w:sz w:val="22"/>
          <w:szCs w:val="22"/>
        </w:rPr>
        <w:t xml:space="preserve"> </w:t>
      </w:r>
      <w:r w:rsidRPr="007D174B">
        <w:rPr>
          <w:rFonts w:ascii="Arial Narrow" w:hAnsi="Arial Narrow" w:cs="Helv"/>
          <w:color w:val="000000"/>
          <w:sz w:val="22"/>
          <w:szCs w:val="22"/>
        </w:rPr>
        <w:t xml:space="preserve">865 mil. eur, čo v porovnaní s rokom 2008 predstavuje </w:t>
      </w:r>
      <w:r w:rsidRPr="007D174B">
        <w:rPr>
          <w:rFonts w:ascii="Arial Narrow" w:hAnsi="Arial Narrow" w:cs="Helv"/>
          <w:b/>
          <w:color w:val="000000"/>
          <w:sz w:val="22"/>
          <w:szCs w:val="22"/>
        </w:rPr>
        <w:t>nárast o 10 %</w:t>
      </w:r>
      <w:r w:rsidRPr="007D174B">
        <w:rPr>
          <w:rFonts w:ascii="Arial Narrow" w:hAnsi="Arial Narrow" w:cs="Helv"/>
          <w:color w:val="000000"/>
          <w:sz w:val="22"/>
          <w:szCs w:val="22"/>
        </w:rPr>
        <w:t xml:space="preserve">. Rozpočtovaný objem na rok 2009 </w:t>
      </w:r>
      <w:r w:rsidRPr="007D174B">
        <w:rPr>
          <w:rFonts w:ascii="Arial Narrow" w:hAnsi="Arial Narrow" w:cs="Helv"/>
          <w:b/>
          <w:color w:val="000000"/>
          <w:sz w:val="22"/>
          <w:szCs w:val="22"/>
        </w:rPr>
        <w:t>v porovnaní so schváleným rozpočtom na rok 2006 rastie o 21 %</w:t>
      </w:r>
      <w:r w:rsidRPr="007D174B">
        <w:rPr>
          <w:rFonts w:ascii="Arial Narrow" w:hAnsi="Arial Narrow" w:cs="Helv"/>
          <w:color w:val="000000"/>
          <w:sz w:val="22"/>
          <w:szCs w:val="22"/>
        </w:rPr>
        <w:t>. Návrh rozpočtu zabezpečuje celoplošnú valorizáciu vo výške prognózovanej inflácie. V rozpočte sú zachované všetky doteraz uplatňované jednorazové a opakované štátne sociálne dávky a ďalšie nástroje na aktívnu podporu rodiny. S účinnosťou od 1. 1. 2009 sa rozširuje</w:t>
      </w:r>
      <w:r w:rsidRPr="007D174B">
        <w:rPr>
          <w:rFonts w:ascii="Arial Narrow" w:hAnsi="Arial Narrow" w:cs="Helv"/>
          <w:b/>
          <w:color w:val="000000"/>
          <w:sz w:val="22"/>
          <w:szCs w:val="22"/>
        </w:rPr>
        <w:t xml:space="preserve"> štátna podpora pri narodení dieťaťa</w:t>
      </w:r>
      <w:r w:rsidRPr="007D174B">
        <w:rPr>
          <w:rFonts w:ascii="Arial Narrow" w:hAnsi="Arial Narrow" w:cs="Helv"/>
          <w:color w:val="000000"/>
          <w:sz w:val="22"/>
          <w:szCs w:val="22"/>
        </w:rPr>
        <w:t xml:space="preserve"> aj na druhé a tretie dieťa  vo výške 679 eur. Na rok 2009 sú rozpočtované zdroje v objeme 16,4 mil. eur a predpokladá sa, že týmto nástrojom sa podporí cca 18 000 druhorodených a cca 6 200 treťorodených detí. Medzi ďalšie nástroje podpory rodiny patrí </w:t>
      </w:r>
      <w:r w:rsidRPr="007D174B">
        <w:rPr>
          <w:rFonts w:ascii="Arial Narrow" w:hAnsi="Arial Narrow" w:cs="Helv"/>
          <w:b/>
          <w:color w:val="000000"/>
          <w:sz w:val="22"/>
          <w:szCs w:val="22"/>
        </w:rPr>
        <w:t>príspevok na starostlivosť o dieťa</w:t>
      </w:r>
      <w:r w:rsidRPr="007D174B">
        <w:rPr>
          <w:rFonts w:ascii="Arial Narrow" w:hAnsi="Arial Narrow" w:cs="Helv"/>
          <w:color w:val="000000"/>
          <w:sz w:val="22"/>
          <w:szCs w:val="22"/>
        </w:rPr>
        <w:t xml:space="preserve">, ktorým sa vytvárajú podmienky na zosúladenie rodinného  a pracovného života  zabezpečením starostlivosti o dieťa v čase výkonu zárobkovej činnosti rodičov. Predpokladá sa, že sumou 4,58 mil. eur štát podporí mesačne </w:t>
      </w:r>
      <w:r w:rsidRPr="007D174B">
        <w:rPr>
          <w:rFonts w:ascii="Arial Narrow" w:hAnsi="Arial Narrow" w:cs="Helv"/>
          <w:sz w:val="22"/>
          <w:szCs w:val="22"/>
        </w:rPr>
        <w:t>11 600 detí.</w:t>
      </w:r>
      <w:r w:rsidRPr="007D174B">
        <w:rPr>
          <w:rFonts w:ascii="Arial" w:hAnsi="Arial" w:cs="Arial"/>
          <w:sz w:val="18"/>
          <w:szCs w:val="18"/>
        </w:rPr>
        <w:t xml:space="preserve"> </w:t>
      </w:r>
      <w:r w:rsidRPr="007D174B">
        <w:rPr>
          <w:rFonts w:ascii="Arial Narrow" w:hAnsi="Arial Narrow" w:cs="Helv"/>
          <w:color w:val="000000"/>
          <w:sz w:val="22"/>
          <w:szCs w:val="22"/>
        </w:rPr>
        <w:t xml:space="preserve">Aj v roku 2009 sú rozpočtované zdroje na </w:t>
      </w:r>
      <w:r w:rsidRPr="007D174B">
        <w:rPr>
          <w:rFonts w:ascii="Arial Narrow" w:hAnsi="Arial Narrow" w:cs="Helv"/>
          <w:b/>
          <w:color w:val="000000"/>
          <w:sz w:val="22"/>
          <w:szCs w:val="22"/>
        </w:rPr>
        <w:t xml:space="preserve">prídavok na dieťa. </w:t>
      </w:r>
      <w:r w:rsidRPr="007D174B">
        <w:rPr>
          <w:rFonts w:ascii="Arial Narrow" w:hAnsi="Arial Narrow" w:cs="Helv"/>
          <w:color w:val="000000"/>
          <w:sz w:val="22"/>
          <w:szCs w:val="22"/>
        </w:rPr>
        <w:t>Alokované zdroje v sume</w:t>
      </w:r>
      <w:r w:rsidRPr="007D174B">
        <w:rPr>
          <w:rFonts w:ascii="Arial Narrow" w:hAnsi="Arial Narrow" w:cs="Helv"/>
          <w:b/>
          <w:color w:val="000000"/>
          <w:sz w:val="22"/>
          <w:szCs w:val="22"/>
        </w:rPr>
        <w:t xml:space="preserve"> </w:t>
      </w:r>
      <w:r w:rsidRPr="007D174B">
        <w:rPr>
          <w:rFonts w:ascii="Arial Narrow" w:hAnsi="Arial Narrow" w:cs="Helv"/>
          <w:color w:val="000000"/>
          <w:sz w:val="22"/>
          <w:szCs w:val="22"/>
        </w:rPr>
        <w:t xml:space="preserve">319 mil. eur umožňujú medziročné zvýšenie tejto sociálnej dávky o 3,32 eur, čo pri predpokladanom počte cca 1 250 000 nezaopatrených detí znamená zvýšenie zdrojov o 49,8 mil. eur. </w:t>
      </w:r>
      <w:r>
        <w:rPr>
          <w:rFonts w:ascii="Arial Narrow" w:hAnsi="Arial Narrow" w:cs="Arial Narrow"/>
          <w:color w:val="000000"/>
          <w:sz w:val="22"/>
          <w:szCs w:val="22"/>
          <w:lang w:eastAsia="sk-SK"/>
        </w:rPr>
        <w:t>V rámci podpory rodiny  sa na</w:t>
      </w:r>
      <w:r>
        <w:rPr>
          <w:rFonts w:ascii="Arial Narrow" w:hAnsi="Arial Narrow" w:cs="Arial Narrow"/>
          <w:b/>
          <w:bCs/>
          <w:color w:val="000000"/>
          <w:sz w:val="22"/>
          <w:szCs w:val="22"/>
          <w:lang w:eastAsia="sk-SK"/>
        </w:rPr>
        <w:t xml:space="preserve">  štátom platené poistné </w:t>
      </w:r>
      <w:r>
        <w:rPr>
          <w:rFonts w:ascii="Arial Narrow" w:hAnsi="Arial Narrow" w:cs="Arial Narrow"/>
          <w:color w:val="000000"/>
          <w:sz w:val="22"/>
          <w:szCs w:val="22"/>
          <w:lang w:eastAsia="sk-SK"/>
        </w:rPr>
        <w:t>za osoby starajúce  sa o dieťa rozpočtuje 231 mil. eur, čo v porovnaní s rokom 2006 predstavuje nárast o</w:t>
      </w:r>
      <w:r w:rsidR="008C037E">
        <w:rPr>
          <w:rFonts w:ascii="Arial Narrow" w:hAnsi="Arial Narrow" w:cs="Arial Narrow"/>
          <w:color w:val="000000"/>
          <w:sz w:val="22"/>
          <w:szCs w:val="22"/>
          <w:lang w:eastAsia="sk-SK"/>
        </w:rPr>
        <w:t> </w:t>
      </w:r>
      <w:r>
        <w:rPr>
          <w:rFonts w:ascii="Arial Narrow" w:hAnsi="Arial Narrow" w:cs="Arial Narrow"/>
          <w:color w:val="000000"/>
          <w:sz w:val="22"/>
          <w:szCs w:val="22"/>
          <w:lang w:eastAsia="sk-SK"/>
        </w:rPr>
        <w:t>51</w:t>
      </w:r>
      <w:r w:rsidR="008C037E">
        <w:rPr>
          <w:rFonts w:ascii="Arial Narrow" w:hAnsi="Arial Narrow" w:cs="Arial Narrow"/>
          <w:color w:val="000000"/>
          <w:sz w:val="22"/>
          <w:szCs w:val="22"/>
          <w:lang w:eastAsia="sk-SK"/>
        </w:rPr>
        <w:t xml:space="preserve"> </w:t>
      </w:r>
      <w:r>
        <w:rPr>
          <w:rFonts w:ascii="Arial Narrow" w:hAnsi="Arial Narrow" w:cs="Arial Narrow"/>
          <w:color w:val="000000"/>
          <w:sz w:val="22"/>
          <w:szCs w:val="22"/>
          <w:lang w:eastAsia="sk-SK"/>
        </w:rPr>
        <w:t>%. Uvedená  suma zohľadňuje medziročný rast počtu poistencov, zvýšenie vymeriavacieho základu ako aj  rozšírenie okruhu poistencov  štátu v súlade s novelou zákona č. 461/2004  Z.z. o sociálnom poistení.</w:t>
      </w:r>
    </w:p>
    <w:p w:rsidR="00AE49BA" w:rsidRPr="00111ADF" w:rsidP="00AE49BA">
      <w:pPr>
        <w:autoSpaceDE/>
        <w:autoSpaceDN/>
        <w:spacing w:line="240" w:lineRule="atLeast"/>
        <w:ind w:left="23"/>
        <w:rPr>
          <w:rFonts w:ascii="Arial Narrow" w:hAnsi="Arial Narrow" w:cs="Times New Roman"/>
          <w:sz w:val="22"/>
          <w:szCs w:val="22"/>
          <w:lang w:eastAsia="sk-SK"/>
        </w:rPr>
      </w:pPr>
    </w:p>
    <w:tbl>
      <w:tblPr>
        <w:tblW w:w="91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40" w:type="dxa"/>
          <w:bottom w:w="0" w:type="dxa"/>
          <w:right w:w="40" w:type="dxa"/>
        </w:tblCellMar>
      </w:tblPr>
      <w:tblGrid>
        <w:gridCol w:w="4680"/>
        <w:gridCol w:w="1116"/>
        <w:gridCol w:w="1116"/>
        <w:gridCol w:w="1116"/>
        <w:gridCol w:w="1116"/>
      </w:tblGrid>
      <w:tr>
        <w:tblPrEx>
          <w:tblW w:w="91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40" w:type="dxa"/>
            <w:bottom w:w="0" w:type="dxa"/>
            <w:right w:w="4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7D174B" w:rsidP="00AE49BA">
            <w:pPr>
              <w:jc w:val="both"/>
              <w:rPr>
                <w:rFonts w:ascii="Arial Narrow" w:hAnsi="Arial Narrow" w:cs="Arial"/>
                <w:color w:val="FFFFFF"/>
                <w:sz w:val="20"/>
                <w:lang w:val="cs-CZ"/>
              </w:rPr>
            </w:pPr>
            <w:r w:rsidRPr="007D174B">
              <w:rPr>
                <w:rFonts w:ascii="Arial Narrow" w:hAnsi="Arial Narrow" w:cs="Arial"/>
                <w:color w:val="FFFFFF"/>
                <w:sz w:val="20"/>
                <w:lang w:val="cs-CZ"/>
              </w:rPr>
              <w:t> </w:t>
            </w:r>
            <w:r w:rsidRPr="007D174B">
              <w:rPr>
                <w:rFonts w:ascii="Arial Narrow" w:hAnsi="Arial Narrow" w:cs="Arial"/>
                <w:b/>
                <w:color w:val="FFFFFF"/>
                <w:sz w:val="20"/>
                <w:lang w:val="cs-CZ"/>
              </w:rPr>
              <w:t>(v tis. eur)</w:t>
            </w:r>
          </w:p>
        </w:tc>
        <w:tc>
          <w:tcPr>
            <w:tcW w:w="1116"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center"/>
              <w:rPr>
                <w:rFonts w:ascii="Arial Narrow" w:hAnsi="Arial Narrow" w:cs="Arial"/>
                <w:b/>
                <w:color w:val="FFFFFF"/>
                <w:sz w:val="20"/>
                <w:lang w:eastAsia="sk-SK"/>
              </w:rPr>
            </w:pPr>
            <w:r w:rsidRPr="00111ADF">
              <w:rPr>
                <w:rFonts w:ascii="Arial Narrow" w:hAnsi="Arial Narrow" w:cs="Arial"/>
                <w:b/>
                <w:color w:val="FFFFFF"/>
                <w:sz w:val="20"/>
                <w:lang w:eastAsia="sk-SK"/>
              </w:rPr>
              <w:t>2008</w:t>
            </w:r>
          </w:p>
        </w:tc>
        <w:tc>
          <w:tcPr>
            <w:tcW w:w="1116"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center"/>
              <w:rPr>
                <w:rFonts w:ascii="Arial Narrow" w:hAnsi="Arial Narrow" w:cs="Arial"/>
                <w:b/>
                <w:color w:val="FFFFFF"/>
                <w:sz w:val="20"/>
                <w:lang w:eastAsia="sk-SK"/>
              </w:rPr>
            </w:pPr>
            <w:r w:rsidRPr="00111ADF">
              <w:rPr>
                <w:rFonts w:ascii="Arial Narrow" w:hAnsi="Arial Narrow" w:cs="Arial"/>
                <w:b/>
                <w:color w:val="FFFFFF"/>
                <w:sz w:val="20"/>
                <w:lang w:eastAsia="sk-SK"/>
              </w:rPr>
              <w:t>2009</w:t>
            </w:r>
          </w:p>
        </w:tc>
        <w:tc>
          <w:tcPr>
            <w:tcW w:w="1116"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center"/>
              <w:rPr>
                <w:rFonts w:ascii="Arial Narrow" w:hAnsi="Arial Narrow" w:cs="Arial"/>
                <w:b/>
                <w:color w:val="FFFFFF"/>
                <w:sz w:val="20"/>
                <w:lang w:eastAsia="sk-SK"/>
              </w:rPr>
            </w:pPr>
            <w:r w:rsidRPr="00111ADF">
              <w:rPr>
                <w:rFonts w:ascii="Arial Narrow" w:hAnsi="Arial Narrow" w:cs="Arial"/>
                <w:b/>
                <w:color w:val="FFFFFF"/>
                <w:sz w:val="20"/>
                <w:lang w:eastAsia="sk-SK"/>
              </w:rPr>
              <w:t>2010</w:t>
            </w:r>
          </w:p>
        </w:tc>
        <w:tc>
          <w:tcPr>
            <w:tcW w:w="1116"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AE49BA" w:rsidRPr="00111ADF" w:rsidP="00AE49BA">
            <w:pPr>
              <w:autoSpaceDE/>
              <w:autoSpaceDN/>
              <w:jc w:val="center"/>
              <w:rPr>
                <w:rFonts w:ascii="Arial Narrow" w:hAnsi="Arial Narrow" w:cs="Arial"/>
                <w:b/>
                <w:color w:val="FFFFFF"/>
                <w:sz w:val="20"/>
                <w:lang w:eastAsia="sk-SK"/>
              </w:rPr>
            </w:pPr>
            <w:r w:rsidRPr="00111ADF">
              <w:rPr>
                <w:rFonts w:ascii="Arial Narrow" w:hAnsi="Arial Narrow" w:cs="Arial"/>
                <w:b/>
                <w:color w:val="FFFFFF"/>
                <w:sz w:val="20"/>
                <w:lang w:eastAsia="sk-SK"/>
              </w:rPr>
              <w:t>2011</w:t>
            </w:r>
          </w:p>
        </w:tc>
      </w:tr>
      <w:tr>
        <w:tblPrEx>
          <w:tblW w:w="9144" w:type="dxa"/>
          <w:tblInd w:w="40" w:type="dxa"/>
          <w:tblLayout w:type="fixed"/>
          <w:tblCellMar>
            <w:top w:w="0" w:type="dxa"/>
            <w:left w:w="40" w:type="dxa"/>
            <w:bottom w:w="0" w:type="dxa"/>
            <w:right w:w="4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rPr>
                <w:rFonts w:ascii="Arial Narrow" w:hAnsi="Arial Narrow" w:cs="Arial"/>
                <w:color w:val="000000"/>
                <w:sz w:val="20"/>
                <w:lang w:eastAsia="sk-SK"/>
              </w:rPr>
            </w:pPr>
            <w:r w:rsidRPr="00111ADF">
              <w:rPr>
                <w:rFonts w:ascii="Arial Narrow" w:hAnsi="Arial Narrow" w:cs="Arial"/>
                <w:color w:val="000000"/>
                <w:sz w:val="20"/>
                <w:lang w:eastAsia="sk-SK"/>
              </w:rPr>
              <w:t>poistné  platené štátom</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211 586</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231 212</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245 826</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266 116</w:t>
            </w:r>
          </w:p>
        </w:tc>
      </w:tr>
      <w:tr>
        <w:tblPrEx>
          <w:tblW w:w="9144" w:type="dxa"/>
          <w:tblInd w:w="40" w:type="dxa"/>
          <w:tblLayout w:type="fixed"/>
          <w:tblCellMar>
            <w:top w:w="0" w:type="dxa"/>
            <w:left w:w="40" w:type="dxa"/>
            <w:bottom w:w="0" w:type="dxa"/>
            <w:right w:w="4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rPr>
                <w:rFonts w:ascii="Arial Narrow" w:hAnsi="Arial Narrow" w:cs="Arial"/>
                <w:color w:val="000000"/>
                <w:sz w:val="20"/>
                <w:lang w:eastAsia="sk-SK"/>
              </w:rPr>
            </w:pPr>
            <w:r w:rsidRPr="00111ADF">
              <w:rPr>
                <w:rFonts w:ascii="Arial Narrow" w:hAnsi="Arial Narrow" w:cs="Arial"/>
                <w:color w:val="000000"/>
                <w:sz w:val="20"/>
                <w:lang w:eastAsia="sk-SK"/>
              </w:rPr>
              <w:t>počet poistencov (počet osôb)</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176 872</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180 463</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188 084</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190 324</w:t>
            </w:r>
          </w:p>
        </w:tc>
      </w:tr>
      <w:tr>
        <w:tblPrEx>
          <w:tblW w:w="9144" w:type="dxa"/>
          <w:tblInd w:w="40" w:type="dxa"/>
          <w:tblLayout w:type="fixed"/>
          <w:tblCellMar>
            <w:top w:w="0" w:type="dxa"/>
            <w:left w:w="40" w:type="dxa"/>
            <w:bottom w:w="0" w:type="dxa"/>
            <w:right w:w="4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rPr>
                <w:rFonts w:ascii="Arial Narrow" w:hAnsi="Arial Narrow" w:cs="Arial"/>
                <w:color w:val="000000"/>
                <w:sz w:val="20"/>
                <w:lang w:eastAsia="sk-SK"/>
              </w:rPr>
            </w:pPr>
            <w:r w:rsidRPr="00111ADF">
              <w:rPr>
                <w:rFonts w:ascii="Arial Narrow" w:hAnsi="Arial Narrow" w:cs="Arial"/>
                <w:color w:val="000000"/>
                <w:sz w:val="20"/>
                <w:lang w:eastAsia="sk-SK"/>
              </w:rPr>
              <w:t xml:space="preserve">medziročná  zmena počtu poistencov v % </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2,6</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tabs>
                <w:tab w:val="left" w:pos="0"/>
                <w:tab w:val="left" w:pos="720"/>
                <w:tab w:val="left" w:pos="1440"/>
                <w:tab w:val="left" w:pos="2160"/>
                <w:tab w:val="left" w:pos="2880"/>
                <w:tab w:val="left" w:pos="3600"/>
                <w:tab w:val="left" w:pos="4320"/>
              </w:tabs>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4,2</w:t>
            </w:r>
          </w:p>
        </w:tc>
        <w:tc>
          <w:tcPr>
            <w:tcW w:w="11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111ADF" w:rsidP="00AE49BA">
            <w:pPr>
              <w:autoSpaceDE/>
              <w:autoSpaceDN/>
              <w:jc w:val="right"/>
              <w:rPr>
                <w:rFonts w:ascii="Arial Narrow" w:hAnsi="Arial Narrow" w:cs="Arial"/>
                <w:color w:val="000000"/>
                <w:sz w:val="20"/>
                <w:lang w:eastAsia="sk-SK"/>
              </w:rPr>
            </w:pPr>
            <w:r w:rsidRPr="00111ADF">
              <w:rPr>
                <w:rFonts w:ascii="Arial Narrow" w:hAnsi="Arial Narrow" w:cs="Arial"/>
                <w:color w:val="000000"/>
                <w:sz w:val="20"/>
                <w:lang w:eastAsia="sk-SK"/>
              </w:rPr>
              <w:t>2,0</w:t>
            </w:r>
          </w:p>
        </w:tc>
      </w:tr>
    </w:tbl>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 xml:space="preserve">Ďalším nástrojom štátnej podpory rodiny je </w:t>
      </w:r>
      <w:r w:rsidRPr="007D174B">
        <w:rPr>
          <w:rFonts w:ascii="Arial Narrow" w:hAnsi="Arial Narrow" w:cs="Helv"/>
          <w:b/>
          <w:color w:val="000000"/>
          <w:sz w:val="22"/>
          <w:szCs w:val="22"/>
        </w:rPr>
        <w:t>daňový bonus</w:t>
      </w:r>
      <w:r w:rsidRPr="007D174B">
        <w:rPr>
          <w:rFonts w:ascii="Arial Narrow" w:hAnsi="Arial Narrow" w:cs="Helv"/>
          <w:color w:val="000000"/>
          <w:sz w:val="22"/>
          <w:szCs w:val="22"/>
        </w:rPr>
        <w:t xml:space="preserve"> pre rodičov s nezaopatrenými deťmi, ktorí si na príjem  zo zárobkovej činnosti môžu uplatniť daňové zvýhodnenie mesačne v objeme 19,75 eur na každé dieťa.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S účinnosťou od 1. 1. 2009 sa zásadným spôsobom mení doterajší</w:t>
      </w:r>
      <w:r w:rsidRPr="007D174B">
        <w:rPr>
          <w:rFonts w:ascii="Arial Narrow" w:hAnsi="Arial Narrow" w:cs="Helv"/>
          <w:b/>
          <w:color w:val="000000"/>
          <w:sz w:val="22"/>
          <w:szCs w:val="22"/>
        </w:rPr>
        <w:t xml:space="preserve"> systém kompenzácií ťažko zdravotne postihnutých.</w:t>
      </w:r>
      <w:r w:rsidRPr="007D174B">
        <w:rPr>
          <w:rFonts w:ascii="Arial Narrow" w:hAnsi="Arial Narrow" w:cs="Helv"/>
          <w:color w:val="000000"/>
          <w:sz w:val="22"/>
          <w:szCs w:val="22"/>
        </w:rPr>
        <w:t xml:space="preserve"> V súlade so zákonom o peňažných príspevkoch na kompenzáciu ťažkého zdravotného postihnutia sa navrhuje zavedenie nových druhov kompenzácii a odľahčovacích služieb. Nová legislatívna úprava vytvára podmienky pre čo najdlhšie zotrvanie občanov so zdravotným postihnutím v rodinnom prostredí a súčasne zlepšuje finančnú situáciu ich opatrovateľov. Na rok 2009 sú rozpočtované zdroje vo výške 225 mil. eur, čo </w:t>
      </w:r>
      <w:r w:rsidRPr="007D174B">
        <w:rPr>
          <w:rFonts w:ascii="Arial Narrow" w:hAnsi="Arial Narrow" w:cs="Helv"/>
          <w:b/>
          <w:color w:val="000000"/>
          <w:sz w:val="22"/>
          <w:szCs w:val="22"/>
        </w:rPr>
        <w:t>v porovnaní s rokom 2008 predstavuje nárast  o 16 %  a oproti  roku 2006  o 17 %</w:t>
      </w:r>
      <w:r w:rsidRPr="007D174B">
        <w:rPr>
          <w:rFonts w:ascii="Arial Narrow" w:hAnsi="Arial Narrow" w:cs="Helv"/>
          <w:color w:val="000000"/>
          <w:sz w:val="22"/>
          <w:szCs w:val="22"/>
        </w:rPr>
        <w:t>.</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r w:rsidRPr="007D174B">
        <w:rPr>
          <w:rFonts w:ascii="Arial Narrow" w:hAnsi="Arial Narrow" w:cs="Helv"/>
          <w:color w:val="000000"/>
          <w:sz w:val="22"/>
          <w:szCs w:val="22"/>
        </w:rPr>
        <w:tab/>
        <w:t xml:space="preserve">V rámci </w:t>
      </w:r>
      <w:r w:rsidRPr="007D174B">
        <w:rPr>
          <w:rFonts w:ascii="Arial Narrow" w:hAnsi="Arial Narrow" w:cs="Helv"/>
          <w:b/>
          <w:color w:val="000000"/>
          <w:sz w:val="22"/>
          <w:szCs w:val="22"/>
        </w:rPr>
        <w:t>starostlivosti o ohrozené deti</w:t>
      </w:r>
      <w:r w:rsidRPr="007D174B">
        <w:rPr>
          <w:rFonts w:ascii="Arial Narrow" w:hAnsi="Arial Narrow" w:cs="Helv"/>
          <w:color w:val="000000"/>
          <w:sz w:val="22"/>
          <w:szCs w:val="22"/>
        </w:rPr>
        <w:t xml:space="preserve"> sa rozpočtujú zdroje na financovanie ústavnej starostlivosti v štátnych a neštátnych detských domovoch pre cca 6 200 detí a výdavky na opatrenia sociálnoprávnej ochrany detí s cieľom obmedziť alebo odstrániť negatívne vplyvy v problémových rodinách. Objem výdavkov na rok 2009 v sume 73,8 mil. eur  </w:t>
      </w:r>
      <w:r w:rsidRPr="007D174B">
        <w:rPr>
          <w:rFonts w:ascii="Arial Narrow" w:hAnsi="Arial Narrow" w:cs="Helv"/>
          <w:b/>
          <w:color w:val="000000"/>
          <w:sz w:val="22"/>
          <w:szCs w:val="22"/>
        </w:rPr>
        <w:t>v porovnaní s rokom  2008  rastie o 5 % a oproti roku 2006 o 29 %</w:t>
      </w:r>
      <w:r w:rsidRPr="007D174B">
        <w:rPr>
          <w:rFonts w:ascii="Arial Narrow" w:hAnsi="Arial Narrow" w:cs="Helv"/>
          <w:color w:val="000000"/>
          <w:sz w:val="22"/>
          <w:szCs w:val="22"/>
        </w:rPr>
        <w:t>.</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b/>
          <w:color w:val="000000"/>
          <w:sz w:val="22"/>
          <w:szCs w:val="22"/>
        </w:rPr>
        <w:tab/>
        <w:t xml:space="preserve">Nesystémové dávky </w:t>
      </w:r>
      <w:r w:rsidRPr="007D174B">
        <w:rPr>
          <w:rFonts w:ascii="Arial Narrow" w:hAnsi="Arial Narrow" w:cs="Helv"/>
          <w:color w:val="000000"/>
          <w:sz w:val="22"/>
          <w:szCs w:val="22"/>
        </w:rPr>
        <w:t>sociálneho poistenia sú na rok 2009 rozpočtované v objeme 36,2 mil. eur a zohľadňujú prirodzený úbytok poberateľov a valorizáciu vybraných dávok v súlade so súčasne platným mechanizmom.</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b/>
          <w:color w:val="000000"/>
          <w:sz w:val="22"/>
          <w:szCs w:val="22"/>
        </w:rPr>
      </w:pPr>
      <w:r w:rsidRPr="007D174B">
        <w:rPr>
          <w:rFonts w:ascii="Arial Narrow" w:hAnsi="Arial Narrow" w:cs="Helv"/>
          <w:b/>
          <w:color w:val="000000"/>
          <w:sz w:val="22"/>
          <w:szCs w:val="22"/>
        </w:rPr>
        <w:t>Politika zamestnanosti</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V rozpočte na rok 2009 je na</w:t>
      </w:r>
      <w:r w:rsidRPr="007D174B">
        <w:rPr>
          <w:rFonts w:ascii="Arial Narrow" w:hAnsi="Arial Narrow" w:cs="Helv"/>
          <w:b/>
          <w:color w:val="000000"/>
          <w:sz w:val="22"/>
          <w:szCs w:val="22"/>
        </w:rPr>
        <w:t xml:space="preserve"> aktívnu politiku trhu práce </w:t>
      </w:r>
      <w:r w:rsidRPr="007D174B">
        <w:rPr>
          <w:rFonts w:ascii="Arial Narrow" w:hAnsi="Arial Narrow" w:cs="Helv"/>
          <w:color w:val="000000"/>
          <w:sz w:val="22"/>
          <w:szCs w:val="22"/>
        </w:rPr>
        <w:t xml:space="preserve">rozpočtovaná suma 141 mil. eur. Objem disponibilných prostriedkov je ovplyvnený podmienkami a možnosťami Operačného programu Zamestnanosť a sociálna inklúzia v novom programovom  období 2007-2013. V roku 2009  sú po prvýkrát alokované zdroje Európskeho sociálneho fondu do programu Sociálna inklúzia, v dôsledku čoho dochádza k medziročnému poklesu výdavkov v oblasti politík zamestnanosti. Rozpočtovaný objem výdavkov na roky 2009 až 2011 zohľadňuje predpokladaný pozitívny vývoj v miere nezamestnanosti. Zdroje </w:t>
      </w:r>
      <w:r w:rsidRPr="007D174B">
        <w:rPr>
          <w:rFonts w:ascii="Arial Narrow" w:hAnsi="Arial Narrow" w:cs="Helv"/>
          <w:b/>
          <w:color w:val="000000"/>
          <w:sz w:val="22"/>
          <w:szCs w:val="22"/>
        </w:rPr>
        <w:t>Európskeho sociálneho fondu vrátane spolufinancovania zo štátneho rozpočtu</w:t>
      </w:r>
      <w:r w:rsidRPr="007D174B">
        <w:rPr>
          <w:rFonts w:ascii="Arial Narrow" w:hAnsi="Arial Narrow" w:cs="Helv"/>
          <w:color w:val="000000"/>
          <w:sz w:val="22"/>
          <w:szCs w:val="22"/>
        </w:rPr>
        <w:t xml:space="preserve"> sa na rok 2009 rozpočtujú vo výške 109 mil. eur.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Aj v roku</w:t>
      </w:r>
      <w:r w:rsidRPr="007D174B">
        <w:rPr>
          <w:rFonts w:ascii="Arial Narrow" w:hAnsi="Arial Narrow" w:cs="Helv"/>
          <w:b/>
          <w:color w:val="000000"/>
          <w:sz w:val="22"/>
          <w:szCs w:val="22"/>
        </w:rPr>
        <w:t xml:space="preserve"> </w:t>
      </w:r>
      <w:r w:rsidRPr="007D174B">
        <w:rPr>
          <w:rFonts w:ascii="Arial Narrow" w:hAnsi="Arial Narrow" w:cs="Helv"/>
          <w:color w:val="000000"/>
          <w:sz w:val="22"/>
          <w:szCs w:val="22"/>
        </w:rPr>
        <w:t>2009 sa v súlade so zákonom o službách zamestnanosti budú realizovať</w:t>
      </w:r>
      <w:r w:rsidRPr="007D174B">
        <w:rPr>
          <w:rFonts w:ascii="Arial Narrow" w:hAnsi="Arial Narrow" w:cs="Helv"/>
          <w:b/>
          <w:color w:val="000000"/>
          <w:sz w:val="22"/>
          <w:szCs w:val="22"/>
        </w:rPr>
        <w:t xml:space="preserve"> národné projekty </w:t>
      </w:r>
      <w:r w:rsidRPr="007D174B">
        <w:rPr>
          <w:rFonts w:ascii="Arial Narrow" w:hAnsi="Arial Narrow" w:cs="Helv"/>
          <w:color w:val="000000"/>
          <w:sz w:val="22"/>
          <w:szCs w:val="22"/>
        </w:rPr>
        <w:t>prioritne</w:t>
      </w:r>
      <w:r w:rsidRPr="007D174B">
        <w:rPr>
          <w:rFonts w:ascii="Arial Narrow" w:hAnsi="Arial Narrow" w:cs="Helv"/>
          <w:b/>
          <w:color w:val="000000"/>
          <w:sz w:val="22"/>
          <w:szCs w:val="22"/>
        </w:rPr>
        <w:t xml:space="preserve"> </w:t>
      </w:r>
      <w:r w:rsidRPr="007D174B">
        <w:rPr>
          <w:rFonts w:ascii="Arial Narrow" w:hAnsi="Arial Narrow" w:cs="Helv"/>
          <w:color w:val="000000"/>
          <w:sz w:val="22"/>
          <w:szCs w:val="22"/>
        </w:rPr>
        <w:t xml:space="preserve">orientované na znevýhodnené skupiny na trhu práce. Osobitná pozornosť bude venovaná opatreniam, ktoré sa zameriavajú na zníženie dlhodobej nezamestnanosti v regiónoch s vysokou mierou nezamestnanosti. </w:t>
      </w:r>
    </w:p>
    <w:p w:rsidR="00AE49BA" w:rsidRPr="007D174B"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p>
    <w:p w:rsidR="00AE49BA" w:rsidRPr="005C7EBC" w:rsidP="00AE49BA">
      <w:pPr>
        <w:tabs>
          <w:tab w:val="left" w:pos="0"/>
          <w:tab w:val="left" w:pos="720"/>
          <w:tab w:val="left" w:pos="1440"/>
          <w:tab w:val="left" w:pos="2160"/>
          <w:tab w:val="left" w:pos="2880"/>
          <w:tab w:val="left" w:pos="3600"/>
          <w:tab w:val="left" w:pos="4320"/>
        </w:tabs>
        <w:spacing w:line="240" w:lineRule="atLeast"/>
        <w:jc w:val="both"/>
        <w:rPr>
          <w:rFonts w:ascii="Arial Narrow" w:hAnsi="Arial Narrow" w:cs="Helv"/>
          <w:color w:val="000000"/>
          <w:sz w:val="22"/>
          <w:szCs w:val="22"/>
        </w:rPr>
      </w:pPr>
      <w:r w:rsidRPr="007D174B">
        <w:rPr>
          <w:rFonts w:ascii="Arial Narrow" w:hAnsi="Arial Narrow" w:cs="Helv"/>
          <w:color w:val="000000"/>
          <w:sz w:val="22"/>
          <w:szCs w:val="22"/>
        </w:rPr>
        <w:tab/>
        <w:t xml:space="preserve">V rámci aktívnej politiky trhu práce sa v súlade so zákonom o investičnej pomoci poskytujú zo štátneho rozpočtu </w:t>
      </w:r>
      <w:r w:rsidRPr="007D174B">
        <w:rPr>
          <w:rFonts w:ascii="Arial Narrow" w:hAnsi="Arial Narrow" w:cs="Helv"/>
          <w:b/>
          <w:color w:val="000000"/>
          <w:sz w:val="22"/>
          <w:szCs w:val="22"/>
        </w:rPr>
        <w:t>príspevky na tvorbu nových pracovných miest</w:t>
      </w:r>
      <w:r w:rsidRPr="007D174B">
        <w:rPr>
          <w:rFonts w:ascii="Arial Narrow" w:hAnsi="Arial Narrow" w:cs="Helv"/>
          <w:color w:val="000000"/>
          <w:sz w:val="22"/>
          <w:szCs w:val="22"/>
        </w:rPr>
        <w:t>. V rozpočte na rok 2009 sú alokované zdroje vo výške 17,0 mil. eur, ktorými sa predpokladá podporiť cca 18 300 pracovných miest.</w:t>
      </w:r>
    </w:p>
    <w:p w:rsidR="00AE49BA" w:rsidP="00AE49BA">
      <w:pPr>
        <w:tabs>
          <w:tab w:val="left" w:pos="0"/>
          <w:tab w:val="left" w:pos="720"/>
          <w:tab w:val="left" w:pos="1440"/>
          <w:tab w:val="left" w:pos="2160"/>
          <w:tab w:val="left" w:pos="2880"/>
          <w:tab w:val="left" w:pos="3600"/>
          <w:tab w:val="left" w:pos="4320"/>
        </w:tabs>
        <w:autoSpaceDE/>
        <w:autoSpaceDN/>
        <w:spacing w:line="240" w:lineRule="atLeast"/>
        <w:jc w:val="both"/>
        <w:rPr>
          <w:rFonts w:ascii="Arial Narrow" w:hAnsi="Arial Narrow" w:cs="Helv"/>
          <w:color w:val="000000"/>
          <w:sz w:val="22"/>
          <w:szCs w:val="22"/>
        </w:rPr>
      </w:pPr>
    </w:p>
    <w:p w:rsidR="00AE49BA" w:rsidRPr="005D365D" w:rsidP="00AE49BA">
      <w:pPr>
        <w:pBdr>
          <w:bottom w:val="single" w:sz="6" w:space="1" w:color="auto"/>
        </w:pBdr>
        <w:rPr>
          <w:rFonts w:ascii="Arial Narrow" w:hAnsi="Arial Narrow" w:cs="Times New Roman"/>
          <w:b/>
          <w:sz w:val="22"/>
          <w:szCs w:val="22"/>
        </w:rPr>
      </w:pPr>
      <w:r w:rsidRPr="00690262">
        <w:rPr>
          <w:rFonts w:ascii="Arial Narrow" w:hAnsi="Arial Narrow" w:cs="Times New Roman"/>
          <w:b/>
          <w:sz w:val="22"/>
          <w:szCs w:val="22"/>
        </w:rPr>
        <w:t>Školstvo, veda a technika, kultúra</w:t>
      </w:r>
    </w:p>
    <w:p w:rsidR="00AE49BA" w:rsidRPr="005D365D" w:rsidP="00AE49BA">
      <w:pPr>
        <w:rPr>
          <w:rFonts w:ascii="Arial Narrow" w:hAnsi="Arial Narrow" w:cs="Times New Roman"/>
          <w:sz w:val="22"/>
          <w:szCs w:val="22"/>
        </w:rPr>
      </w:pPr>
      <w:r w:rsidRPr="005D365D">
        <w:rPr>
          <w:rFonts w:ascii="Arial Narrow" w:hAnsi="Arial Narrow" w:cs="Times New Roman"/>
          <w:sz w:val="22"/>
          <w:szCs w:val="22"/>
        </w:rPr>
        <w:t xml:space="preserve"> </w:t>
      </w:r>
    </w:p>
    <w:p w:rsidR="00AE49BA" w:rsidP="00AE49BA">
      <w:pPr>
        <w:ind w:firstLine="708"/>
        <w:jc w:val="both"/>
        <w:rPr>
          <w:rFonts w:ascii="Arial Narrow" w:hAnsi="Arial Narrow" w:cs="Times New Roman"/>
          <w:sz w:val="22"/>
          <w:szCs w:val="22"/>
        </w:rPr>
      </w:pPr>
      <w:bookmarkStart w:id="55" w:name="_Toc108254205"/>
      <w:bookmarkStart w:id="56" w:name="_Toc108416090"/>
      <w:bookmarkStart w:id="57" w:name="_Toc108416699"/>
      <w:bookmarkStart w:id="58" w:name="_Toc108416747"/>
      <w:r w:rsidRPr="005D365D">
        <w:rPr>
          <w:rFonts w:ascii="Arial Narrow" w:hAnsi="Arial Narrow" w:cs="Times New Roman"/>
          <w:sz w:val="22"/>
          <w:szCs w:val="22"/>
        </w:rPr>
        <w:t xml:space="preserve">Formovanie vedomostnej spoločnosti je prioritou vlády SR, pretože len vzdelaní ľudia spoločnosti sú predpokladom demokratického rozvoja, vedecko-technologického pokroku, hospodárskeho rastu a sociálneho zabezpečenia, zamestnanosti a rastu.  Trvalo udržateľný rozvoj je jedným zo základných pilierov vedomostnej spoločnosti, preto oblasť vzdelávania vláda SR ako jednu zo svojich priorít podporuje. </w:t>
      </w: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rPr>
                <w:rFonts w:ascii="Arial Narrow" w:hAnsi="Arial Narrow" w:cs="Arial"/>
                <w:b/>
                <w:color w:val="FFFFFF"/>
                <w:sz w:val="20"/>
              </w:rPr>
            </w:pPr>
            <w:r w:rsidRPr="00690262">
              <w:rPr>
                <w:rFonts w:ascii="Arial Narrow" w:hAnsi="Arial Narrow" w:cs="Arial"/>
                <w:b/>
                <w:color w:val="FFFFFF"/>
                <w:sz w:val="20"/>
              </w:rPr>
              <w:t>(v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center"/>
          </w:tcPr>
          <w:p w:rsidR="00AE49BA" w:rsidRPr="00690262" w:rsidP="00AE49BA">
            <w:pPr>
              <w:jc w:val="center"/>
              <w:rPr>
                <w:rFonts w:ascii="Arial Narrow" w:hAnsi="Arial Narrow" w:cs="Arial"/>
                <w:b/>
                <w:color w:val="FFFFFF"/>
                <w:sz w:val="20"/>
              </w:rPr>
            </w:pPr>
            <w:r w:rsidRPr="00690262">
              <w:rPr>
                <w:rFonts w:ascii="Arial Narrow" w:hAnsi="Arial Narrow" w:cs="Arial"/>
                <w:b/>
                <w:color w:val="FFFFFF"/>
                <w:sz w:val="20"/>
              </w:rPr>
              <w:t xml:space="preserve">2008 </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color w:val="FFFFFF"/>
                <w:sz w:val="20"/>
              </w:rPr>
            </w:pPr>
            <w:r w:rsidRPr="00690262">
              <w:rPr>
                <w:rFonts w:ascii="Arial Narrow" w:hAnsi="Arial Narrow" w:cs="Arial"/>
                <w:b/>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color w:val="FFFFFF"/>
                <w:sz w:val="20"/>
              </w:rPr>
            </w:pPr>
            <w:r w:rsidRPr="00690262">
              <w:rPr>
                <w:rFonts w:ascii="Arial Narrow" w:hAnsi="Arial Narrow" w:cs="Arial"/>
                <w:b/>
                <w:color w:val="FFFFFF"/>
                <w:sz w:val="20"/>
              </w:rPr>
              <w:t xml:space="preserve">2010 </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color w:val="FFFFFF"/>
                <w:sz w:val="20"/>
              </w:rPr>
            </w:pPr>
            <w:r w:rsidRPr="00690262">
              <w:rPr>
                <w:rFonts w:ascii="Arial Narrow" w:hAnsi="Arial Narrow" w:cs="Arial"/>
                <w:b/>
                <w:color w:val="FFFFFF"/>
                <w:sz w:val="20"/>
              </w:rPr>
              <w:t xml:space="preserve">2011 </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color w:val="FFFFFF"/>
                <w:sz w:val="20"/>
              </w:rPr>
            </w:pPr>
            <w:r w:rsidRPr="00690262">
              <w:rPr>
                <w:rFonts w:ascii="Arial Narrow" w:hAnsi="Arial Narrow" w:cs="Arial"/>
                <w:color w:val="FFFFFF"/>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690262" w:rsidP="00AE49BA">
            <w:pPr>
              <w:jc w:val="right"/>
              <w:rPr>
                <w:rFonts w:ascii="Arial Narrow" w:hAnsi="Arial Narrow" w:cs="Arial"/>
                <w:color w:val="FFFFFF"/>
                <w:sz w:val="20"/>
              </w:rPr>
            </w:pPr>
            <w:r w:rsidRPr="00690262">
              <w:rPr>
                <w:rFonts w:ascii="Arial Narrow" w:hAnsi="Arial Narrow" w:cs="Arial"/>
                <w:color w:val="FFFFFF"/>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690262" w:rsidP="00AE49BA">
            <w:pPr>
              <w:rPr>
                <w:rFonts w:ascii="Arial Narrow" w:hAnsi="Arial Narrow" w:cs="Arial"/>
                <w:color w:val="FFFFFF"/>
                <w:sz w:val="20"/>
              </w:rPr>
            </w:pPr>
            <w:r w:rsidRPr="00690262">
              <w:rPr>
                <w:rFonts w:ascii="Arial Narrow" w:hAnsi="Arial Narrow" w:cs="Arial"/>
                <w:color w:val="FFFFFF"/>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690262" w:rsidP="00AE49BA">
            <w:pPr>
              <w:rPr>
                <w:rFonts w:ascii="Arial Narrow" w:hAnsi="Arial Narrow" w:cs="Arial"/>
                <w:color w:val="FFFFFF"/>
                <w:sz w:val="20"/>
              </w:rPr>
            </w:pPr>
            <w:r w:rsidRPr="00690262">
              <w:rPr>
                <w:rFonts w:ascii="Arial Narrow" w:hAnsi="Arial Narrow" w:cs="Arial"/>
                <w:color w:val="FFFFFF"/>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690262" w:rsidP="00AE49BA">
            <w:pPr>
              <w:rPr>
                <w:rFonts w:ascii="Arial Narrow" w:hAnsi="Arial Narrow" w:cs="Arial"/>
                <w:color w:val="FFFFFF"/>
                <w:sz w:val="20"/>
              </w:rPr>
            </w:pPr>
            <w:r w:rsidRPr="00690262">
              <w:rPr>
                <w:rFonts w:ascii="Arial Narrow" w:hAnsi="Arial Narrow" w:cs="Arial"/>
                <w:color w:val="FFFFFF"/>
                <w:sz w:val="20"/>
              </w:rPr>
              <w:t> </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Zdroje kapitoly na vzdelávanie</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1 842 071</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2 171 070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2 369 500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2 468 594</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z toho:</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 </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rozpočtové zdroje kapitoly (domáce)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1 759 469</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1 915 829</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1 946 964</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2 002 936</w:t>
            </w:r>
          </w:p>
        </w:tc>
      </w:tr>
      <w:tr>
        <w:tblPrEx>
          <w:tblW w:w="9195" w:type="dxa"/>
          <w:tblInd w:w="55" w:type="dxa"/>
          <w:tblLayout w:type="fixed"/>
          <w:tblCellMar>
            <w:left w:w="70" w:type="dxa"/>
            <w:right w:w="70" w:type="dxa"/>
          </w:tblCellMar>
        </w:tblPrEx>
        <w:trPr>
          <w:trHeight w:val="270"/>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zdroje EÚ vrátane spolufinancovania: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82 602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254 439</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421 734</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465 259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iné mimorozpočtové zdroje*</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399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EHP a NFM a spolufinancovanie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399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rezortné vzdelávanie*</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29 579</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46 696</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41 683</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43 609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MVRR SR - ŠF na školskú infraštruktúru</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3 659</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34 600</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53 140</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57 943</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zdroje územnej samosprávy</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581 525</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585 282</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607 458</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629 918</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zdroje verejných vysokých škôl</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62 596</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62 641</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69 305</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72 704</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 xml:space="preserve">Verejné zdroje spolu </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2 519 430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2 900 289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3 141 086</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3 272 768</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medziročná zmena v %</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4,63</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15,12</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8,30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4,19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súkromné zdroje regionálneho školstva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79 666</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granty zo zahraničia VVŠ</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3 353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 xml:space="preserve">Celkové zdroje na vzdelávanie </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2 602 448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2 981 328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3 222 126</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3 353 807</w:t>
            </w:r>
          </w:p>
        </w:tc>
      </w:tr>
      <w:tr>
        <w:tblPrEx>
          <w:tblW w:w="9195" w:type="dxa"/>
          <w:tblInd w:w="55" w:type="dxa"/>
          <w:tblLayout w:type="fixed"/>
          <w:tblCellMar>
            <w:left w:w="70" w:type="dxa"/>
            <w:right w:w="70" w:type="dxa"/>
          </w:tblCellMar>
        </w:tblPrEx>
        <w:trPr>
          <w:trHeight w:val="270"/>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medziročná zmena v %</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4,62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14,56</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4,09</w:t>
            </w:r>
          </w:p>
        </w:tc>
      </w:tr>
    </w:tbl>
    <w:p w:rsidR="00AE49BA" w:rsidRPr="005D365D" w:rsidP="00AE49BA">
      <w:pPr>
        <w:rPr>
          <w:rFonts w:ascii="Arial Narrow" w:hAnsi="Arial Narrow" w:cs="Times New Roman"/>
          <w:bCs/>
          <w:sz w:val="16"/>
          <w:szCs w:val="16"/>
        </w:rPr>
      </w:pPr>
      <w:r w:rsidRPr="005D365D">
        <w:rPr>
          <w:rFonts w:ascii="Arial Narrow" w:hAnsi="Arial Narrow" w:cs="Times New Roman"/>
          <w:bCs/>
          <w:sz w:val="16"/>
          <w:szCs w:val="16"/>
        </w:rPr>
        <w:t>* rezortné vzdelávanie (štátne vysoké školy MO SR, MV SR a MZ SR a stredné školy  MV SR)</w:t>
      </w:r>
    </w:p>
    <w:p w:rsidR="00AE49BA" w:rsidRPr="00335AD8" w:rsidP="00AE49BA">
      <w:pPr>
        <w:jc w:val="both"/>
        <w:rPr>
          <w:rFonts w:ascii="Arial Narrow" w:hAnsi="Arial Narrow" w:cs="Times New Roman"/>
          <w:bCs/>
          <w:sz w:val="16"/>
          <w:szCs w:val="16"/>
        </w:rPr>
      </w:pPr>
      <w:r w:rsidRPr="00335AD8">
        <w:rPr>
          <w:rFonts w:ascii="Arial Narrow" w:hAnsi="Arial Narrow" w:cs="Times New Roman"/>
          <w:bCs/>
          <w:sz w:val="16"/>
          <w:szCs w:val="16"/>
        </w:rPr>
        <w:t>** bez</w:t>
      </w:r>
      <w:r>
        <w:rPr>
          <w:rFonts w:ascii="Arial Narrow" w:hAnsi="Arial Narrow" w:cs="Times New Roman"/>
          <w:bCs/>
          <w:sz w:val="16"/>
          <w:szCs w:val="16"/>
        </w:rPr>
        <w:t xml:space="preserve"> zdrojov</w:t>
      </w:r>
      <w:r w:rsidRPr="00335AD8">
        <w:rPr>
          <w:rFonts w:ascii="Arial Narrow" w:hAnsi="Arial Narrow" w:cs="Times New Roman"/>
          <w:bCs/>
          <w:sz w:val="16"/>
          <w:szCs w:val="16"/>
        </w:rPr>
        <w:t xml:space="preserve"> súkromných vysokých škôl</w:t>
      </w:r>
    </w:p>
    <w:p w:rsidR="00AE49BA" w:rsidP="00AE49BA">
      <w:pPr>
        <w:jc w:val="both"/>
        <w:rPr>
          <w:rFonts w:ascii="Arial Narrow" w:hAnsi="Arial Narrow" w:cs="Times New Roman"/>
          <w:b/>
          <w:bCs/>
          <w:iCs/>
          <w:sz w:val="22"/>
          <w:szCs w:val="22"/>
        </w:rPr>
      </w:pPr>
    </w:p>
    <w:p w:rsidR="00AE49BA" w:rsidP="00AE49BA">
      <w:pPr>
        <w:jc w:val="both"/>
        <w:rPr>
          <w:rFonts w:ascii="Arial Narrow" w:hAnsi="Arial Narrow" w:cs="Times New Roman"/>
          <w:b/>
          <w:bCs/>
          <w:iCs/>
          <w:sz w:val="22"/>
          <w:szCs w:val="22"/>
        </w:rPr>
      </w:pPr>
      <w:r w:rsidRPr="00637D84">
        <w:rPr>
          <w:rFonts w:ascii="Arial Narrow" w:hAnsi="Arial Narrow" w:cs="Times New Roman"/>
          <w:b/>
          <w:bCs/>
          <w:iCs/>
          <w:sz w:val="22"/>
          <w:szCs w:val="22"/>
        </w:rPr>
        <w:t>Regionálne školstvo</w:t>
      </w:r>
    </w:p>
    <w:p w:rsidR="00AE49BA" w:rsidP="00AE49BA">
      <w:pPr>
        <w:jc w:val="both"/>
        <w:rPr>
          <w:rFonts w:ascii="Arial Narrow" w:hAnsi="Arial Narrow" w:cs="Times New Roman"/>
          <w:b/>
          <w:bCs/>
          <w:iCs/>
          <w:sz w:val="22"/>
          <w:szCs w:val="22"/>
        </w:rPr>
      </w:pPr>
    </w:p>
    <w:tbl>
      <w:tblPr>
        <w:tblW w:w="9190" w:type="dxa"/>
        <w:tblInd w:w="60" w:type="dxa"/>
        <w:tblLayout w:type="fixed"/>
        <w:tblCellMar>
          <w:left w:w="70" w:type="dxa"/>
          <w:right w:w="70" w:type="dxa"/>
        </w:tblCellMar>
      </w:tblPr>
      <w:tblGrid>
        <w:gridCol w:w="4690"/>
        <w:gridCol w:w="1125"/>
        <w:gridCol w:w="1125"/>
        <w:gridCol w:w="1125"/>
        <w:gridCol w:w="1125"/>
      </w:tblGrid>
      <w:tr>
        <w:tblPrEx>
          <w:tblW w:w="9190" w:type="dxa"/>
          <w:tblInd w:w="60" w:type="dxa"/>
          <w:tblLayout w:type="fixed"/>
          <w:tblCellMar>
            <w:left w:w="70" w:type="dxa"/>
            <w:right w:w="70" w:type="dxa"/>
          </w:tblCellMar>
        </w:tblPrEx>
        <w:trPr>
          <w:trHeight w:val="255"/>
        </w:trPr>
        <w:tc>
          <w:tcPr>
            <w:tcW w:w="4690"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rPr>
                <w:rFonts w:ascii="Arial Narrow" w:hAnsi="Arial Narrow" w:cs="Arial"/>
                <w:b/>
                <w:bCs/>
                <w:color w:val="FFFFFF"/>
                <w:sz w:val="20"/>
              </w:rPr>
            </w:pPr>
            <w:r w:rsidRPr="00690262">
              <w:rPr>
                <w:rFonts w:ascii="Arial Narrow" w:hAnsi="Arial Narrow" w:cs="Arial"/>
                <w:b/>
                <w:bCs/>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 xml:space="preserve">2008 </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 xml:space="preserve">2009 </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2011</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Normatívne výdavky cez MŠ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1 107 188</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1 217 831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1 267 781</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1 313 194</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Nenormatívne  výdavky a špecifiká cez MŠ SR </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63 255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62 541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62 543</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62 545</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Administratívne výdavky MŠ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29 488</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29 819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30 108</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30 494</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Výdavky na štipendiá</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3 589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3 589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3 589</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3 589</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Ostatné kapitoly (MV SR) </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11 767</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13 953</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10 844</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11 156</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Výdavky štrukturálnych fondov (MVRR</w:t>
            </w:r>
            <w:r w:rsidR="00373D9A">
              <w:rPr>
                <w:rFonts w:ascii="Arial Narrow" w:hAnsi="Arial Narrow" w:cs="Arial"/>
                <w:sz w:val="20"/>
              </w:rPr>
              <w:t xml:space="preserve"> SR</w:t>
            </w:r>
            <w:r w:rsidRPr="00690262">
              <w:rPr>
                <w:rFonts w:ascii="Arial Narrow" w:hAnsi="Arial Narrow" w:cs="Arial"/>
                <w:sz w:val="20"/>
              </w:rPr>
              <w:t>)</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3 659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34 600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53 140</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57 943</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Výdavky obcí a VÚC</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581 525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585 282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607 459</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629 918</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 xml:space="preserve">Verejné výdavky spolu </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1 800 470</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1 947 615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2 035 464</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2 108 839</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Medziročná zmena rastu v %</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2,03</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8,17</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4,51</w:t>
            </w:r>
          </w:p>
        </w:tc>
        <w:tc>
          <w:tcPr>
            <w:tcW w:w="1125"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3,60</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Súkromné zdroje regionálneho školstva </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79 665</w:t>
            </w:r>
          </w:p>
        </w:tc>
      </w:tr>
      <w:tr>
        <w:tblPrEx>
          <w:tblW w:w="9190" w:type="dxa"/>
          <w:tblInd w:w="60" w:type="dxa"/>
          <w:tblLayout w:type="fixed"/>
          <w:tblCellMar>
            <w:left w:w="70" w:type="dxa"/>
            <w:right w:w="70" w:type="dxa"/>
          </w:tblCellMar>
        </w:tblPrEx>
        <w:trPr>
          <w:trHeight w:val="225"/>
        </w:trPr>
        <w:tc>
          <w:tcPr>
            <w:tcW w:w="469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Celkové výdavky na regionálne školstvo</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1 880 135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2 027 280</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2 115 129</w:t>
            </w:r>
          </w:p>
        </w:tc>
        <w:tc>
          <w:tcPr>
            <w:tcW w:w="1125"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2 188 504</w:t>
            </w:r>
          </w:p>
        </w:tc>
      </w:tr>
      <w:tr>
        <w:tblPrEx>
          <w:tblW w:w="9190" w:type="dxa"/>
          <w:tblInd w:w="60" w:type="dxa"/>
          <w:tblLayout w:type="fixed"/>
          <w:tblCellMar>
            <w:left w:w="70" w:type="dxa"/>
            <w:right w:w="70" w:type="dxa"/>
          </w:tblCellMar>
        </w:tblPrEx>
        <w:trPr>
          <w:trHeight w:val="270"/>
        </w:trPr>
        <w:tc>
          <w:tcPr>
            <w:tcW w:w="4690" w:type="dxa"/>
            <w:tcBorders>
              <w:top w:val="nil"/>
              <w:left w:val="single" w:sz="8" w:space="0" w:color="auto"/>
              <w:bottom w:val="single" w:sz="8"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Medziročná zmena rastu v %</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1,26</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7,83</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4,33</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3,47</w:t>
            </w:r>
          </w:p>
        </w:tc>
      </w:tr>
    </w:tbl>
    <w:p w:rsidR="00AE49BA" w:rsidP="00AE49BA">
      <w:pPr>
        <w:jc w:val="both"/>
        <w:rPr>
          <w:rFonts w:ascii="Arial Narrow" w:hAnsi="Arial Narrow" w:cs="Times New Roman"/>
          <w:b/>
          <w:bCs/>
          <w:iCs/>
          <w:sz w:val="22"/>
          <w:szCs w:val="22"/>
        </w:rPr>
      </w:pPr>
    </w:p>
    <w:p w:rsidR="00AE49BA" w:rsidRPr="00B21244" w:rsidP="00AE49BA">
      <w:pPr>
        <w:ind w:firstLine="708"/>
        <w:jc w:val="both"/>
        <w:rPr>
          <w:rFonts w:ascii="Arial Narrow" w:hAnsi="Arial Narrow" w:cs="Times New Roman"/>
          <w:sz w:val="22"/>
          <w:szCs w:val="22"/>
        </w:rPr>
      </w:pPr>
      <w:r w:rsidRPr="005D365D">
        <w:rPr>
          <w:rFonts w:ascii="Arial Narrow" w:hAnsi="Arial Narrow" w:cs="Times New Roman"/>
          <w:bCs/>
          <w:iCs/>
          <w:sz w:val="22"/>
          <w:szCs w:val="22"/>
        </w:rPr>
        <w:t xml:space="preserve">Celkové výdavky na regionálne školstvo pozostávajú z verejných zdrojov  a súkromných zdrojov. </w:t>
      </w:r>
      <w:r w:rsidRPr="00E05707">
        <w:rPr>
          <w:rFonts w:ascii="Arial Narrow" w:hAnsi="Arial Narrow" w:cs="Times New Roman"/>
          <w:b/>
          <w:sz w:val="22"/>
          <w:szCs w:val="22"/>
        </w:rPr>
        <w:t>Celkové verejné zdroje v roku 2009</w:t>
      </w:r>
      <w:r w:rsidRPr="005D365D">
        <w:rPr>
          <w:rFonts w:ascii="Arial Narrow" w:hAnsi="Arial Narrow" w:cs="Times New Roman"/>
          <w:sz w:val="22"/>
          <w:szCs w:val="22"/>
        </w:rPr>
        <w:t xml:space="preserve"> tvoria prostriedky štátneho rozpočtu MŠ SR, iných kapitol a výdavky obcí a VÚC, ktoré </w:t>
      </w:r>
      <w:r w:rsidRPr="00E05707">
        <w:rPr>
          <w:rFonts w:ascii="Arial Narrow" w:hAnsi="Arial Narrow" w:cs="Times New Roman"/>
          <w:b/>
          <w:sz w:val="22"/>
          <w:szCs w:val="22"/>
        </w:rPr>
        <w:t xml:space="preserve">rastú oproti </w:t>
      </w:r>
      <w:r w:rsidRPr="00B21244">
        <w:rPr>
          <w:rFonts w:ascii="Arial Narrow" w:hAnsi="Arial Narrow" w:cs="Times New Roman"/>
          <w:b/>
          <w:sz w:val="22"/>
          <w:szCs w:val="22"/>
        </w:rPr>
        <w:t>roku 2006 o 27,7 %</w:t>
      </w:r>
      <w:r w:rsidRPr="00B21244">
        <w:rPr>
          <w:rFonts w:ascii="Arial Narrow" w:hAnsi="Arial Narrow" w:cs="Times New Roman"/>
          <w:sz w:val="22"/>
          <w:szCs w:val="22"/>
        </w:rPr>
        <w:t>.</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bCs/>
          <w:iCs/>
          <w:sz w:val="22"/>
          <w:szCs w:val="22"/>
        </w:rPr>
      </w:pPr>
      <w:r w:rsidRPr="005D365D">
        <w:rPr>
          <w:rFonts w:ascii="Arial Narrow" w:hAnsi="Arial Narrow" w:cs="Times New Roman"/>
          <w:sz w:val="22"/>
          <w:szCs w:val="22"/>
        </w:rPr>
        <w:t xml:space="preserve">Prevažný podiel výdavkov na regionálne školstvo je smerovaný prostredníctvom </w:t>
      </w:r>
      <w:r w:rsidRPr="005D365D">
        <w:rPr>
          <w:rFonts w:ascii="Arial Narrow" w:hAnsi="Arial Narrow" w:cs="Times New Roman"/>
          <w:bCs/>
          <w:sz w:val="22"/>
          <w:szCs w:val="22"/>
        </w:rPr>
        <w:t>Ministerstva školstva SR</w:t>
      </w:r>
      <w:r w:rsidRPr="005D365D">
        <w:rPr>
          <w:rFonts w:ascii="Arial Narrow" w:hAnsi="Arial Narrow" w:cs="Times New Roman"/>
          <w:bCs/>
          <w:iCs/>
          <w:sz w:val="22"/>
          <w:szCs w:val="22"/>
        </w:rPr>
        <w:t>, ktorý predstavuje až 67</w:t>
      </w:r>
      <w:r>
        <w:rPr>
          <w:rFonts w:ascii="Arial Narrow" w:hAnsi="Arial Narrow" w:cs="Times New Roman"/>
          <w:bCs/>
          <w:iCs/>
          <w:sz w:val="22"/>
          <w:szCs w:val="22"/>
        </w:rPr>
        <w:t>,5</w:t>
      </w:r>
      <w:r w:rsidRPr="005D365D">
        <w:rPr>
          <w:rFonts w:ascii="Arial Narrow" w:hAnsi="Arial Narrow" w:cs="Times New Roman"/>
          <w:bCs/>
          <w:iCs/>
          <w:sz w:val="22"/>
          <w:szCs w:val="22"/>
        </w:rPr>
        <w:t xml:space="preserve"> % z celkových verejných zdrojov regionálneho školstva a 64,</w:t>
      </w:r>
      <w:r>
        <w:rPr>
          <w:rFonts w:ascii="Arial Narrow" w:hAnsi="Arial Narrow" w:cs="Times New Roman"/>
          <w:bCs/>
          <w:iCs/>
          <w:sz w:val="22"/>
          <w:szCs w:val="22"/>
        </w:rPr>
        <w:t>8</w:t>
      </w:r>
      <w:r w:rsidRPr="005D365D">
        <w:rPr>
          <w:rFonts w:ascii="Arial Narrow" w:hAnsi="Arial Narrow" w:cs="Times New Roman"/>
          <w:bCs/>
          <w:iCs/>
          <w:sz w:val="22"/>
          <w:szCs w:val="22"/>
        </w:rPr>
        <w:t xml:space="preserve"> % z celkových zdrojov regionálneho školstva. </w:t>
      </w: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5D365D">
        <w:rPr>
          <w:rFonts w:ascii="Arial Narrow" w:hAnsi="Arial Narrow" w:cs="Times New Roman"/>
          <w:sz w:val="22"/>
          <w:szCs w:val="22"/>
        </w:rPr>
        <w:t>Výdavky štátneho rozpočtu na regionálne školstvo poskytované prostredníctvom MŠ SR každoročne rastú. Medziročný rast</w:t>
      </w:r>
      <w:r w:rsidRPr="005D365D">
        <w:rPr>
          <w:rFonts w:ascii="Arial Narrow" w:hAnsi="Arial Narrow" w:cs="Times New Roman"/>
          <w:b/>
          <w:sz w:val="22"/>
          <w:szCs w:val="22"/>
        </w:rPr>
        <w:t xml:space="preserve"> </w:t>
      </w:r>
      <w:r w:rsidRPr="005D365D">
        <w:rPr>
          <w:rFonts w:ascii="Arial Narrow" w:hAnsi="Arial Narrow" w:cs="Times New Roman"/>
          <w:sz w:val="22"/>
          <w:szCs w:val="22"/>
        </w:rPr>
        <w:t xml:space="preserve"> 2009/2008 predstavuje </w:t>
      </w:r>
      <w:r>
        <w:rPr>
          <w:rFonts w:ascii="Arial Narrow" w:hAnsi="Arial Narrow" w:cs="Times New Roman"/>
          <w:sz w:val="22"/>
          <w:szCs w:val="22"/>
        </w:rPr>
        <w:t>9,2</w:t>
      </w:r>
      <w:r w:rsidRPr="005D365D">
        <w:rPr>
          <w:rFonts w:ascii="Arial Narrow" w:hAnsi="Arial Narrow" w:cs="Times New Roman"/>
          <w:b/>
          <w:sz w:val="22"/>
          <w:szCs w:val="22"/>
        </w:rPr>
        <w:t xml:space="preserve"> %</w:t>
      </w:r>
      <w:r w:rsidRPr="005D365D">
        <w:rPr>
          <w:rFonts w:ascii="Arial Narrow" w:hAnsi="Arial Narrow" w:cs="Times New Roman"/>
          <w:sz w:val="22"/>
          <w:szCs w:val="22"/>
        </w:rPr>
        <w:t>. V roku 2009 porovnaní s rokom 2006 tieto výdavky rastú o 1</w:t>
      </w:r>
      <w:r>
        <w:rPr>
          <w:rFonts w:ascii="Arial Narrow" w:hAnsi="Arial Narrow" w:cs="Times New Roman"/>
          <w:sz w:val="22"/>
          <w:szCs w:val="22"/>
        </w:rPr>
        <w:t>9</w:t>
      </w:r>
      <w:r w:rsidRPr="005D365D">
        <w:rPr>
          <w:rFonts w:ascii="Arial Narrow" w:hAnsi="Arial Narrow" w:cs="Times New Roman"/>
          <w:sz w:val="22"/>
          <w:szCs w:val="22"/>
        </w:rPr>
        <w:t>,</w:t>
      </w:r>
      <w:r>
        <w:rPr>
          <w:rFonts w:ascii="Arial Narrow" w:hAnsi="Arial Narrow" w:cs="Times New Roman"/>
          <w:sz w:val="22"/>
          <w:szCs w:val="22"/>
        </w:rPr>
        <w:t>5</w:t>
      </w:r>
      <w:r w:rsidRPr="005D365D">
        <w:rPr>
          <w:rFonts w:ascii="Arial Narrow" w:hAnsi="Arial Narrow" w:cs="Times New Roman"/>
          <w:sz w:val="22"/>
          <w:szCs w:val="22"/>
        </w:rPr>
        <w:t xml:space="preserve"> %. V limite výdavkov sú zabezpečené normatívne výdavky, nenormatívne výdavky, administratívne výdavky na organizácie rezortu, ktoré vykonávajú činnosť súvisiacu s regionálnym školstvom a výdavky na štipendiá. V rámci normatívnych výdavkov sú zapracované osobné výdavky</w:t>
      </w:r>
      <w:r w:rsidR="00AF7025">
        <w:rPr>
          <w:rFonts w:ascii="Arial Narrow" w:hAnsi="Arial Narrow" w:cs="Times New Roman"/>
          <w:sz w:val="22"/>
          <w:szCs w:val="22"/>
        </w:rPr>
        <w:t>, ktoré</w:t>
      </w:r>
      <w:r>
        <w:rPr>
          <w:rFonts w:ascii="Arial Narrow" w:hAnsi="Arial Narrow" w:cs="Times New Roman"/>
          <w:sz w:val="22"/>
          <w:szCs w:val="22"/>
        </w:rPr>
        <w:t xml:space="preserve"> zohľadňujú 10,54 %-ný rast platov pedagogických zamestnancov a prislúchajúce vecné výdavky.</w:t>
      </w:r>
    </w:p>
    <w:p w:rsidR="00AE49BA" w:rsidP="00AE49BA">
      <w:pPr>
        <w:jc w:val="both"/>
        <w:rPr>
          <w:rFonts w:ascii="Arial Narrow" w:hAnsi="Arial Narrow" w:cs="Times New Roman"/>
          <w:bCs/>
          <w:iCs/>
          <w:sz w:val="22"/>
          <w:szCs w:val="22"/>
        </w:rPr>
      </w:pPr>
    </w:p>
    <w:p w:rsidR="00AE49BA" w:rsidRPr="005D365D" w:rsidP="00AE49BA">
      <w:pPr>
        <w:ind w:firstLine="708"/>
        <w:jc w:val="both"/>
        <w:rPr>
          <w:rFonts w:ascii="Arial Narrow" w:hAnsi="Arial Narrow" w:cs="Times New Roman"/>
          <w:sz w:val="22"/>
          <w:szCs w:val="22"/>
        </w:rPr>
      </w:pPr>
      <w:r w:rsidRPr="005D365D">
        <w:rPr>
          <w:rFonts w:ascii="Arial Narrow" w:hAnsi="Arial Narrow" w:cs="Times New Roman"/>
          <w:sz w:val="22"/>
          <w:szCs w:val="22"/>
        </w:rPr>
        <w:t xml:space="preserve">Pri financovaní regionálneho školstva sa uplatňuje financovanie prostredníctvom normatívu na žiaka. V navrhovanom objeme </w:t>
      </w:r>
      <w:r w:rsidRPr="005D365D">
        <w:rPr>
          <w:rFonts w:ascii="Arial Narrow" w:hAnsi="Arial Narrow" w:cs="Times New Roman"/>
          <w:bCs/>
          <w:sz w:val="22"/>
          <w:szCs w:val="22"/>
        </w:rPr>
        <w:t xml:space="preserve">bežných výdavkov </w:t>
      </w:r>
      <w:r>
        <w:rPr>
          <w:rFonts w:ascii="Arial Narrow" w:hAnsi="Arial Narrow" w:cs="Times New Roman"/>
          <w:bCs/>
          <w:sz w:val="22"/>
          <w:szCs w:val="22"/>
        </w:rPr>
        <w:t>1,3 mld. eur</w:t>
      </w:r>
      <w:r w:rsidRPr="005D365D">
        <w:rPr>
          <w:rFonts w:ascii="Arial Narrow" w:hAnsi="Arial Narrow" w:cs="Times New Roman"/>
          <w:sz w:val="22"/>
          <w:szCs w:val="22"/>
        </w:rPr>
        <w:t xml:space="preserve"> sú zahrnuté okrem prevádzky všetkých typov škôl aj výdavky na učebnice a prevádzku Infoveku, okruh špecifík ako je dopravné, asistenti učiteľa, odchodné, vzdelávacie po</w:t>
      </w:r>
      <w:r>
        <w:rPr>
          <w:rFonts w:ascii="Arial Narrow" w:hAnsi="Arial Narrow" w:cs="Times New Roman"/>
          <w:sz w:val="22"/>
          <w:szCs w:val="22"/>
        </w:rPr>
        <w:t xml:space="preserve">ukazy </w:t>
      </w:r>
      <w:r w:rsidRPr="005D365D">
        <w:rPr>
          <w:rFonts w:ascii="Arial Narrow" w:hAnsi="Arial Narrow" w:cs="Times New Roman"/>
          <w:sz w:val="22"/>
          <w:szCs w:val="22"/>
        </w:rPr>
        <w:t xml:space="preserve">a ďalšie výdavky. </w:t>
      </w:r>
      <w:r w:rsidRPr="005D365D">
        <w:rPr>
          <w:rFonts w:ascii="Arial Narrow" w:hAnsi="Arial Narrow" w:cs="Times New Roman"/>
          <w:bCs/>
          <w:sz w:val="22"/>
          <w:szCs w:val="22"/>
        </w:rPr>
        <w:t xml:space="preserve">Kapitálové </w:t>
      </w:r>
      <w:r>
        <w:rPr>
          <w:rFonts w:ascii="Arial Narrow" w:hAnsi="Arial Narrow" w:cs="Times New Roman"/>
          <w:bCs/>
          <w:sz w:val="22"/>
          <w:szCs w:val="22"/>
        </w:rPr>
        <w:t>výdavky</w:t>
      </w:r>
      <w:r w:rsidRPr="005D365D">
        <w:rPr>
          <w:rFonts w:ascii="Arial Narrow" w:hAnsi="Arial Narrow" w:cs="Times New Roman"/>
          <w:sz w:val="22"/>
          <w:szCs w:val="22"/>
        </w:rPr>
        <w:t xml:space="preserve"> </w:t>
      </w:r>
      <w:r w:rsidRPr="005D365D">
        <w:rPr>
          <w:rFonts w:ascii="Arial Narrow" w:hAnsi="Arial Narrow" w:cs="Times New Roman"/>
          <w:bCs/>
          <w:sz w:val="22"/>
          <w:szCs w:val="22"/>
        </w:rPr>
        <w:t>kapitoly</w:t>
      </w:r>
      <w:r w:rsidRPr="005D365D">
        <w:rPr>
          <w:rFonts w:ascii="Arial Narrow" w:hAnsi="Arial Narrow" w:cs="Times New Roman"/>
          <w:sz w:val="22"/>
          <w:szCs w:val="22"/>
        </w:rPr>
        <w:t xml:space="preserve"> MŠ SR</w:t>
      </w:r>
      <w:r>
        <w:rPr>
          <w:rFonts w:ascii="Arial Narrow" w:hAnsi="Arial Narrow" w:cs="Times New Roman"/>
          <w:sz w:val="22"/>
          <w:szCs w:val="22"/>
        </w:rPr>
        <w:t xml:space="preserve"> pre regionálne školstvo</w:t>
      </w:r>
      <w:r w:rsidRPr="005D365D">
        <w:rPr>
          <w:rFonts w:ascii="Arial Narrow" w:hAnsi="Arial Narrow" w:cs="Times New Roman"/>
          <w:sz w:val="22"/>
          <w:szCs w:val="22"/>
        </w:rPr>
        <w:t xml:space="preserve"> sú </w:t>
      </w:r>
      <w:r w:rsidRPr="00E35E41">
        <w:rPr>
          <w:rFonts w:ascii="Arial Narrow" w:hAnsi="Arial Narrow" w:cs="Times New Roman"/>
          <w:sz w:val="22"/>
          <w:szCs w:val="22"/>
        </w:rPr>
        <w:t xml:space="preserve">navrhované vo výške </w:t>
      </w:r>
      <w:r>
        <w:rPr>
          <w:rFonts w:ascii="Arial Narrow" w:hAnsi="Arial Narrow" w:cs="Times New Roman"/>
          <w:sz w:val="22"/>
          <w:szCs w:val="22"/>
        </w:rPr>
        <w:t>11,5</w:t>
      </w:r>
      <w:r>
        <w:rPr>
          <w:rFonts w:ascii="Arial Narrow" w:hAnsi="Arial Narrow" w:cs="Times New Roman"/>
          <w:bCs/>
          <w:sz w:val="22"/>
          <w:szCs w:val="22"/>
        </w:rPr>
        <w:t xml:space="preserve"> </w:t>
      </w:r>
      <w:r w:rsidRPr="00E35E41">
        <w:rPr>
          <w:rFonts w:ascii="Arial Narrow" w:hAnsi="Arial Narrow" w:cs="Times New Roman"/>
          <w:bCs/>
          <w:sz w:val="22"/>
          <w:szCs w:val="22"/>
        </w:rPr>
        <w:t>mil. eur.</w:t>
      </w:r>
      <w:r w:rsidRPr="005D365D">
        <w:rPr>
          <w:rFonts w:ascii="Arial Narrow" w:hAnsi="Arial Narrow" w:cs="Times New Roman"/>
          <w:sz w:val="22"/>
          <w:szCs w:val="22"/>
        </w:rPr>
        <w:t xml:space="preserve"> Tieto sú určené na havarijné stavby a </w:t>
      </w:r>
      <w:r>
        <w:rPr>
          <w:rFonts w:ascii="Arial Narrow" w:hAnsi="Arial Narrow" w:cs="Times New Roman"/>
          <w:sz w:val="22"/>
          <w:szCs w:val="22"/>
        </w:rPr>
        <w:t xml:space="preserve"> rekonštrukcie</w:t>
      </w:r>
      <w:r w:rsidRPr="005D365D">
        <w:rPr>
          <w:rFonts w:ascii="Arial Narrow" w:hAnsi="Arial Narrow" w:cs="Times New Roman"/>
          <w:sz w:val="22"/>
          <w:szCs w:val="22"/>
        </w:rPr>
        <w:t xml:space="preserve">. </w:t>
      </w:r>
    </w:p>
    <w:p w:rsidR="00AE49BA" w:rsidRPr="00637D84" w:rsidP="00AE49BA">
      <w:pPr>
        <w:jc w:val="both"/>
        <w:rPr>
          <w:rFonts w:ascii="Arial Narrow" w:hAnsi="Arial Narrow" w:cs="Times New Roman"/>
          <w:bCs/>
          <w:iCs/>
          <w:sz w:val="22"/>
          <w:szCs w:val="22"/>
        </w:rPr>
      </w:pPr>
    </w:p>
    <w:tbl>
      <w:tblPr>
        <w:tblW w:w="9180" w:type="dxa"/>
        <w:tblInd w:w="70" w:type="dxa"/>
        <w:tblLayout w:type="fixed"/>
        <w:tblCellMar>
          <w:left w:w="70" w:type="dxa"/>
          <w:right w:w="70" w:type="dxa"/>
        </w:tblCellMar>
      </w:tblPr>
      <w:tblGrid>
        <w:gridCol w:w="2880"/>
        <w:gridCol w:w="900"/>
        <w:gridCol w:w="900"/>
        <w:gridCol w:w="900"/>
        <w:gridCol w:w="900"/>
        <w:gridCol w:w="900"/>
        <w:gridCol w:w="900"/>
        <w:gridCol w:w="900"/>
      </w:tblGrid>
      <w:tr>
        <w:tblPrEx>
          <w:tblW w:w="9180" w:type="dxa"/>
          <w:tblInd w:w="70" w:type="dxa"/>
          <w:tblLayout w:type="fixed"/>
          <w:tblCellMar>
            <w:left w:w="70" w:type="dxa"/>
            <w:right w:w="70" w:type="dxa"/>
          </w:tblCellMar>
        </w:tblPrEx>
        <w:trPr>
          <w:trHeight w:val="225"/>
        </w:trPr>
        <w:tc>
          <w:tcPr>
            <w:tcW w:w="2880"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690262" w:rsidP="00AE49BA">
            <w:pPr>
              <w:rPr>
                <w:rFonts w:ascii="Arial Narrow" w:hAnsi="Arial Narrow" w:cs="Arial"/>
                <w:b/>
                <w:color w:val="FFFFFF"/>
                <w:sz w:val="20"/>
              </w:rPr>
            </w:pPr>
            <w:r w:rsidRPr="00690262">
              <w:rPr>
                <w:rFonts w:ascii="Arial Narrow" w:hAnsi="Arial Narrow" w:cs="Arial"/>
                <w:b/>
                <w:color w:val="FFFFFF"/>
                <w:sz w:val="20"/>
              </w:rPr>
              <w:t>( počet žiakov)</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2005</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2006</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2007</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2008</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2009</w:t>
            </w:r>
          </w:p>
        </w:tc>
        <w:tc>
          <w:tcPr>
            <w:tcW w:w="900"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2010</w:t>
            </w:r>
          </w:p>
        </w:tc>
        <w:tc>
          <w:tcPr>
            <w:tcW w:w="900"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2011</w:t>
            </w:r>
          </w:p>
        </w:tc>
      </w:tr>
      <w:tr>
        <w:tblPrEx>
          <w:tblW w:w="9180" w:type="dxa"/>
          <w:tblInd w:w="70" w:type="dxa"/>
          <w:tblLayout w:type="fixed"/>
          <w:tblCellMar>
            <w:left w:w="70" w:type="dxa"/>
            <w:right w:w="70" w:type="dxa"/>
          </w:tblCellMar>
        </w:tblPrEx>
        <w:trPr>
          <w:trHeight w:val="225"/>
        </w:trPr>
        <w:tc>
          <w:tcPr>
            <w:tcW w:w="28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690262" w:rsidP="00AE49BA">
            <w:pPr>
              <w:rPr>
                <w:rFonts w:ascii="Arial Narrow" w:hAnsi="Arial Narrow" w:cs="Arial"/>
                <w:sz w:val="20"/>
              </w:rPr>
            </w:pPr>
            <w:r w:rsidRPr="00690262">
              <w:rPr>
                <w:rFonts w:ascii="Arial Narrow" w:hAnsi="Arial Narrow" w:cs="Arial"/>
                <w:sz w:val="20"/>
              </w:rPr>
              <w:t>Počet žiakov v ZŠ a SŠ</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917 054</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887 221</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858 166</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837 039</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806 231</w:t>
            </w:r>
          </w:p>
        </w:tc>
        <w:tc>
          <w:tcPr>
            <w:tcW w:w="900" w:type="dxa"/>
            <w:tcBorders>
              <w:top w:val="nil"/>
              <w:left w:val="nil"/>
              <w:bottom w:val="single" w:sz="4"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782 608</w:t>
            </w:r>
          </w:p>
        </w:tc>
        <w:tc>
          <w:tcPr>
            <w:tcW w:w="900" w:type="dxa"/>
            <w:tcBorders>
              <w:top w:val="nil"/>
              <w:left w:val="nil"/>
              <w:bottom w:val="single" w:sz="4" w:space="0" w:color="auto"/>
              <w:right w:val="single" w:sz="8"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769 239</w:t>
            </w:r>
          </w:p>
        </w:tc>
      </w:tr>
      <w:tr>
        <w:tblPrEx>
          <w:tblW w:w="9180" w:type="dxa"/>
          <w:tblInd w:w="70" w:type="dxa"/>
          <w:tblLayout w:type="fixed"/>
          <w:tblCellMar>
            <w:left w:w="70" w:type="dxa"/>
            <w:right w:w="70" w:type="dxa"/>
          </w:tblCellMar>
        </w:tblPrEx>
        <w:trPr>
          <w:trHeight w:val="225"/>
        </w:trPr>
        <w:tc>
          <w:tcPr>
            <w:tcW w:w="2880" w:type="dxa"/>
            <w:tcBorders>
              <w:top w:val="nil"/>
              <w:left w:val="single" w:sz="8" w:space="0" w:color="auto"/>
              <w:bottom w:val="single" w:sz="8" w:space="0" w:color="auto"/>
              <w:right w:val="single" w:sz="4" w:space="0" w:color="auto"/>
              <w:tl2br w:val="nil"/>
              <w:tr2bl w:val="nil"/>
            </w:tcBorders>
            <w:noWrap/>
            <w:textDirection w:val="lrTb"/>
            <w:vAlign w:val="bottom"/>
          </w:tcPr>
          <w:p w:rsidR="00AE49BA" w:rsidRPr="00690262" w:rsidP="00AE49BA">
            <w:pPr>
              <w:rPr>
                <w:rFonts w:ascii="Arial Narrow" w:hAnsi="Arial Narrow" w:cs="Arial"/>
                <w:sz w:val="20"/>
              </w:rPr>
            </w:pPr>
            <w:r w:rsidRPr="00690262">
              <w:rPr>
                <w:rFonts w:ascii="Arial Narrow" w:hAnsi="Arial Narrow" w:cs="Arial"/>
                <w:sz w:val="20"/>
              </w:rPr>
              <w:t>medziročná zmena v %</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-2,90</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-3,25</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-3,27</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-2,46</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-3,68</w:t>
            </w:r>
          </w:p>
        </w:tc>
        <w:tc>
          <w:tcPr>
            <w:tcW w:w="900" w:type="dxa"/>
            <w:tcBorders>
              <w:top w:val="nil"/>
              <w:left w:val="nil"/>
              <w:bottom w:val="single" w:sz="8" w:space="0" w:color="auto"/>
              <w:right w:val="single" w:sz="4"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-2,93</w:t>
            </w:r>
          </w:p>
        </w:tc>
        <w:tc>
          <w:tcPr>
            <w:tcW w:w="900" w:type="dxa"/>
            <w:tcBorders>
              <w:top w:val="nil"/>
              <w:left w:val="nil"/>
              <w:bottom w:val="single" w:sz="8" w:space="0" w:color="auto"/>
              <w:right w:val="single" w:sz="8" w:space="0" w:color="auto"/>
              <w:tl2br w:val="nil"/>
              <w:tr2bl w:val="nil"/>
            </w:tcBorders>
            <w:noWrap/>
            <w:textDirection w:val="lrTb"/>
            <w:vAlign w:val="bottom"/>
          </w:tcPr>
          <w:p w:rsidR="00AE49BA" w:rsidRPr="00690262" w:rsidP="00AE49BA">
            <w:pPr>
              <w:jc w:val="right"/>
              <w:rPr>
                <w:rFonts w:ascii="Arial Narrow" w:hAnsi="Arial Narrow" w:cs="Arial"/>
                <w:sz w:val="20"/>
              </w:rPr>
            </w:pPr>
            <w:r w:rsidRPr="00690262">
              <w:rPr>
                <w:rFonts w:ascii="Arial Narrow" w:hAnsi="Arial Narrow" w:cs="Arial"/>
                <w:sz w:val="20"/>
              </w:rPr>
              <w:t>-1,71</w:t>
            </w:r>
          </w:p>
        </w:tc>
      </w:tr>
    </w:tbl>
    <w:p w:rsidR="00AE49BA" w:rsidRPr="005D365D" w:rsidP="00AE49BA">
      <w:pPr>
        <w:jc w:val="both"/>
        <w:rPr>
          <w:rFonts w:ascii="Arial Narrow" w:hAnsi="Arial Narrow" w:cs="Times New Roman"/>
          <w:sz w:val="22"/>
          <w:szCs w:val="22"/>
        </w:rPr>
      </w:pPr>
    </w:p>
    <w:p w:rsidR="00AE49BA" w:rsidRPr="005D365D" w:rsidP="00AE49BA">
      <w:pPr>
        <w:ind w:firstLine="708"/>
        <w:jc w:val="both"/>
        <w:rPr>
          <w:rFonts w:ascii="Arial Narrow" w:hAnsi="Arial Narrow" w:cs="Times New Roman"/>
          <w:sz w:val="22"/>
          <w:szCs w:val="22"/>
        </w:rPr>
      </w:pPr>
      <w:r w:rsidRPr="005D365D">
        <w:rPr>
          <w:rFonts w:ascii="Arial Narrow" w:hAnsi="Arial Narrow" w:cs="Times New Roman"/>
          <w:sz w:val="22"/>
          <w:szCs w:val="22"/>
        </w:rPr>
        <w:t xml:space="preserve">Do výdavkov na RŠ okrem výdavkov zo štátneho rozpočtu poskytovaných prostredníctvom MŠ SR sú zahrnuté tiež výdavky MV SR, ktoré financuje stredné odborné školy v svojej zriaďovateľskej </w:t>
      </w:r>
      <w:r w:rsidRPr="00080CEB">
        <w:rPr>
          <w:rFonts w:ascii="Arial Narrow" w:hAnsi="Arial Narrow" w:cs="Times New Roman"/>
          <w:sz w:val="22"/>
          <w:szCs w:val="22"/>
        </w:rPr>
        <w:t xml:space="preserve">pôsobnosti v sume </w:t>
      </w:r>
      <w:r>
        <w:rPr>
          <w:rFonts w:ascii="Arial Narrow" w:hAnsi="Arial Narrow" w:cs="Times New Roman"/>
          <w:sz w:val="22"/>
          <w:szCs w:val="22"/>
        </w:rPr>
        <w:t>13,9 mil. eur</w:t>
      </w:r>
      <w:r w:rsidRPr="005D365D">
        <w:rPr>
          <w:rFonts w:ascii="Arial Narrow" w:hAnsi="Arial Narrow" w:cs="Times New Roman"/>
          <w:sz w:val="22"/>
          <w:szCs w:val="22"/>
        </w:rPr>
        <w:t xml:space="preserve"> a prostriedky štrukturálnych fondov MVRR SR na financovanie infraštruktúry </w:t>
      </w:r>
      <w:r>
        <w:rPr>
          <w:rFonts w:ascii="Arial Narrow" w:hAnsi="Arial Narrow" w:cs="Times New Roman"/>
          <w:sz w:val="22"/>
          <w:szCs w:val="22"/>
        </w:rPr>
        <w:t xml:space="preserve">vzdelávania </w:t>
      </w:r>
      <w:r w:rsidRPr="005D365D">
        <w:rPr>
          <w:rFonts w:ascii="Arial Narrow" w:hAnsi="Arial Narrow" w:cs="Times New Roman"/>
          <w:sz w:val="22"/>
          <w:szCs w:val="22"/>
        </w:rPr>
        <w:t>v</w:t>
      </w:r>
      <w:r>
        <w:rPr>
          <w:rFonts w:ascii="Arial Narrow" w:hAnsi="Arial Narrow" w:cs="Times New Roman"/>
          <w:sz w:val="22"/>
          <w:szCs w:val="22"/>
        </w:rPr>
        <w:t> </w:t>
      </w:r>
      <w:r w:rsidRPr="005D365D">
        <w:rPr>
          <w:rFonts w:ascii="Arial Narrow" w:hAnsi="Arial Narrow" w:cs="Times New Roman"/>
          <w:sz w:val="22"/>
          <w:szCs w:val="22"/>
        </w:rPr>
        <w:t>sume</w:t>
      </w:r>
      <w:r>
        <w:rPr>
          <w:rFonts w:ascii="Arial Narrow" w:hAnsi="Arial Narrow" w:cs="Times New Roman"/>
          <w:sz w:val="22"/>
          <w:szCs w:val="22"/>
        </w:rPr>
        <w:t xml:space="preserve"> 34,6 mil. eur.</w:t>
      </w:r>
    </w:p>
    <w:p w:rsidR="00AE49BA" w:rsidRPr="005D365D" w:rsidP="00AE49BA">
      <w:pPr>
        <w:jc w:val="both"/>
        <w:rPr>
          <w:rFonts w:ascii="Arial Narrow" w:hAnsi="Arial Narrow" w:cs="Times New Roman"/>
          <w:sz w:val="22"/>
          <w:szCs w:val="22"/>
        </w:rPr>
      </w:pPr>
    </w:p>
    <w:p w:rsidR="00AE49BA" w:rsidRPr="005D365D" w:rsidP="00AE49BA">
      <w:pPr>
        <w:ind w:firstLine="708"/>
        <w:jc w:val="both"/>
        <w:rPr>
          <w:rFonts w:ascii="Arial Narrow" w:hAnsi="Arial Narrow" w:cs="Times New Roman"/>
          <w:sz w:val="22"/>
          <w:szCs w:val="22"/>
        </w:rPr>
      </w:pPr>
      <w:r w:rsidRPr="005D365D">
        <w:rPr>
          <w:rFonts w:ascii="Arial Narrow" w:hAnsi="Arial Narrow" w:cs="Times New Roman"/>
          <w:sz w:val="22"/>
          <w:szCs w:val="22"/>
        </w:rPr>
        <w:t xml:space="preserve">Významný podiel výdavkov na regionálne školstvo tvoria výdavky obcí a VÚC rozpočtované na financovanie originálnych kompetencií, ktorých objem MF SR v roku 2009 predpokladá v sume </w:t>
      </w:r>
      <w:r>
        <w:rPr>
          <w:rFonts w:ascii="Arial Narrow" w:hAnsi="Arial Narrow" w:cs="Times New Roman"/>
          <w:sz w:val="22"/>
          <w:szCs w:val="22"/>
        </w:rPr>
        <w:t>585 mil. eur.</w:t>
      </w:r>
    </w:p>
    <w:p w:rsidR="00AE49BA" w:rsidRPr="005D365D" w:rsidP="00AE49BA">
      <w:pPr>
        <w:jc w:val="both"/>
        <w:rPr>
          <w:rFonts w:ascii="Arial Narrow" w:hAnsi="Arial Narrow" w:cs="Times New Roman"/>
          <w:b/>
          <w:sz w:val="22"/>
          <w:szCs w:val="22"/>
        </w:rPr>
      </w:pPr>
    </w:p>
    <w:p w:rsidR="00AE49BA" w:rsidP="00AE49BA">
      <w:pPr>
        <w:jc w:val="both"/>
        <w:rPr>
          <w:rFonts w:ascii="Arial Narrow" w:hAnsi="Arial Narrow" w:cs="Times New Roman"/>
          <w:b/>
          <w:bCs/>
          <w:iCs/>
          <w:sz w:val="22"/>
          <w:szCs w:val="22"/>
        </w:rPr>
      </w:pPr>
      <w:r w:rsidRPr="00637D84">
        <w:rPr>
          <w:rFonts w:ascii="Arial Narrow" w:hAnsi="Arial Narrow" w:cs="Times New Roman"/>
          <w:b/>
          <w:bCs/>
          <w:iCs/>
          <w:sz w:val="22"/>
          <w:szCs w:val="22"/>
        </w:rPr>
        <w:t>Vysoké školstvo</w:t>
      </w:r>
    </w:p>
    <w:p w:rsidR="00AE49BA" w:rsidP="00AE49BA">
      <w:pPr>
        <w:jc w:val="both"/>
        <w:rPr>
          <w:rFonts w:ascii="Arial Narrow" w:hAnsi="Arial Narrow" w:cs="Times New Roman"/>
          <w:b/>
          <w:bCs/>
          <w:iCs/>
          <w:sz w:val="22"/>
          <w:szCs w:val="22"/>
        </w:rPr>
      </w:pPr>
    </w:p>
    <w:tbl>
      <w:tblPr>
        <w:tblW w:w="9190" w:type="dxa"/>
        <w:tblInd w:w="60" w:type="dxa"/>
        <w:tblLayout w:type="fixed"/>
        <w:tblCellMar>
          <w:left w:w="70" w:type="dxa"/>
          <w:right w:w="70" w:type="dxa"/>
        </w:tblCellMar>
      </w:tblPr>
      <w:tblGrid>
        <w:gridCol w:w="4690"/>
        <w:gridCol w:w="1125"/>
        <w:gridCol w:w="1125"/>
        <w:gridCol w:w="1125"/>
        <w:gridCol w:w="1125"/>
      </w:tblGrid>
      <w:tr>
        <w:tblPrEx>
          <w:tblW w:w="9190" w:type="dxa"/>
          <w:tblInd w:w="60" w:type="dxa"/>
          <w:tblLayout w:type="fixed"/>
          <w:tblCellMar>
            <w:left w:w="70" w:type="dxa"/>
            <w:right w:w="70" w:type="dxa"/>
          </w:tblCellMar>
        </w:tblPrEx>
        <w:trPr>
          <w:trHeight w:val="255"/>
        </w:trPr>
        <w:tc>
          <w:tcPr>
            <w:tcW w:w="4690" w:type="dxa"/>
            <w:tcBorders>
              <w:top w:val="single" w:sz="4" w:space="0" w:color="auto"/>
              <w:left w:val="single" w:sz="8" w:space="0" w:color="auto"/>
              <w:bottom w:val="single" w:sz="4" w:space="0" w:color="auto"/>
              <w:right w:val="single" w:sz="4" w:space="0" w:color="auto"/>
              <w:tl2br w:val="nil"/>
              <w:tr2bl w:val="nil"/>
            </w:tcBorders>
            <w:shd w:val="clear" w:color="auto" w:fill="000000"/>
            <w:noWrap/>
            <w:textDirection w:val="lrTb"/>
            <w:vAlign w:val="center"/>
          </w:tcPr>
          <w:p w:rsidR="00AE49BA" w:rsidRPr="00690262" w:rsidP="00AE49BA">
            <w:pPr>
              <w:rPr>
                <w:rFonts w:ascii="Arial Narrow" w:hAnsi="Arial Narrow" w:cs="Arial"/>
                <w:b/>
                <w:bCs/>
                <w:color w:val="FFFFFF"/>
                <w:sz w:val="20"/>
              </w:rPr>
            </w:pPr>
            <w:r w:rsidRPr="00690262">
              <w:rPr>
                <w:rFonts w:ascii="Arial Narrow" w:hAnsi="Arial Narrow" w:cs="Arial"/>
                <w:b/>
                <w:bCs/>
                <w:color w:val="FFFFFF"/>
                <w:sz w:val="20"/>
              </w:rPr>
              <w:t>(v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 xml:space="preserve">2009 </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 xml:space="preserve">2010 </w:t>
            </w:r>
          </w:p>
        </w:tc>
        <w:tc>
          <w:tcPr>
            <w:tcW w:w="1125" w:type="dxa"/>
            <w:tcBorders>
              <w:top w:val="single" w:sz="4" w:space="0" w:color="auto"/>
              <w:left w:val="nil"/>
              <w:bottom w:val="single" w:sz="4" w:space="0" w:color="auto"/>
              <w:right w:val="single" w:sz="8" w:space="0" w:color="auto"/>
              <w:tl2br w:val="nil"/>
              <w:tr2bl w:val="nil"/>
            </w:tcBorders>
            <w:shd w:val="clear" w:color="auto" w:fill="000000"/>
            <w:noWrap/>
            <w:textDirection w:val="lrTb"/>
            <w:vAlign w:val="center"/>
          </w:tcPr>
          <w:p w:rsidR="00AE49BA" w:rsidRPr="00690262" w:rsidP="00AE49BA">
            <w:pPr>
              <w:jc w:val="center"/>
              <w:rPr>
                <w:rFonts w:ascii="Arial Narrow" w:hAnsi="Arial Narrow" w:cs="Arial"/>
                <w:b/>
                <w:bCs/>
                <w:color w:val="FFFFFF"/>
                <w:sz w:val="20"/>
              </w:rPr>
            </w:pPr>
            <w:r w:rsidRPr="00690262">
              <w:rPr>
                <w:rFonts w:ascii="Arial Narrow" w:hAnsi="Arial Narrow" w:cs="Arial"/>
                <w:b/>
                <w:bCs/>
                <w:color w:val="FFFFFF"/>
                <w:sz w:val="20"/>
              </w:rPr>
              <w:t xml:space="preserve">2011 </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Verejné vysoké školy cez MŠ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432 771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473 702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467 751</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488 136</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Štipendiá pre zahraničných študentov cez MŠ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272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538</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538</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538</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Zdroje EU vrátane spolufinancovania</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36 804</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169 012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280 056</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308 742</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 xml:space="preserve">Prostriedky z APVV a štátne programy </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5 477</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4 060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4 060</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4 060</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Oficiálna rozvojová pomoc</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1 644</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1 976</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1 976</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1 976</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Vlastné zdroje VVŠ</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62 596</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62 641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69 305</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72 704</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EHP a NFM a spolufinancovanie</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802</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399</w:t>
            </w:r>
          </w:p>
        </w:tc>
      </w:tr>
      <w:tr>
        <w:tblPrEx>
          <w:tblW w:w="9190" w:type="dxa"/>
          <w:tblInd w:w="60" w:type="dxa"/>
          <w:tblLayout w:type="fixed"/>
          <w:tblCellMar>
            <w:left w:w="70" w:type="dxa"/>
            <w:right w:w="70" w:type="dxa"/>
          </w:tblCellMar>
        </w:tblPrEx>
        <w:trPr>
          <w:trHeight w:val="270"/>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Rezortné vysokoškolské vzdelávanie*</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19 191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32 744</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30 839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32 453</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Výdavky MK SR pre VVŠ</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280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890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Výdavky MV SR pre VVŠ</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520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686</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604</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604</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Výdavky z verejných zdrojov</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559 555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747 051</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855 931</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909 612</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Podiel verejných zdrojov na HDP</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0,85%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1,05%</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1,03%</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Granty zo zahraničia</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3 353</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c>
          <w:tcPr>
            <w:tcW w:w="1125" w:type="dxa"/>
            <w:tcBorders>
              <w:top w:val="nil"/>
              <w:left w:val="nil"/>
              <w:bottom w:val="single" w:sz="4" w:space="0" w:color="auto"/>
              <w:right w:val="single" w:sz="8"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1 374</w:t>
            </w:r>
          </w:p>
        </w:tc>
      </w:tr>
      <w:tr>
        <w:tblPrEx>
          <w:tblW w:w="9190" w:type="dxa"/>
          <w:tblInd w:w="60" w:type="dxa"/>
          <w:tblLayout w:type="fixed"/>
          <w:tblCellMar>
            <w:left w:w="70" w:type="dxa"/>
            <w:right w:w="70" w:type="dxa"/>
          </w:tblCellMar>
        </w:tblPrEx>
        <w:trPr>
          <w:trHeight w:val="255"/>
        </w:trPr>
        <w:tc>
          <w:tcPr>
            <w:tcW w:w="469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AE49BA" w:rsidRPr="00690262" w:rsidP="00AE49BA">
            <w:pPr>
              <w:rPr>
                <w:rFonts w:ascii="Arial Narrow" w:hAnsi="Arial Narrow" w:cs="Arial"/>
                <w:b/>
                <w:bCs/>
                <w:sz w:val="20"/>
              </w:rPr>
            </w:pPr>
            <w:r w:rsidRPr="00690262">
              <w:rPr>
                <w:rFonts w:ascii="Arial Narrow" w:hAnsi="Arial Narrow" w:cs="Arial"/>
                <w:b/>
                <w:bCs/>
                <w:sz w:val="20"/>
              </w:rPr>
              <w:t>Celkové výdavky na vysoké školstvo**</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562 908</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748 425</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857 305</w:t>
            </w:r>
          </w:p>
        </w:tc>
        <w:tc>
          <w:tcPr>
            <w:tcW w:w="1125"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E49BA" w:rsidRPr="00690262" w:rsidP="00AE49BA">
            <w:pPr>
              <w:jc w:val="right"/>
              <w:rPr>
                <w:rFonts w:ascii="Arial Narrow" w:hAnsi="Arial Narrow" w:cs="Arial"/>
                <w:b/>
                <w:bCs/>
                <w:sz w:val="20"/>
              </w:rPr>
            </w:pPr>
            <w:r w:rsidRPr="00690262">
              <w:rPr>
                <w:rFonts w:ascii="Arial Narrow" w:hAnsi="Arial Narrow" w:cs="Arial"/>
                <w:b/>
                <w:bCs/>
                <w:sz w:val="20"/>
              </w:rPr>
              <w:t>910 986</w:t>
            </w:r>
          </w:p>
        </w:tc>
      </w:tr>
      <w:tr>
        <w:tblPrEx>
          <w:tblW w:w="9190" w:type="dxa"/>
          <w:tblInd w:w="60" w:type="dxa"/>
          <w:tblLayout w:type="fixed"/>
          <w:tblCellMar>
            <w:left w:w="70" w:type="dxa"/>
            <w:right w:w="70" w:type="dxa"/>
          </w:tblCellMar>
        </w:tblPrEx>
        <w:trPr>
          <w:trHeight w:val="270"/>
        </w:trPr>
        <w:tc>
          <w:tcPr>
            <w:tcW w:w="4690" w:type="dxa"/>
            <w:tcBorders>
              <w:top w:val="nil"/>
              <w:left w:val="single" w:sz="8" w:space="0" w:color="auto"/>
              <w:bottom w:val="single" w:sz="8" w:space="0" w:color="auto"/>
              <w:right w:val="single" w:sz="4" w:space="0" w:color="auto"/>
              <w:tl2br w:val="nil"/>
              <w:tr2bl w:val="nil"/>
            </w:tcBorders>
            <w:noWrap/>
            <w:textDirection w:val="lrTb"/>
            <w:vAlign w:val="center"/>
          </w:tcPr>
          <w:p w:rsidR="00AE49BA" w:rsidRPr="00690262" w:rsidP="00AE49BA">
            <w:pPr>
              <w:rPr>
                <w:rFonts w:ascii="Arial Narrow" w:hAnsi="Arial Narrow" w:cs="Arial"/>
                <w:sz w:val="20"/>
              </w:rPr>
            </w:pPr>
            <w:r w:rsidRPr="00690262">
              <w:rPr>
                <w:rFonts w:ascii="Arial Narrow" w:hAnsi="Arial Narrow" w:cs="Arial"/>
                <w:sz w:val="20"/>
              </w:rPr>
              <w:t>Podiel celkových zdrojov na HDP</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0,85%</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1,00%</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1,05%</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690262" w:rsidP="00AE49BA">
            <w:pPr>
              <w:jc w:val="right"/>
              <w:rPr>
                <w:rFonts w:ascii="Arial Narrow" w:hAnsi="Arial Narrow" w:cs="Arial"/>
                <w:sz w:val="20"/>
              </w:rPr>
            </w:pPr>
            <w:r w:rsidRPr="00690262">
              <w:rPr>
                <w:rFonts w:ascii="Arial Narrow" w:hAnsi="Arial Narrow" w:cs="Arial"/>
                <w:sz w:val="20"/>
              </w:rPr>
              <w:t>1,03%</w:t>
            </w:r>
          </w:p>
        </w:tc>
      </w:tr>
    </w:tbl>
    <w:p w:rsidR="00AE49BA" w:rsidRPr="005D365D" w:rsidP="00AE49BA">
      <w:pPr>
        <w:jc w:val="both"/>
        <w:rPr>
          <w:rFonts w:ascii="Arial Narrow" w:hAnsi="Arial Narrow" w:cs="Times New Roman"/>
          <w:bCs/>
          <w:sz w:val="18"/>
          <w:szCs w:val="18"/>
        </w:rPr>
      </w:pPr>
      <w:r w:rsidRPr="005D365D">
        <w:rPr>
          <w:rFonts w:ascii="Arial Narrow" w:hAnsi="Arial Narrow" w:cs="Times New Roman"/>
          <w:bCs/>
          <w:sz w:val="18"/>
          <w:szCs w:val="18"/>
        </w:rPr>
        <w:t>*rezortné vzdelávanie (MO SR, MV SR a MZ SR)</w:t>
      </w:r>
    </w:p>
    <w:p w:rsidR="00AE49BA" w:rsidP="00AE49BA">
      <w:pPr>
        <w:jc w:val="both"/>
        <w:rPr>
          <w:rFonts w:ascii="Arial Narrow" w:hAnsi="Arial Narrow" w:cs="Times New Roman"/>
          <w:bCs/>
          <w:sz w:val="16"/>
          <w:szCs w:val="16"/>
        </w:rPr>
      </w:pPr>
      <w:r w:rsidRPr="00335AD8">
        <w:rPr>
          <w:rFonts w:ascii="Arial Narrow" w:hAnsi="Arial Narrow" w:cs="Times New Roman"/>
          <w:bCs/>
          <w:sz w:val="16"/>
          <w:szCs w:val="16"/>
        </w:rPr>
        <w:t>** bez zdrojov súkromných vysokých škôl</w:t>
      </w:r>
    </w:p>
    <w:p w:rsidR="00AE49BA" w:rsidRPr="00335AD8" w:rsidP="00AE49BA">
      <w:pPr>
        <w:jc w:val="both"/>
        <w:rPr>
          <w:rFonts w:ascii="Arial Narrow" w:hAnsi="Arial Narrow" w:cs="Times New Roman"/>
          <w:bCs/>
          <w:sz w:val="16"/>
          <w:szCs w:val="16"/>
        </w:rPr>
      </w:pPr>
    </w:p>
    <w:p w:rsidR="00AE49BA" w:rsidRPr="005D365D" w:rsidP="00AE49BA">
      <w:pPr>
        <w:ind w:firstLine="708"/>
        <w:jc w:val="both"/>
        <w:rPr>
          <w:rFonts w:ascii="Arial Narrow" w:hAnsi="Arial Narrow" w:cs="Times New Roman"/>
          <w:sz w:val="22"/>
          <w:szCs w:val="22"/>
        </w:rPr>
      </w:pPr>
      <w:r w:rsidRPr="00E05707">
        <w:rPr>
          <w:rFonts w:ascii="Arial Narrow" w:hAnsi="Arial Narrow" w:cs="Times New Roman"/>
          <w:b/>
          <w:sz w:val="22"/>
          <w:szCs w:val="22"/>
        </w:rPr>
        <w:t>Verejné výdavky pre vysoké školy medzi rokmi 2009 a 2008 rastú o</w:t>
      </w:r>
      <w:r>
        <w:rPr>
          <w:rFonts w:ascii="Arial Narrow" w:hAnsi="Arial Narrow" w:cs="Times New Roman"/>
          <w:b/>
          <w:sz w:val="22"/>
          <w:szCs w:val="22"/>
        </w:rPr>
        <w:t> 33,5</w:t>
      </w:r>
      <w:r w:rsidRPr="00E05707">
        <w:rPr>
          <w:rFonts w:ascii="Arial Narrow" w:hAnsi="Arial Narrow" w:cs="Times New Roman"/>
          <w:b/>
          <w:sz w:val="22"/>
          <w:szCs w:val="22"/>
        </w:rPr>
        <w:t xml:space="preserve"> %.</w:t>
      </w:r>
      <w:r w:rsidRPr="005D365D">
        <w:rPr>
          <w:rFonts w:ascii="Arial Narrow" w:hAnsi="Arial Narrow" w:cs="Times New Roman"/>
          <w:sz w:val="22"/>
          <w:szCs w:val="22"/>
        </w:rPr>
        <w:t xml:space="preserve"> Prostriedky štátneho rozpočtu MŠ SR rozpočtované pre verejné vysoké školy sú rozpočtované na prevádzku </w:t>
      </w:r>
      <w:r>
        <w:rPr>
          <w:rFonts w:ascii="Arial Narrow" w:hAnsi="Arial Narrow" w:cs="Times New Roman"/>
          <w:sz w:val="22"/>
          <w:szCs w:val="22"/>
        </w:rPr>
        <w:t>dvadsiatich</w:t>
      </w:r>
      <w:r w:rsidRPr="005D365D">
        <w:rPr>
          <w:rFonts w:ascii="Arial Narrow" w:hAnsi="Arial Narrow" w:cs="Times New Roman"/>
          <w:sz w:val="22"/>
          <w:szCs w:val="22"/>
        </w:rPr>
        <w:t xml:space="preserve"> VVŠ, vysokoškolskú vedu, rozvojové projekty VVŠ</w:t>
      </w:r>
      <w:r w:rsidRPr="005D365D">
        <w:rPr>
          <w:rFonts w:ascii="Arial Narrow" w:hAnsi="Arial Narrow" w:cs="Times New Roman"/>
          <w:b/>
          <w:sz w:val="22"/>
          <w:szCs w:val="22"/>
        </w:rPr>
        <w:t xml:space="preserve"> </w:t>
      </w:r>
      <w:r w:rsidRPr="005D365D">
        <w:rPr>
          <w:rFonts w:ascii="Arial Narrow" w:hAnsi="Arial Narrow" w:cs="Times New Roman"/>
          <w:sz w:val="22"/>
          <w:szCs w:val="22"/>
        </w:rPr>
        <w:t>a sociálnu oblasť. Ďalej pre VVŠ sú rozpočtované</w:t>
      </w:r>
      <w:r w:rsidRPr="005D365D">
        <w:rPr>
          <w:rFonts w:ascii="Arial Narrow" w:hAnsi="Arial Narrow" w:cs="Times New Roman"/>
          <w:b/>
          <w:sz w:val="22"/>
          <w:szCs w:val="22"/>
        </w:rPr>
        <w:t xml:space="preserve"> </w:t>
      </w:r>
      <w:r w:rsidRPr="005D365D">
        <w:rPr>
          <w:rFonts w:ascii="Arial Narrow" w:hAnsi="Arial Narrow" w:cs="Times New Roman"/>
          <w:sz w:val="22"/>
          <w:szCs w:val="22"/>
        </w:rPr>
        <w:t>prostriedky štátneho rozpočtu na štipendiá pre zahraničných študentov  v rámci štipendijného programu MŠ SR, na riešenie projektov výskumu a vývoja poskytnuté prostredníctvom APVV,  prostriedky E</w:t>
      </w:r>
      <w:r w:rsidR="00417D9F">
        <w:rPr>
          <w:rFonts w:ascii="Arial Narrow" w:hAnsi="Arial Narrow" w:cs="Times New Roman"/>
          <w:sz w:val="22"/>
          <w:szCs w:val="22"/>
        </w:rPr>
        <w:t>Ú</w:t>
      </w:r>
      <w:r w:rsidRPr="005D365D">
        <w:rPr>
          <w:rFonts w:ascii="Arial Narrow" w:hAnsi="Arial Narrow" w:cs="Times New Roman"/>
          <w:sz w:val="22"/>
          <w:szCs w:val="22"/>
        </w:rPr>
        <w:t xml:space="preserve"> zo štrukturálnych fondov vrátane spolufinancovania z OP Vzdelávanie a Výskum a vývoj, vlastné zdroje VVŠ, prostriedky EHP a NFM vrátane spolufinancovania na financovanie projektov.</w:t>
      </w:r>
    </w:p>
    <w:p w:rsidR="00AE49BA" w:rsidRPr="005D365D" w:rsidP="00AE49BA">
      <w:pPr>
        <w:jc w:val="both"/>
        <w:rPr>
          <w:rFonts w:ascii="Arial Narrow" w:hAnsi="Arial Narrow" w:cs="Times New Roman"/>
          <w:sz w:val="22"/>
          <w:szCs w:val="22"/>
        </w:rPr>
      </w:pPr>
    </w:p>
    <w:p w:rsidR="00AE49BA" w:rsidRPr="005D365D" w:rsidP="00AE49BA">
      <w:pPr>
        <w:ind w:firstLine="708"/>
        <w:jc w:val="both"/>
        <w:rPr>
          <w:rFonts w:ascii="Arial Narrow" w:hAnsi="Arial Narrow" w:cs="Times New Roman"/>
          <w:sz w:val="22"/>
          <w:szCs w:val="22"/>
        </w:rPr>
      </w:pPr>
      <w:r w:rsidRPr="005D365D">
        <w:rPr>
          <w:rFonts w:ascii="Arial Narrow" w:hAnsi="Arial Narrow" w:cs="Times New Roman"/>
          <w:sz w:val="22"/>
          <w:szCs w:val="22"/>
        </w:rPr>
        <w:t xml:space="preserve">Verejné vysoké školy  na svoju hlavnú činnosť použijú okrem dotácie zo štátneho rozpočtu aj vlastné príjmy vo výške </w:t>
      </w:r>
      <w:r>
        <w:rPr>
          <w:rFonts w:ascii="Arial Narrow" w:hAnsi="Arial Narrow" w:cs="Times New Roman"/>
          <w:sz w:val="22"/>
          <w:szCs w:val="22"/>
        </w:rPr>
        <w:t>62,6 mil. eur</w:t>
      </w:r>
      <w:r w:rsidRPr="005D365D">
        <w:rPr>
          <w:rFonts w:ascii="Arial Narrow" w:hAnsi="Arial Narrow" w:cs="Times New Roman"/>
          <w:b/>
          <w:sz w:val="22"/>
          <w:szCs w:val="22"/>
        </w:rPr>
        <w:t xml:space="preserve"> </w:t>
      </w:r>
      <w:r w:rsidRPr="005D365D">
        <w:rPr>
          <w:rFonts w:ascii="Arial Narrow" w:hAnsi="Arial Narrow" w:cs="Times New Roman"/>
          <w:sz w:val="22"/>
          <w:szCs w:val="22"/>
        </w:rPr>
        <w:t xml:space="preserve">a  granty zo zahraničia </w:t>
      </w:r>
      <w:r>
        <w:rPr>
          <w:rFonts w:ascii="Arial Narrow" w:hAnsi="Arial Narrow" w:cs="Times New Roman"/>
          <w:sz w:val="22"/>
          <w:szCs w:val="22"/>
        </w:rPr>
        <w:t xml:space="preserve"> na financovanie projektov vo výške 1,37 mil. eur</w:t>
      </w:r>
      <w:r w:rsidRPr="005D365D">
        <w:rPr>
          <w:rFonts w:ascii="Arial Narrow" w:hAnsi="Arial Narrow" w:cs="Times New Roman"/>
          <w:sz w:val="22"/>
          <w:szCs w:val="22"/>
        </w:rPr>
        <w:t xml:space="preserve">.  Vlastné príjmy VVŠ sú zvýšené oproti schválenému rozpočtu pre rok </w:t>
      </w:r>
      <w:r w:rsidRPr="007E4E12">
        <w:rPr>
          <w:rFonts w:ascii="Arial Narrow" w:hAnsi="Arial Narrow" w:cs="Times New Roman"/>
          <w:sz w:val="22"/>
          <w:szCs w:val="22"/>
        </w:rPr>
        <w:t xml:space="preserve">2008 o 18,8 mil. </w:t>
      </w:r>
      <w:r>
        <w:rPr>
          <w:rFonts w:ascii="Arial Narrow" w:hAnsi="Arial Narrow" w:cs="Times New Roman"/>
          <w:sz w:val="22"/>
          <w:szCs w:val="22"/>
        </w:rPr>
        <w:t>eur</w:t>
      </w:r>
      <w:r w:rsidRPr="005D365D">
        <w:rPr>
          <w:rFonts w:ascii="Arial Narrow" w:hAnsi="Arial Narrow" w:cs="Times New Roman"/>
          <w:sz w:val="22"/>
          <w:szCs w:val="22"/>
        </w:rPr>
        <w:t xml:space="preserve">. </w:t>
      </w:r>
      <w:r>
        <w:rPr>
          <w:rFonts w:ascii="Arial Narrow" w:hAnsi="Arial Narrow" w:cs="Times New Roman"/>
          <w:sz w:val="22"/>
          <w:szCs w:val="22"/>
        </w:rPr>
        <w:t xml:space="preserve"> </w:t>
      </w:r>
      <w:r w:rsidRPr="005D365D">
        <w:rPr>
          <w:rFonts w:ascii="Arial Narrow" w:hAnsi="Arial Narrow" w:cs="Times New Roman"/>
          <w:sz w:val="22"/>
          <w:szCs w:val="22"/>
        </w:rPr>
        <w:t>Zvýšenie príjmov vyplýva z prijatej novely zákona o vysokých školách, a to  najmä z poplatkov získaných za externú formu štúdia. Slovenská republika sa zaviazala poskytovať oficiálnu rozvojovú pomoc a jednou z foriem je aj podpora štúdia zahraničných študentov na slovenských vysokých školách, ktorá je financovaná z medzirezortného podprogramu ODA  v </w:t>
      </w:r>
      <w:r w:rsidRPr="007E4E12">
        <w:rPr>
          <w:rFonts w:ascii="Arial Narrow" w:hAnsi="Arial Narrow" w:cs="Times New Roman"/>
          <w:sz w:val="22"/>
          <w:szCs w:val="22"/>
        </w:rPr>
        <w:t>sume 2 mil. eur.</w:t>
      </w:r>
      <w:r>
        <w:rPr>
          <w:rFonts w:ascii="Arial Narrow" w:hAnsi="Arial Narrow" w:cs="Times New Roman"/>
          <w:sz w:val="22"/>
          <w:szCs w:val="22"/>
        </w:rPr>
        <w:t xml:space="preserve"> </w:t>
      </w:r>
      <w:r w:rsidRPr="005D365D">
        <w:rPr>
          <w:rFonts w:ascii="Arial Narrow" w:hAnsi="Arial Narrow" w:cs="Times New Roman"/>
          <w:sz w:val="22"/>
          <w:szCs w:val="22"/>
        </w:rPr>
        <w:t xml:space="preserve">Do financovania vysokoškolského vzdelávania sú zahrnuté </w:t>
      </w:r>
      <w:r>
        <w:rPr>
          <w:rFonts w:ascii="Arial Narrow" w:hAnsi="Arial Narrow" w:cs="Times New Roman"/>
          <w:sz w:val="22"/>
          <w:szCs w:val="22"/>
        </w:rPr>
        <w:t xml:space="preserve">aj </w:t>
      </w:r>
      <w:r w:rsidRPr="005D365D">
        <w:rPr>
          <w:rFonts w:ascii="Arial Narrow" w:hAnsi="Arial Narrow" w:cs="Times New Roman"/>
          <w:sz w:val="22"/>
          <w:szCs w:val="22"/>
        </w:rPr>
        <w:t xml:space="preserve">prostriedky štátneho rozpočtu rozpočtované pre </w:t>
      </w:r>
      <w:r>
        <w:rPr>
          <w:rFonts w:ascii="Arial Narrow" w:hAnsi="Arial Narrow" w:cs="Times New Roman"/>
          <w:sz w:val="22"/>
          <w:szCs w:val="22"/>
        </w:rPr>
        <w:t xml:space="preserve">tri </w:t>
      </w:r>
      <w:r w:rsidRPr="005D365D">
        <w:rPr>
          <w:rFonts w:ascii="Arial Narrow" w:hAnsi="Arial Narrow" w:cs="Times New Roman"/>
          <w:sz w:val="22"/>
          <w:szCs w:val="22"/>
        </w:rPr>
        <w:t>štátne vysoké školy v zriaďovateľskej pôsobnosti rezortov MO SR, MV SR a MZ SR.</w:t>
      </w:r>
      <w:r w:rsidRPr="005D365D">
        <w:rPr>
          <w:rFonts w:ascii="Arial Narrow" w:hAnsi="Arial Narrow" w:cs="Times New Roman"/>
          <w:b/>
          <w:sz w:val="22"/>
          <w:szCs w:val="22"/>
        </w:rPr>
        <w:t xml:space="preserve"> </w:t>
      </w:r>
      <w:r w:rsidRPr="005D365D">
        <w:rPr>
          <w:rFonts w:ascii="Arial Narrow" w:hAnsi="Arial Narrow" w:cs="Times New Roman"/>
          <w:sz w:val="22"/>
          <w:szCs w:val="22"/>
        </w:rPr>
        <w:t xml:space="preserve"> </w:t>
      </w:r>
    </w:p>
    <w:p w:rsidR="00AE49BA" w:rsidRPr="001444A3" w:rsidP="00AE49BA">
      <w:pPr>
        <w:ind w:firstLine="708"/>
        <w:jc w:val="both"/>
        <w:rPr>
          <w:rFonts w:ascii="Arial Narrow" w:hAnsi="Arial Narrow" w:cs="Times New Roman"/>
          <w:b/>
          <w:sz w:val="22"/>
          <w:szCs w:val="22"/>
        </w:rPr>
      </w:pPr>
      <w:r w:rsidRPr="00EA7384">
        <w:rPr>
          <w:rFonts w:ascii="Arial Narrow" w:hAnsi="Arial Narrow" w:cs="Times New Roman"/>
          <w:b/>
          <w:sz w:val="22"/>
          <w:szCs w:val="22"/>
        </w:rPr>
        <w:t>V roku 2009 verejné výdavky pre vysokoškolské vzdelávanie rastú v porovnaní s rokom 2006 o</w:t>
      </w:r>
      <w:r>
        <w:rPr>
          <w:rFonts w:ascii="Arial Narrow" w:hAnsi="Arial Narrow" w:cs="Times New Roman"/>
          <w:b/>
          <w:sz w:val="22"/>
          <w:szCs w:val="22"/>
        </w:rPr>
        <w:t> 56,6</w:t>
      </w:r>
      <w:r w:rsidRPr="00EA7384">
        <w:rPr>
          <w:rFonts w:ascii="Arial Narrow" w:hAnsi="Arial Narrow" w:cs="Times New Roman"/>
          <w:b/>
          <w:sz w:val="22"/>
          <w:szCs w:val="22"/>
        </w:rPr>
        <w:t xml:space="preserve"> %.</w:t>
      </w:r>
      <w:r w:rsidRPr="005D365D">
        <w:rPr>
          <w:rFonts w:ascii="Arial Narrow" w:hAnsi="Arial Narrow" w:cs="Times New Roman"/>
          <w:b/>
          <w:sz w:val="22"/>
          <w:szCs w:val="22"/>
        </w:rPr>
        <w:t xml:space="preserve"> </w:t>
      </w:r>
      <w:r w:rsidRPr="005D365D">
        <w:rPr>
          <w:rFonts w:ascii="Arial Narrow" w:hAnsi="Arial Narrow" w:cs="Times New Roman"/>
          <w:sz w:val="22"/>
          <w:szCs w:val="22"/>
        </w:rPr>
        <w:t>Dôvodom výrazného zvýšenia objemu výdavkov pre VVŠ je každoročné zvyšovanie výdavkov štátneho rozpočtu</w:t>
      </w:r>
      <w:r w:rsidR="00A00FBB">
        <w:rPr>
          <w:rFonts w:ascii="Arial Narrow" w:hAnsi="Arial Narrow" w:cs="Times New Roman"/>
          <w:sz w:val="22"/>
          <w:szCs w:val="22"/>
        </w:rPr>
        <w:t>,</w:t>
      </w:r>
      <w:r w:rsidRPr="005D365D">
        <w:rPr>
          <w:rFonts w:ascii="Arial Narrow" w:hAnsi="Arial Narrow" w:cs="Times New Roman"/>
          <w:sz w:val="22"/>
          <w:szCs w:val="22"/>
        </w:rPr>
        <w:t xml:space="preserve"> ale aj zapojenie vysokých škôl  do riešenia projektov výskumu a vývoja, ako aj projektov rozvoja vysokých škôl financovaných zo št</w:t>
      </w:r>
      <w:r>
        <w:rPr>
          <w:rFonts w:ascii="Arial Narrow" w:hAnsi="Arial Narrow" w:cs="Times New Roman"/>
          <w:sz w:val="22"/>
          <w:szCs w:val="22"/>
        </w:rPr>
        <w:t>r</w:t>
      </w:r>
      <w:r w:rsidRPr="005D365D">
        <w:rPr>
          <w:rFonts w:ascii="Arial Narrow" w:hAnsi="Arial Narrow" w:cs="Times New Roman"/>
          <w:sz w:val="22"/>
          <w:szCs w:val="22"/>
        </w:rPr>
        <w:t>uktu</w:t>
      </w:r>
      <w:r>
        <w:rPr>
          <w:rFonts w:ascii="Arial Narrow" w:hAnsi="Arial Narrow" w:cs="Times New Roman"/>
          <w:sz w:val="22"/>
          <w:szCs w:val="22"/>
        </w:rPr>
        <w:t>r</w:t>
      </w:r>
      <w:r w:rsidRPr="005D365D">
        <w:rPr>
          <w:rFonts w:ascii="Arial Narrow" w:hAnsi="Arial Narrow" w:cs="Times New Roman"/>
          <w:sz w:val="22"/>
          <w:szCs w:val="22"/>
        </w:rPr>
        <w:t xml:space="preserve">álnych fondov vrátane spolufinancovania. </w:t>
      </w:r>
    </w:p>
    <w:p w:rsidR="00AE49BA" w:rsidRPr="00E05707" w:rsidP="00AE49BA">
      <w:pPr>
        <w:jc w:val="both"/>
        <w:rPr>
          <w:rFonts w:ascii="Arial Narrow" w:hAnsi="Arial Narrow" w:cs="Times New Roman"/>
          <w:sz w:val="22"/>
          <w:szCs w:val="22"/>
          <w:highlight w:val="yellow"/>
        </w:rPr>
      </w:pPr>
    </w:p>
    <w:p w:rsidR="00AE49BA" w:rsidRPr="00CC0A61" w:rsidP="00CC0A61">
      <w:pPr>
        <w:rPr>
          <w:rFonts w:ascii="Arial Narrow" w:hAnsi="Arial Narrow" w:cs="Times New Roman"/>
          <w:b/>
          <w:iCs/>
          <w:sz w:val="22"/>
          <w:szCs w:val="22"/>
        </w:rPr>
      </w:pPr>
      <w:r w:rsidRPr="00CC0A61">
        <w:rPr>
          <w:rFonts w:ascii="Arial Narrow" w:hAnsi="Arial Narrow" w:cs="Times New Roman"/>
          <w:b/>
          <w:iCs/>
          <w:sz w:val="22"/>
          <w:szCs w:val="22"/>
        </w:rPr>
        <w:t>Veda a technika</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b/>
          <w:sz w:val="22"/>
          <w:szCs w:val="22"/>
        </w:rPr>
        <w:t>Celkové výdavky na vedu a techniku</w:t>
      </w:r>
      <w:r>
        <w:rPr>
          <w:rFonts w:ascii="Arial Narrow" w:hAnsi="Arial Narrow" w:cs="Times New Roman"/>
          <w:sz w:val="22"/>
          <w:szCs w:val="22"/>
        </w:rPr>
        <w:t xml:space="preserve"> v roku 2009 z verejných zdrojov predstavujú sumu </w:t>
      </w:r>
      <w:r>
        <w:rPr>
          <w:rFonts w:ascii="Arial Narrow" w:hAnsi="Arial Narrow" w:cs="Times New Roman"/>
          <w:b/>
          <w:sz w:val="22"/>
          <w:szCs w:val="22"/>
        </w:rPr>
        <w:t>424 mil. eur</w:t>
      </w:r>
      <w:r w:rsidRPr="00A00FBB" w:rsidR="00A00FBB">
        <w:rPr>
          <w:rFonts w:ascii="Arial Narrow" w:hAnsi="Arial Narrow" w:cs="Times New Roman"/>
          <w:sz w:val="22"/>
          <w:szCs w:val="22"/>
        </w:rPr>
        <w:t>,</w:t>
      </w:r>
      <w:r>
        <w:rPr>
          <w:rFonts w:ascii="Arial Narrow" w:hAnsi="Arial Narrow" w:cs="Times New Roman"/>
          <w:sz w:val="22"/>
          <w:szCs w:val="22"/>
        </w:rPr>
        <w:t xml:space="preserve"> čo predstavuje </w:t>
      </w:r>
      <w:r>
        <w:rPr>
          <w:rFonts w:ascii="Arial Narrow" w:hAnsi="Arial Narrow" w:cs="Times New Roman"/>
          <w:b/>
          <w:bCs/>
          <w:sz w:val="22"/>
          <w:szCs w:val="22"/>
        </w:rPr>
        <w:t xml:space="preserve">nárast </w:t>
      </w:r>
      <w:r>
        <w:rPr>
          <w:rFonts w:ascii="Arial Narrow" w:hAnsi="Arial Narrow" w:cs="Times New Roman"/>
          <w:sz w:val="22"/>
          <w:szCs w:val="22"/>
        </w:rPr>
        <w:t>oproti roku 2008 o  48 % a </w:t>
      </w:r>
      <w:r>
        <w:rPr>
          <w:rFonts w:ascii="Arial Narrow" w:hAnsi="Arial Narrow" w:cs="Times New Roman"/>
          <w:b/>
          <w:bCs/>
          <w:sz w:val="22"/>
          <w:szCs w:val="22"/>
        </w:rPr>
        <w:t>oproti roku 2006 o 63 %</w:t>
      </w:r>
      <w:r>
        <w:rPr>
          <w:rFonts w:ascii="Arial Narrow" w:hAnsi="Arial Narrow" w:cs="Times New Roman"/>
          <w:sz w:val="22"/>
          <w:szCs w:val="22"/>
        </w:rPr>
        <w:t>. Financovanie vedy a techniky v roku 2009 sa v podmienkach Slovenskej republiky realizuje z viacerých verejných zdrojov ako sa uvádza v tabuľke nižšie.</w:t>
      </w:r>
    </w:p>
    <w:p w:rsidR="00AE49BA" w:rsidP="00AE49BA">
      <w:pPr>
        <w:jc w:val="both"/>
        <w:rPr>
          <w:rFonts w:ascii="Arial Narrow" w:hAnsi="Arial Narrow" w:cs="Times New Roman"/>
          <w:sz w:val="22"/>
          <w:szCs w:val="22"/>
        </w:rPr>
      </w:pPr>
    </w:p>
    <w:tbl>
      <w:tblPr>
        <w:tblW w:w="9190" w:type="dxa"/>
        <w:tblInd w:w="60" w:type="dxa"/>
        <w:tblLayout w:type="fixed"/>
        <w:tblCellMar>
          <w:left w:w="70" w:type="dxa"/>
          <w:right w:w="70" w:type="dxa"/>
        </w:tblCellMar>
      </w:tblPr>
      <w:tblGrid>
        <w:gridCol w:w="4787"/>
        <w:gridCol w:w="1100"/>
        <w:gridCol w:w="1100"/>
        <w:gridCol w:w="1100"/>
        <w:gridCol w:w="1103"/>
      </w:tblGrid>
      <w:tr>
        <w:tblPrEx>
          <w:tblW w:w="9190" w:type="dxa"/>
          <w:tblInd w:w="60" w:type="dxa"/>
          <w:tblLayout w:type="fixed"/>
          <w:tblCellMar>
            <w:left w:w="70" w:type="dxa"/>
            <w:right w:w="70" w:type="dxa"/>
          </w:tblCellMar>
        </w:tblPrEx>
        <w:trPr>
          <w:trHeight w:val="270"/>
        </w:trPr>
        <w:tc>
          <w:tcPr>
            <w:tcW w:w="4787" w:type="dxa"/>
            <w:tcBorders>
              <w:top w:val="single" w:sz="8" w:space="0" w:color="auto"/>
              <w:left w:val="single" w:sz="8" w:space="0" w:color="auto"/>
              <w:bottom w:val="single" w:sz="8" w:space="0" w:color="auto"/>
              <w:right w:val="single" w:sz="8" w:space="0" w:color="auto"/>
              <w:tl2br w:val="nil"/>
              <w:tr2bl w:val="nil"/>
            </w:tcBorders>
            <w:shd w:val="clear" w:color="auto" w:fill="000000"/>
            <w:noWrap/>
            <w:textDirection w:val="lrTb"/>
            <w:vAlign w:val="center"/>
          </w:tcPr>
          <w:p w:rsidR="00AE49BA" w:rsidRPr="00EF219E" w:rsidP="00AE49BA">
            <w:pPr>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bCs/>
                <w:color w:val="FFFFFF"/>
                <w:sz w:val="20"/>
              </w:rPr>
              <w:t>(v tis. eur)</w:t>
            </w:r>
          </w:p>
        </w:tc>
        <w:tc>
          <w:tcPr>
            <w:tcW w:w="110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2008 </w:t>
            </w:r>
          </w:p>
        </w:tc>
        <w:tc>
          <w:tcPr>
            <w:tcW w:w="110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2009 </w:t>
            </w:r>
          </w:p>
        </w:tc>
        <w:tc>
          <w:tcPr>
            <w:tcW w:w="110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2010 </w:t>
            </w:r>
          </w:p>
        </w:tc>
        <w:tc>
          <w:tcPr>
            <w:tcW w:w="1103"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2011 </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Vysokoškolská  veda cez MŠ SR</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46 741</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55 030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42 858</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44 029</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Agentúra na podporu výskumu a vývoja cez MŠ SR</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32 142</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39 833</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28 822</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28 853</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Štátne programy MŠ SR</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11 945</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5 650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5 893</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398</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Ostatné výdavky na vedu a techniku v MŠ SR</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11 224</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15 590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12 324</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7 284</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EHP a NFM a spolufinancovanie</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802</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802</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399</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Prostriedky  EÚ a spolufinancovanie  zo ŠR v MŠ SR</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42 660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171 789</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284 899</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314 158</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Časť miezd pedagogických pracovníkov VŠ</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33 194</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33 194</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33 194</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33 194</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Členské príspevky medzinárodným organizáciám *</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14 460</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7 036</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7 657</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7 657</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Slovenská akadémia vied</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58 242</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61 624</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54 081</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55 517</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 xml:space="preserve">Rezortná veda </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36 293</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33 465</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33 597</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34 779</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shd w:val="clear" w:color="auto" w:fill="969696"/>
            <w:noWrap/>
            <w:textDirection w:val="lrTb"/>
            <w:vAlign w:val="center"/>
          </w:tcPr>
          <w:p w:rsidR="00AE49BA" w:rsidRPr="00EF219E" w:rsidP="00AE49BA">
            <w:pPr>
              <w:rPr>
                <w:rFonts w:ascii="Arial Narrow" w:hAnsi="Arial Narrow" w:cs="Arial"/>
                <w:b/>
                <w:bCs/>
                <w:sz w:val="20"/>
              </w:rPr>
            </w:pPr>
            <w:r w:rsidR="00A00FBB">
              <w:rPr>
                <w:rFonts w:ascii="Arial Narrow" w:hAnsi="Arial Narrow" w:cs="Arial"/>
                <w:b/>
                <w:bCs/>
                <w:sz w:val="20"/>
              </w:rPr>
              <w:t>Výdavky na vedu</w:t>
            </w:r>
            <w:r w:rsidRPr="00EF219E">
              <w:rPr>
                <w:rFonts w:ascii="Arial Narrow" w:hAnsi="Arial Narrow" w:cs="Arial"/>
                <w:b/>
                <w:bCs/>
                <w:sz w:val="20"/>
              </w:rPr>
              <w:t xml:space="preserve"> a techniku celkom</w:t>
            </w:r>
          </w:p>
        </w:tc>
        <w:tc>
          <w:tcPr>
            <w:tcW w:w="1100" w:type="dxa"/>
            <w:tcBorders>
              <w:top w:val="nil"/>
              <w:left w:val="nil"/>
              <w:bottom w:val="single" w:sz="8" w:space="0" w:color="auto"/>
              <w:right w:val="single" w:sz="8" w:space="0" w:color="auto"/>
              <w:tl2br w:val="nil"/>
              <w:tr2bl w:val="nil"/>
            </w:tcBorders>
            <w:shd w:val="clear" w:color="auto" w:fill="969696"/>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286 901</w:t>
            </w:r>
          </w:p>
        </w:tc>
        <w:tc>
          <w:tcPr>
            <w:tcW w:w="1100" w:type="dxa"/>
            <w:tcBorders>
              <w:top w:val="nil"/>
              <w:left w:val="nil"/>
              <w:bottom w:val="single" w:sz="8" w:space="0" w:color="auto"/>
              <w:right w:val="single" w:sz="8" w:space="0" w:color="auto"/>
              <w:tl2br w:val="nil"/>
              <w:tr2bl w:val="nil"/>
            </w:tcBorders>
            <w:shd w:val="clear" w:color="auto" w:fill="969696"/>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424 013</w:t>
            </w:r>
          </w:p>
        </w:tc>
        <w:tc>
          <w:tcPr>
            <w:tcW w:w="1100" w:type="dxa"/>
            <w:tcBorders>
              <w:top w:val="nil"/>
              <w:left w:val="nil"/>
              <w:bottom w:val="single" w:sz="8" w:space="0" w:color="auto"/>
              <w:right w:val="single" w:sz="8" w:space="0" w:color="auto"/>
              <w:tl2br w:val="nil"/>
              <w:tr2bl w:val="nil"/>
            </w:tcBorders>
            <w:shd w:val="clear" w:color="auto" w:fill="969696"/>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504 127</w:t>
            </w:r>
          </w:p>
        </w:tc>
        <w:tc>
          <w:tcPr>
            <w:tcW w:w="1103" w:type="dxa"/>
            <w:tcBorders>
              <w:top w:val="nil"/>
              <w:left w:val="nil"/>
              <w:bottom w:val="single" w:sz="8" w:space="0" w:color="auto"/>
              <w:right w:val="single" w:sz="8" w:space="0" w:color="auto"/>
              <w:tl2br w:val="nil"/>
              <w:tr2bl w:val="nil"/>
            </w:tcBorders>
            <w:shd w:val="clear" w:color="auto" w:fill="969696"/>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526 268</w:t>
            </w:r>
          </w:p>
        </w:tc>
      </w:tr>
      <w:tr>
        <w:tblPrEx>
          <w:tblW w:w="9190" w:type="dxa"/>
          <w:tblInd w:w="60" w:type="dxa"/>
          <w:tblLayout w:type="fixed"/>
          <w:tblCellMar>
            <w:left w:w="70" w:type="dxa"/>
            <w:right w:w="70" w:type="dxa"/>
          </w:tblCellMar>
        </w:tblPrEx>
        <w:trPr>
          <w:trHeight w:val="270"/>
        </w:trPr>
        <w:tc>
          <w:tcPr>
            <w:tcW w:w="4787"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84314" w:rsidP="00AE49BA">
            <w:pPr>
              <w:rPr>
                <w:rFonts w:ascii="Arial Narrow" w:hAnsi="Arial Narrow" w:cs="Arial"/>
                <w:bCs/>
                <w:sz w:val="20"/>
              </w:rPr>
            </w:pPr>
            <w:r w:rsidRPr="00E84314">
              <w:rPr>
                <w:rFonts w:ascii="Arial Narrow" w:hAnsi="Arial Narrow" w:cs="Arial"/>
                <w:bCs/>
                <w:sz w:val="20"/>
              </w:rPr>
              <w:t>Medziročná zmena</w:t>
            </w:r>
            <w:r>
              <w:rPr>
                <w:rFonts w:ascii="Arial Narrow" w:hAnsi="Arial Narrow" w:cs="Arial"/>
                <w:bCs/>
                <w:sz w:val="20"/>
              </w:rPr>
              <w:t xml:space="preserve"> v</w:t>
            </w:r>
            <w:r w:rsidRPr="00E84314">
              <w:rPr>
                <w:rFonts w:ascii="Arial Narrow" w:hAnsi="Arial Narrow" w:cs="Arial"/>
                <w:bCs/>
                <w:sz w:val="20"/>
              </w:rPr>
              <w:t xml:space="preserve"> %</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84314" w:rsidP="00AE49BA">
            <w:pPr>
              <w:jc w:val="right"/>
              <w:rPr>
                <w:rFonts w:ascii="Arial Narrow" w:hAnsi="Arial Narrow" w:cs="Arial"/>
                <w:bCs/>
                <w:sz w:val="20"/>
              </w:rPr>
            </w:pPr>
            <w:r>
              <w:rPr>
                <w:rFonts w:ascii="Arial Narrow" w:hAnsi="Arial Narrow" w:cs="Arial"/>
                <w:bCs/>
                <w:sz w:val="20"/>
              </w:rPr>
              <w:t>21,7</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84314" w:rsidP="00AE49BA">
            <w:pPr>
              <w:jc w:val="right"/>
              <w:rPr>
                <w:rFonts w:ascii="Arial Narrow" w:hAnsi="Arial Narrow" w:cs="Arial"/>
                <w:bCs/>
                <w:sz w:val="20"/>
              </w:rPr>
            </w:pPr>
            <w:r w:rsidRPr="00E84314">
              <w:rPr>
                <w:rFonts w:ascii="Arial Narrow" w:hAnsi="Arial Narrow" w:cs="Arial"/>
                <w:bCs/>
                <w:sz w:val="20"/>
              </w:rPr>
              <w:t>47,8</w:t>
            </w:r>
          </w:p>
        </w:tc>
        <w:tc>
          <w:tcPr>
            <w:tcW w:w="1100" w:type="dxa"/>
            <w:tcBorders>
              <w:top w:val="nil"/>
              <w:left w:val="nil"/>
              <w:bottom w:val="single" w:sz="8" w:space="0" w:color="auto"/>
              <w:right w:val="single" w:sz="8" w:space="0" w:color="auto"/>
              <w:tl2br w:val="nil"/>
              <w:tr2bl w:val="nil"/>
            </w:tcBorders>
            <w:noWrap/>
            <w:textDirection w:val="lrTb"/>
            <w:vAlign w:val="center"/>
          </w:tcPr>
          <w:p w:rsidR="00AE49BA" w:rsidRPr="00E84314" w:rsidP="00AE49BA">
            <w:pPr>
              <w:jc w:val="right"/>
              <w:rPr>
                <w:rFonts w:ascii="Arial Narrow" w:hAnsi="Arial Narrow" w:cs="Arial"/>
                <w:bCs/>
                <w:sz w:val="20"/>
              </w:rPr>
            </w:pPr>
            <w:r w:rsidRPr="00E84314">
              <w:rPr>
                <w:rFonts w:ascii="Arial Narrow" w:hAnsi="Arial Narrow" w:cs="Arial"/>
                <w:bCs/>
                <w:sz w:val="20"/>
              </w:rPr>
              <w:t>18,9</w:t>
            </w:r>
          </w:p>
        </w:tc>
        <w:tc>
          <w:tcPr>
            <w:tcW w:w="1103" w:type="dxa"/>
            <w:tcBorders>
              <w:top w:val="nil"/>
              <w:left w:val="nil"/>
              <w:bottom w:val="single" w:sz="8" w:space="0" w:color="auto"/>
              <w:right w:val="single" w:sz="8" w:space="0" w:color="auto"/>
              <w:tl2br w:val="nil"/>
              <w:tr2bl w:val="nil"/>
            </w:tcBorders>
            <w:noWrap/>
            <w:textDirection w:val="lrTb"/>
            <w:vAlign w:val="center"/>
          </w:tcPr>
          <w:p w:rsidR="00AE49BA" w:rsidRPr="00E84314" w:rsidP="00AE49BA">
            <w:pPr>
              <w:jc w:val="right"/>
              <w:rPr>
                <w:rFonts w:ascii="Arial Narrow" w:hAnsi="Arial Narrow" w:cs="Arial"/>
                <w:bCs/>
                <w:sz w:val="20"/>
              </w:rPr>
            </w:pPr>
            <w:r w:rsidRPr="00E84314">
              <w:rPr>
                <w:rFonts w:ascii="Arial Narrow" w:hAnsi="Arial Narrow" w:cs="Arial"/>
                <w:bCs/>
                <w:sz w:val="20"/>
              </w:rPr>
              <w:t>4,4</w:t>
            </w:r>
          </w:p>
        </w:tc>
      </w:tr>
      <w:tr>
        <w:tblPrEx>
          <w:tblW w:w="9190" w:type="dxa"/>
          <w:tblInd w:w="60" w:type="dxa"/>
          <w:tblLayout w:type="fixed"/>
          <w:tblCellMar>
            <w:left w:w="70" w:type="dxa"/>
            <w:right w:w="70" w:type="dxa"/>
          </w:tblCellMar>
        </w:tblPrEx>
        <w:trPr>
          <w:trHeight w:val="255"/>
        </w:trPr>
        <w:tc>
          <w:tcPr>
            <w:tcW w:w="9190" w:type="dxa"/>
            <w:gridSpan w:val="5"/>
            <w:tcBorders>
              <w:top w:val="nil"/>
              <w:left w:val="nil"/>
              <w:bottom w:val="nil"/>
              <w:right w:val="nil"/>
              <w:tl2br w:val="nil"/>
              <w:tr2bl w:val="nil"/>
            </w:tcBorders>
            <w:noWrap/>
            <w:textDirection w:val="lrTb"/>
            <w:vAlign w:val="bottom"/>
          </w:tcPr>
          <w:p w:rsidR="00AE49BA" w:rsidRPr="00892BCE" w:rsidP="00AE49BA">
            <w:pPr>
              <w:rPr>
                <w:rFonts w:ascii="Arial Narrow" w:hAnsi="Arial Narrow" w:cs="Arial"/>
                <w:sz w:val="18"/>
                <w:szCs w:val="18"/>
              </w:rPr>
            </w:pPr>
            <w:r w:rsidRPr="00892BCE">
              <w:rPr>
                <w:rFonts w:ascii="Arial Narrow" w:hAnsi="Arial Narrow" w:cs="Arial"/>
                <w:sz w:val="18"/>
                <w:szCs w:val="18"/>
              </w:rPr>
              <w:t>* v roku 2008 sú započítané aj príspevky do Fondu výskumu uhlia a ocele, ktoré v nasledujúcich rokoch nie sú platené</w:t>
            </w:r>
          </w:p>
        </w:tc>
      </w:tr>
    </w:tbl>
    <w:p w:rsidR="00AE49BA" w:rsidP="00AE49BA">
      <w:pPr>
        <w:jc w:val="both"/>
        <w:rPr>
          <w:rFonts w:ascii="Arial Narrow" w:hAnsi="Arial Narrow" w:cs="Times New Roman"/>
          <w:sz w:val="22"/>
          <w:szCs w:val="22"/>
        </w:rPr>
      </w:pPr>
    </w:p>
    <w:p w:rsidR="00AE49BA" w:rsidRPr="00E51AAD" w:rsidP="00AE49BA">
      <w:pPr>
        <w:ind w:firstLine="708"/>
        <w:jc w:val="both"/>
        <w:rPr>
          <w:rFonts w:ascii="Arial Narrow" w:hAnsi="Arial Narrow" w:cs="Times New Roman"/>
          <w:sz w:val="22"/>
          <w:szCs w:val="22"/>
        </w:rPr>
      </w:pPr>
      <w:r w:rsidRPr="00E51AAD">
        <w:rPr>
          <w:rFonts w:ascii="Arial Narrow" w:hAnsi="Arial Narrow" w:cs="Times New Roman"/>
          <w:sz w:val="22"/>
          <w:szCs w:val="22"/>
        </w:rPr>
        <w:t xml:space="preserve">Výdavky Ministerstva školstva SR </w:t>
      </w:r>
      <w:r w:rsidRPr="00E51AAD">
        <w:rPr>
          <w:rFonts w:ascii="Arial Narrow" w:hAnsi="Arial Narrow" w:cs="Times New Roman"/>
          <w:bCs/>
          <w:sz w:val="22"/>
          <w:szCs w:val="22"/>
        </w:rPr>
        <w:t>na vedu a techniku tvoria n</w:t>
      </w:r>
      <w:r w:rsidRPr="00E51AAD">
        <w:rPr>
          <w:rFonts w:ascii="Arial Narrow" w:hAnsi="Arial Narrow" w:cs="Times New Roman"/>
          <w:sz w:val="22"/>
          <w:szCs w:val="22"/>
        </w:rPr>
        <w:t xml:space="preserve">ajvýznamnejšiu položku výdavkov na vedu. Tieto výdavky sú tvorené hlavne výdavkami na podporu </w:t>
      </w:r>
      <w:r w:rsidRPr="00E51AAD">
        <w:rPr>
          <w:rFonts w:ascii="Arial Narrow" w:hAnsi="Arial Narrow" w:cs="Times New Roman"/>
          <w:b/>
          <w:bCs/>
          <w:iCs/>
          <w:sz w:val="22"/>
          <w:szCs w:val="22"/>
        </w:rPr>
        <w:t>vysokoškolskej vedy a techniky</w:t>
      </w:r>
      <w:r w:rsidRPr="00E51AAD">
        <w:rPr>
          <w:rFonts w:ascii="Arial Narrow" w:hAnsi="Arial Narrow" w:cs="Times New Roman"/>
          <w:sz w:val="22"/>
          <w:szCs w:val="22"/>
        </w:rPr>
        <w:t xml:space="preserve"> a to vo výške </w:t>
      </w:r>
      <w:r w:rsidRPr="00E51AAD">
        <w:rPr>
          <w:rFonts w:ascii="Arial Narrow" w:hAnsi="Arial Narrow" w:cs="Times New Roman"/>
          <w:b/>
          <w:bCs/>
          <w:sz w:val="22"/>
          <w:szCs w:val="22"/>
        </w:rPr>
        <w:t>55</w:t>
      </w:r>
      <w:r>
        <w:rPr>
          <w:rFonts w:ascii="Arial Narrow" w:hAnsi="Arial Narrow" w:cs="Times New Roman"/>
          <w:b/>
          <w:bCs/>
          <w:sz w:val="22"/>
          <w:szCs w:val="22"/>
        </w:rPr>
        <w:t>,</w:t>
      </w:r>
      <w:r w:rsidRPr="00E51AAD">
        <w:rPr>
          <w:rFonts w:ascii="Arial Narrow" w:hAnsi="Arial Narrow" w:cs="Times New Roman"/>
          <w:b/>
          <w:bCs/>
          <w:sz w:val="22"/>
          <w:szCs w:val="22"/>
        </w:rPr>
        <w:t xml:space="preserve">0 </w:t>
      </w:r>
      <w:r>
        <w:rPr>
          <w:rFonts w:ascii="Arial Narrow" w:hAnsi="Arial Narrow" w:cs="Times New Roman"/>
          <w:b/>
          <w:bCs/>
          <w:sz w:val="22"/>
          <w:szCs w:val="22"/>
        </w:rPr>
        <w:t>mil</w:t>
      </w:r>
      <w:r w:rsidRPr="00E51AAD">
        <w:rPr>
          <w:rFonts w:ascii="Arial Narrow" w:hAnsi="Arial Narrow" w:cs="Times New Roman"/>
          <w:b/>
          <w:bCs/>
          <w:sz w:val="22"/>
          <w:szCs w:val="22"/>
        </w:rPr>
        <w:t>. eur</w:t>
      </w:r>
      <w:r w:rsidRPr="00E51AAD">
        <w:rPr>
          <w:rFonts w:ascii="Arial Narrow" w:hAnsi="Arial Narrow" w:cs="Times New Roman"/>
          <w:sz w:val="22"/>
          <w:szCs w:val="22"/>
        </w:rPr>
        <w:t xml:space="preserve">, čo je v porovnaní s rokom 2006 </w:t>
      </w:r>
      <w:r w:rsidRPr="00E51AAD">
        <w:rPr>
          <w:rFonts w:ascii="Arial Narrow" w:hAnsi="Arial Narrow" w:cs="Times New Roman"/>
          <w:b/>
          <w:bCs/>
          <w:sz w:val="22"/>
          <w:szCs w:val="22"/>
        </w:rPr>
        <w:t>nárast o </w:t>
      </w:r>
      <w:r>
        <w:rPr>
          <w:rFonts w:ascii="Arial Narrow" w:hAnsi="Arial Narrow" w:cs="Times New Roman"/>
          <w:b/>
          <w:bCs/>
          <w:sz w:val="22"/>
          <w:szCs w:val="22"/>
        </w:rPr>
        <w:t>46</w:t>
      </w:r>
      <w:r w:rsidRPr="00E51AAD">
        <w:rPr>
          <w:rFonts w:ascii="Arial Narrow" w:hAnsi="Arial Narrow" w:cs="Times New Roman"/>
          <w:b/>
          <w:bCs/>
          <w:sz w:val="22"/>
          <w:szCs w:val="22"/>
        </w:rPr>
        <w:t xml:space="preserve"> %.</w:t>
      </w:r>
      <w:r w:rsidRPr="00E51AAD">
        <w:rPr>
          <w:rFonts w:ascii="Arial Narrow" w:hAnsi="Arial Narrow" w:cs="Times New Roman"/>
          <w:sz w:val="22"/>
          <w:szCs w:val="22"/>
        </w:rPr>
        <w:t xml:space="preserve"> Táto suma nezahŕňa </w:t>
      </w:r>
      <w:r w:rsidRPr="00E51AAD">
        <w:rPr>
          <w:rFonts w:ascii="Arial Narrow" w:hAnsi="Arial Narrow" w:cs="Times New Roman"/>
          <w:b/>
          <w:bCs/>
          <w:sz w:val="22"/>
          <w:szCs w:val="22"/>
        </w:rPr>
        <w:t>mzdové výdavky na pedagogických pracovníkov vysokých škôl</w:t>
      </w:r>
      <w:r w:rsidRPr="00E51AAD">
        <w:rPr>
          <w:rFonts w:ascii="Arial Narrow" w:hAnsi="Arial Narrow" w:cs="Times New Roman"/>
          <w:sz w:val="22"/>
          <w:szCs w:val="22"/>
        </w:rPr>
        <w:t>, ktorých pracovnou náplňou je okrem pedagogickej činnosti aj vedecká činnosť (300 – 500 hodín vedeckej činnosti ročne). To znamená, že približne jedna pätina celkových mzdových nákladov pedagogických pracovníkov vysokých škôl (</w:t>
      </w:r>
      <w:r w:rsidRPr="00E51AAD">
        <w:rPr>
          <w:rFonts w:ascii="Arial Narrow" w:hAnsi="Arial Narrow" w:cs="Times New Roman"/>
          <w:bCs/>
          <w:sz w:val="22"/>
          <w:szCs w:val="22"/>
        </w:rPr>
        <w:t>cca</w:t>
      </w:r>
      <w:r w:rsidRPr="00E51AAD">
        <w:rPr>
          <w:rFonts w:ascii="Arial Narrow" w:hAnsi="Arial Narrow" w:cs="Times New Roman"/>
          <w:b/>
          <w:sz w:val="22"/>
          <w:szCs w:val="22"/>
        </w:rPr>
        <w:t xml:space="preserve"> 1 000 mil. </w:t>
      </w:r>
      <w:r w:rsidR="00BB1DD7">
        <w:rPr>
          <w:rFonts w:ascii="Arial Narrow" w:hAnsi="Arial Narrow" w:cs="Times New Roman"/>
          <w:b/>
          <w:sz w:val="22"/>
          <w:szCs w:val="22"/>
        </w:rPr>
        <w:t>eur</w:t>
      </w:r>
      <w:r w:rsidRPr="00E51AAD">
        <w:rPr>
          <w:rFonts w:ascii="Arial Narrow" w:hAnsi="Arial Narrow" w:cs="Times New Roman"/>
          <w:sz w:val="22"/>
          <w:szCs w:val="22"/>
        </w:rPr>
        <w:t xml:space="preserve">) smeruje taktiež do oblasti vedy a techniky. </w:t>
      </w:r>
    </w:p>
    <w:p w:rsidR="00AE49BA" w:rsidRPr="00E51AAD" w:rsidP="00AE49BA">
      <w:pPr>
        <w:jc w:val="both"/>
        <w:rPr>
          <w:rFonts w:ascii="Arial Narrow" w:hAnsi="Arial Narrow" w:cs="Times New Roman"/>
          <w:sz w:val="22"/>
          <w:szCs w:val="22"/>
        </w:rPr>
      </w:pPr>
    </w:p>
    <w:p w:rsidR="00AE49BA" w:rsidRPr="00E51AAD" w:rsidP="00AE49BA">
      <w:pPr>
        <w:ind w:firstLine="708"/>
        <w:jc w:val="both"/>
        <w:rPr>
          <w:rFonts w:ascii="Arial Narrow" w:hAnsi="Arial Narrow" w:cs="Times New Roman"/>
          <w:sz w:val="22"/>
          <w:szCs w:val="22"/>
        </w:rPr>
      </w:pPr>
      <w:r w:rsidRPr="00E51AAD">
        <w:rPr>
          <w:rFonts w:ascii="Arial Narrow" w:hAnsi="Arial Narrow" w:cs="Times New Roman"/>
          <w:b/>
          <w:bCs/>
          <w:iCs/>
          <w:sz w:val="22"/>
          <w:szCs w:val="22"/>
        </w:rPr>
        <w:t>Agentúra na podporu výskumu a vývoja</w:t>
      </w:r>
      <w:r w:rsidRPr="00E51AAD">
        <w:rPr>
          <w:rFonts w:ascii="Arial Narrow" w:hAnsi="Arial Narrow" w:cs="Times New Roman"/>
          <w:sz w:val="22"/>
          <w:szCs w:val="22"/>
        </w:rPr>
        <w:t xml:space="preserve"> (APVV) s rozpočtom 39</w:t>
      </w:r>
      <w:r>
        <w:rPr>
          <w:rFonts w:ascii="Arial Narrow" w:hAnsi="Arial Narrow" w:cs="Times New Roman"/>
          <w:sz w:val="22"/>
          <w:szCs w:val="22"/>
        </w:rPr>
        <w:t>,</w:t>
      </w:r>
      <w:r w:rsidRPr="00E51AAD">
        <w:rPr>
          <w:rFonts w:ascii="Arial Narrow" w:hAnsi="Arial Narrow" w:cs="Times New Roman"/>
          <w:sz w:val="22"/>
          <w:szCs w:val="22"/>
        </w:rPr>
        <w:t xml:space="preserve">8 </w:t>
      </w:r>
      <w:r>
        <w:rPr>
          <w:rFonts w:ascii="Arial Narrow" w:hAnsi="Arial Narrow" w:cs="Times New Roman"/>
          <w:sz w:val="22"/>
          <w:szCs w:val="22"/>
        </w:rPr>
        <w:t>mil</w:t>
      </w:r>
      <w:r w:rsidRPr="00E51AAD">
        <w:rPr>
          <w:rFonts w:ascii="Arial Narrow" w:hAnsi="Arial Narrow" w:cs="Times New Roman"/>
          <w:sz w:val="22"/>
          <w:szCs w:val="22"/>
        </w:rPr>
        <w:t xml:space="preserve">. eur, </w:t>
      </w:r>
      <w:r w:rsidRPr="00E51AAD">
        <w:rPr>
          <w:rFonts w:ascii="Arial Narrow" w:hAnsi="Arial Narrow" w:cs="Times New Roman"/>
          <w:b/>
          <w:bCs/>
          <w:sz w:val="22"/>
          <w:szCs w:val="22"/>
        </w:rPr>
        <w:t xml:space="preserve">rastie </w:t>
      </w:r>
      <w:r w:rsidRPr="00E51AAD">
        <w:rPr>
          <w:rFonts w:ascii="Arial Narrow" w:hAnsi="Arial Narrow" w:cs="Times New Roman"/>
          <w:sz w:val="22"/>
          <w:szCs w:val="22"/>
        </w:rPr>
        <w:t xml:space="preserve">v porovnaní s rokom 2006 </w:t>
      </w:r>
      <w:r w:rsidRPr="00E51AAD">
        <w:rPr>
          <w:rFonts w:ascii="Arial Narrow" w:hAnsi="Arial Narrow" w:cs="Times New Roman"/>
          <w:b/>
          <w:bCs/>
          <w:sz w:val="22"/>
          <w:szCs w:val="22"/>
        </w:rPr>
        <w:t xml:space="preserve">o 65,7  %, </w:t>
      </w:r>
      <w:r w:rsidRPr="00E51AAD">
        <w:rPr>
          <w:rFonts w:ascii="Arial Narrow" w:hAnsi="Arial Narrow" w:cs="Times New Roman"/>
          <w:sz w:val="22"/>
          <w:szCs w:val="22"/>
        </w:rPr>
        <w:t>predstavuje druhú najvýznamnejšiu položku výdavkov na vedu a techniku z ministerstva školstva. Úlohou agentúry je podpora projektov výskumu a vývoja.</w:t>
      </w:r>
    </w:p>
    <w:p w:rsidR="00AE49BA" w:rsidRPr="00B6013B" w:rsidP="00AE49BA">
      <w:pPr>
        <w:jc w:val="both"/>
        <w:rPr>
          <w:rFonts w:ascii="Arial Narrow" w:hAnsi="Arial Narrow" w:cs="Times New Roman"/>
          <w:sz w:val="22"/>
          <w:szCs w:val="22"/>
          <w:highlight w:val="yellow"/>
        </w:rPr>
      </w:pPr>
    </w:p>
    <w:p w:rsidR="00AE49BA" w:rsidP="00AE49BA">
      <w:pPr>
        <w:ind w:firstLine="708"/>
        <w:jc w:val="both"/>
        <w:rPr>
          <w:rFonts w:ascii="Arial Narrow" w:hAnsi="Arial Narrow" w:cs="Times New Roman"/>
          <w:sz w:val="22"/>
          <w:szCs w:val="22"/>
        </w:rPr>
      </w:pPr>
      <w:r w:rsidRPr="00E51AAD">
        <w:rPr>
          <w:rFonts w:ascii="Arial Narrow" w:hAnsi="Arial Narrow" w:cs="Times New Roman"/>
          <w:sz w:val="22"/>
          <w:szCs w:val="22"/>
        </w:rPr>
        <w:t xml:space="preserve">Výdavky na </w:t>
      </w:r>
      <w:r w:rsidRPr="00E51AAD">
        <w:rPr>
          <w:rFonts w:ascii="Arial Narrow" w:hAnsi="Arial Narrow" w:cs="Times New Roman"/>
          <w:b/>
          <w:iCs/>
          <w:sz w:val="22"/>
          <w:szCs w:val="22"/>
        </w:rPr>
        <w:t>Štátne programy výskumu a vývoja</w:t>
      </w:r>
      <w:r w:rsidRPr="00E51AAD">
        <w:rPr>
          <w:rFonts w:ascii="Arial Narrow" w:hAnsi="Arial Narrow" w:cs="Times New Roman"/>
          <w:bCs/>
          <w:sz w:val="22"/>
          <w:szCs w:val="22"/>
        </w:rPr>
        <w:t xml:space="preserve"> </w:t>
      </w:r>
      <w:r w:rsidRPr="00E51AAD">
        <w:rPr>
          <w:rFonts w:ascii="Arial Narrow" w:hAnsi="Arial Narrow" w:cs="Times New Roman"/>
          <w:b/>
          <w:sz w:val="22"/>
          <w:szCs w:val="22"/>
        </w:rPr>
        <w:t>MŠ SR</w:t>
      </w:r>
      <w:r w:rsidRPr="00E51AAD">
        <w:rPr>
          <w:rFonts w:ascii="Arial Narrow" w:hAnsi="Arial Narrow" w:cs="Times New Roman"/>
          <w:bCs/>
          <w:sz w:val="22"/>
          <w:szCs w:val="22"/>
        </w:rPr>
        <w:t xml:space="preserve"> sú rozpočtované vo výške 5</w:t>
      </w:r>
      <w:r>
        <w:rPr>
          <w:rFonts w:ascii="Arial Narrow" w:hAnsi="Arial Narrow" w:cs="Times New Roman"/>
          <w:bCs/>
          <w:sz w:val="22"/>
          <w:szCs w:val="22"/>
        </w:rPr>
        <w:t>,</w:t>
      </w:r>
      <w:r w:rsidRPr="00E51AAD">
        <w:rPr>
          <w:rFonts w:ascii="Arial Narrow" w:hAnsi="Arial Narrow" w:cs="Times New Roman"/>
          <w:bCs/>
          <w:sz w:val="22"/>
          <w:szCs w:val="22"/>
        </w:rPr>
        <w:t xml:space="preserve">65 </w:t>
      </w:r>
      <w:r>
        <w:rPr>
          <w:rFonts w:ascii="Arial Narrow" w:hAnsi="Arial Narrow" w:cs="Times New Roman"/>
          <w:bCs/>
          <w:sz w:val="22"/>
          <w:szCs w:val="22"/>
        </w:rPr>
        <w:t>mil</w:t>
      </w:r>
      <w:r w:rsidRPr="00E51AAD">
        <w:rPr>
          <w:rFonts w:ascii="Arial Narrow" w:hAnsi="Arial Narrow" w:cs="Times New Roman"/>
          <w:bCs/>
          <w:sz w:val="22"/>
          <w:szCs w:val="22"/>
        </w:rPr>
        <w:t>. eur, čo predstavuje pokles oproti predchádzajúcim rokom, čo vyplýva z dofinancovania schválených štátnych programov na roky 2002 až 2005. Od roku 2005 neboli schválené žiadne nové štátne programy na výskum a vývoj, ani nové štátne programy na rozvoj infraštruktúry výskumu a vývoja.</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 xml:space="preserve">Neposledným významným zdrojom financovania vedy a techniky z verejných zdrojov v kapitole MŠ SR sú aj </w:t>
      </w:r>
      <w:r>
        <w:rPr>
          <w:rFonts w:ascii="Arial Narrow" w:hAnsi="Arial Narrow" w:cs="Times New Roman"/>
          <w:b/>
          <w:bCs/>
          <w:sz w:val="22"/>
          <w:szCs w:val="22"/>
        </w:rPr>
        <w:t>finančných prostriedkov zo štrukturálnych fondov EÚ</w:t>
      </w:r>
      <w:r w:rsidR="00F85C89">
        <w:rPr>
          <w:rFonts w:ascii="Arial Narrow" w:hAnsi="Arial Narrow" w:cs="Times New Roman"/>
          <w:bCs/>
          <w:sz w:val="22"/>
          <w:szCs w:val="22"/>
        </w:rPr>
        <w:t xml:space="preserve"> 2. programové</w:t>
      </w:r>
      <w:r>
        <w:rPr>
          <w:rFonts w:ascii="Arial Narrow" w:hAnsi="Arial Narrow" w:cs="Times New Roman"/>
          <w:bCs/>
          <w:sz w:val="22"/>
          <w:szCs w:val="22"/>
        </w:rPr>
        <w:t xml:space="preserve"> obdobie Operačný program Výskum a vývoj</w:t>
      </w:r>
      <w:r>
        <w:rPr>
          <w:rFonts w:ascii="Arial Narrow" w:hAnsi="Arial Narrow" w:cs="Times New Roman"/>
          <w:sz w:val="22"/>
          <w:szCs w:val="22"/>
        </w:rPr>
        <w:t xml:space="preserve">, ktorých celkový objem aj so spolufinancovaním pre rok 2009 </w:t>
      </w:r>
      <w:r w:rsidRPr="000E650D">
        <w:rPr>
          <w:rFonts w:ascii="Arial Narrow" w:hAnsi="Arial Narrow" w:cs="Times New Roman"/>
          <w:sz w:val="22"/>
          <w:szCs w:val="22"/>
        </w:rPr>
        <w:t>predstavuje 1</w:t>
      </w:r>
      <w:r>
        <w:rPr>
          <w:rFonts w:ascii="Arial Narrow" w:hAnsi="Arial Narrow" w:cs="Times New Roman"/>
          <w:sz w:val="22"/>
          <w:szCs w:val="22"/>
        </w:rPr>
        <w:t>72 mil. eur.</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000D6D6F">
        <w:rPr>
          <w:rFonts w:ascii="Arial Narrow" w:hAnsi="Arial Narrow" w:cs="Times New Roman"/>
          <w:b/>
          <w:bCs/>
          <w:sz w:val="22"/>
          <w:szCs w:val="22"/>
        </w:rPr>
        <w:t>Slovenská akadémia</w:t>
      </w:r>
      <w:r>
        <w:rPr>
          <w:rFonts w:ascii="Arial Narrow" w:hAnsi="Arial Narrow" w:cs="Times New Roman"/>
          <w:b/>
          <w:bCs/>
          <w:sz w:val="22"/>
          <w:szCs w:val="22"/>
        </w:rPr>
        <w:t xml:space="preserve"> vied</w:t>
      </w:r>
      <w:r>
        <w:rPr>
          <w:rFonts w:ascii="Arial Narrow" w:hAnsi="Arial Narrow" w:cs="Times New Roman"/>
          <w:sz w:val="22"/>
          <w:szCs w:val="22"/>
        </w:rPr>
        <w:t xml:space="preserve"> ako najvýznamnejší predstaviteľ základného výskumu v Slovenskej republike predstavuje druhú najväčšiu položku na celkovej sume výdavkov na základný výskum, a to 61,6 mil. eur (14,5 % celkových verejných výdavkov na vedu a techniku), čo predstavuje nárast oproti roku 2006 </w:t>
      </w:r>
      <w:r w:rsidRPr="00454CF4">
        <w:rPr>
          <w:rFonts w:ascii="Arial Narrow" w:hAnsi="Arial Narrow" w:cs="Times New Roman"/>
          <w:sz w:val="22"/>
          <w:szCs w:val="22"/>
        </w:rPr>
        <w:t>o 27 %</w:t>
      </w:r>
      <w:r>
        <w:rPr>
          <w:rFonts w:ascii="Arial Narrow" w:hAnsi="Arial Narrow" w:cs="Times New Roman"/>
          <w:sz w:val="22"/>
          <w:szCs w:val="22"/>
        </w:rPr>
        <w:t xml:space="preserve"> a oproti roku 2008 </w:t>
      </w:r>
      <w:r w:rsidRPr="000E650D">
        <w:rPr>
          <w:rFonts w:ascii="Arial Narrow" w:hAnsi="Arial Narrow" w:cs="Times New Roman"/>
          <w:sz w:val="22"/>
          <w:szCs w:val="22"/>
        </w:rPr>
        <w:t>o</w:t>
      </w:r>
      <w:r>
        <w:rPr>
          <w:rFonts w:ascii="Arial Narrow" w:hAnsi="Arial Narrow" w:cs="Times New Roman"/>
          <w:sz w:val="22"/>
          <w:szCs w:val="22"/>
        </w:rPr>
        <w:t> 5,8</w:t>
      </w:r>
      <w:r w:rsidRPr="000E650D">
        <w:rPr>
          <w:rFonts w:ascii="Arial Narrow" w:hAnsi="Arial Narrow" w:cs="Times New Roman"/>
          <w:sz w:val="22"/>
          <w:szCs w:val="22"/>
        </w:rPr>
        <w:t xml:space="preserve"> </w:t>
      </w:r>
      <w:r w:rsidRPr="000C2232">
        <w:rPr>
          <w:rFonts w:ascii="Arial Narrow" w:hAnsi="Arial Narrow" w:cs="Times New Roman"/>
          <w:sz w:val="22"/>
          <w:szCs w:val="22"/>
        </w:rPr>
        <w:t>%. Najväčší podiel</w:t>
      </w:r>
      <w:r>
        <w:rPr>
          <w:rFonts w:ascii="Arial Narrow" w:hAnsi="Arial Narrow" w:cs="Times New Roman"/>
          <w:sz w:val="22"/>
          <w:szCs w:val="22"/>
        </w:rPr>
        <w:t xml:space="preserve"> výdavkov základného výskumu SAV, na úrovni 31,2 % smeruje do oblasti v</w:t>
      </w:r>
      <w:r>
        <w:rPr>
          <w:rFonts w:ascii="Arial Narrow" w:hAnsi="Arial Narrow" w:cs="Arial"/>
          <w:sz w:val="22"/>
          <w:szCs w:val="22"/>
        </w:rPr>
        <w:t>ýskum a vývoj v lekárskych, veterinárnych, biologických, ekologických, poľnohospodárskych a chemických vedách,</w:t>
      </w:r>
      <w:r>
        <w:rPr>
          <w:rFonts w:ascii="Arial Narrow" w:hAnsi="Arial Narrow" w:cs="Times New Roman"/>
          <w:sz w:val="22"/>
          <w:szCs w:val="22"/>
        </w:rPr>
        <w:t xml:space="preserve"> z toho s najväčším finančným podielom na  lekárske vedy vo výške 35 %.</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SAV realizuje okrem základného výskumu aj tretí stupeň vzdelávania (doktorandské štúdium), ktorý je pre rok 2009 financovaný vo výške 2,40 mil. eur.</w:t>
      </w:r>
    </w:p>
    <w:p w:rsidR="00AE49BA" w:rsidP="00AE49BA">
      <w:pPr>
        <w:pStyle w:val="BodyTextIndent"/>
        <w:spacing w:after="0"/>
        <w:ind w:left="0"/>
        <w:jc w:val="both"/>
        <w:rPr>
          <w:rFonts w:ascii="Arial Narrow" w:hAnsi="Arial Narrow" w:cs="Times New Roman"/>
          <w:b/>
          <w:bCs/>
          <w:sz w:val="22"/>
          <w:szCs w:val="22"/>
        </w:rPr>
      </w:pPr>
    </w:p>
    <w:p w:rsidR="00AE49BA" w:rsidP="00AE49BA">
      <w:pPr>
        <w:pStyle w:val="BodyTextIndent"/>
        <w:spacing w:after="0"/>
        <w:ind w:left="0" w:firstLine="708"/>
        <w:jc w:val="both"/>
        <w:rPr>
          <w:rFonts w:ascii="Arial Narrow" w:hAnsi="Arial Narrow" w:cs="Times New Roman"/>
          <w:bCs/>
          <w:sz w:val="22"/>
          <w:szCs w:val="22"/>
        </w:rPr>
      </w:pPr>
      <w:r>
        <w:rPr>
          <w:rFonts w:ascii="Arial Narrow" w:hAnsi="Arial Narrow" w:cs="Times New Roman"/>
          <w:b/>
          <w:sz w:val="22"/>
          <w:szCs w:val="22"/>
        </w:rPr>
        <w:t>Rezortná veda</w:t>
      </w:r>
      <w:r>
        <w:rPr>
          <w:rFonts w:ascii="Arial Narrow" w:hAnsi="Arial Narrow" w:cs="Times New Roman"/>
          <w:sz w:val="22"/>
          <w:szCs w:val="22"/>
        </w:rPr>
        <w:t xml:space="preserve"> predstavuje ďalší priestor realizácie výskumu a vývoja v SR organizáciami kapitol štátneho rozpočtu. Do celkovej sumy výdavkov na </w:t>
      </w:r>
      <w:r w:rsidRPr="000A0F2A">
        <w:rPr>
          <w:rFonts w:ascii="Arial Narrow" w:hAnsi="Arial Narrow" w:cs="Times New Roman"/>
          <w:sz w:val="22"/>
          <w:szCs w:val="22"/>
        </w:rPr>
        <w:t xml:space="preserve">výskum a vývoj </w:t>
      </w:r>
      <w:r w:rsidRPr="000A0F2A">
        <w:rPr>
          <w:rFonts w:ascii="Arial Narrow" w:hAnsi="Arial Narrow" w:cs="Times New Roman"/>
          <w:bCs/>
          <w:sz w:val="22"/>
          <w:szCs w:val="22"/>
        </w:rPr>
        <w:t xml:space="preserve">určených pre výskumné organizácie rezortov </w:t>
      </w:r>
      <w:r w:rsidRPr="000A0F2A">
        <w:rPr>
          <w:rFonts w:ascii="Arial Narrow" w:hAnsi="Arial Narrow" w:cs="Times New Roman"/>
          <w:sz w:val="22"/>
          <w:szCs w:val="22"/>
        </w:rPr>
        <w:t xml:space="preserve">prispievajú sumou vo výške </w:t>
      </w:r>
      <w:r w:rsidRPr="000A0F2A">
        <w:rPr>
          <w:rFonts w:ascii="Arial Narrow" w:hAnsi="Arial Narrow" w:cs="Times New Roman"/>
          <w:b/>
          <w:bCs/>
          <w:sz w:val="22"/>
          <w:szCs w:val="22"/>
        </w:rPr>
        <w:t>33</w:t>
      </w:r>
      <w:r>
        <w:rPr>
          <w:rFonts w:ascii="Arial Narrow" w:hAnsi="Arial Narrow" w:cs="Times New Roman"/>
          <w:b/>
          <w:bCs/>
          <w:sz w:val="22"/>
          <w:szCs w:val="22"/>
        </w:rPr>
        <w:t>,5</w:t>
      </w:r>
      <w:r w:rsidRPr="000A0F2A">
        <w:rPr>
          <w:rFonts w:ascii="Arial Narrow" w:hAnsi="Arial Narrow" w:cs="Times New Roman"/>
          <w:b/>
          <w:bCs/>
          <w:sz w:val="22"/>
          <w:szCs w:val="22"/>
        </w:rPr>
        <w:t xml:space="preserve"> </w:t>
      </w:r>
      <w:r>
        <w:rPr>
          <w:rFonts w:ascii="Arial Narrow" w:hAnsi="Arial Narrow" w:cs="Times New Roman"/>
          <w:b/>
          <w:bCs/>
          <w:sz w:val="22"/>
          <w:szCs w:val="22"/>
        </w:rPr>
        <w:t>mil</w:t>
      </w:r>
      <w:r w:rsidRPr="000A0F2A">
        <w:rPr>
          <w:rFonts w:ascii="Arial Narrow" w:hAnsi="Arial Narrow" w:cs="Times New Roman"/>
          <w:b/>
          <w:bCs/>
          <w:sz w:val="22"/>
          <w:szCs w:val="22"/>
        </w:rPr>
        <w:t>. eur</w:t>
      </w:r>
      <w:r w:rsidRPr="000A0F2A">
        <w:rPr>
          <w:rFonts w:ascii="Arial Narrow" w:hAnsi="Arial Narrow" w:cs="Times New Roman"/>
          <w:bCs/>
          <w:sz w:val="22"/>
          <w:szCs w:val="22"/>
        </w:rPr>
        <w:t>, kde</w:t>
      </w:r>
      <w:r>
        <w:rPr>
          <w:rFonts w:ascii="Arial Narrow" w:hAnsi="Arial Narrow" w:cs="Times New Roman"/>
          <w:bCs/>
          <w:sz w:val="22"/>
          <w:szCs w:val="22"/>
        </w:rPr>
        <w:t xml:space="preserve"> najväčšiu časť tvoria výdavky Ministerstva pôdohospodárstva SR a Ministerstva zdravotníctva SR.</w:t>
      </w:r>
    </w:p>
    <w:p w:rsidR="00AE49BA" w:rsidP="00AE49BA">
      <w:pPr>
        <w:jc w:val="both"/>
        <w:rPr>
          <w:rFonts w:ascii="Arial Narrow" w:hAnsi="Arial Narrow" w:cs="Times New Roman"/>
          <w:sz w:val="22"/>
          <w:szCs w:val="22"/>
        </w:rPr>
      </w:pPr>
    </w:p>
    <w:p w:rsidR="00AE49BA" w:rsidRPr="00F76C72" w:rsidP="00AE49BA">
      <w:pPr>
        <w:jc w:val="both"/>
        <w:rPr>
          <w:rFonts w:ascii="Arial Narrow" w:hAnsi="Arial Narrow" w:cs="Times New Roman"/>
          <w:b/>
          <w:bCs/>
          <w:iCs/>
          <w:sz w:val="22"/>
          <w:szCs w:val="22"/>
        </w:rPr>
      </w:pPr>
      <w:r>
        <w:rPr>
          <w:rFonts w:ascii="Arial Narrow" w:hAnsi="Arial Narrow" w:cs="Times New Roman"/>
          <w:b/>
          <w:bCs/>
          <w:iCs/>
          <w:sz w:val="22"/>
          <w:szCs w:val="22"/>
        </w:rPr>
        <w:t>Š</w:t>
      </w:r>
      <w:r w:rsidRPr="00F76C72">
        <w:rPr>
          <w:rFonts w:ascii="Arial Narrow" w:hAnsi="Arial Narrow" w:cs="Times New Roman"/>
          <w:b/>
          <w:bCs/>
          <w:iCs/>
          <w:sz w:val="22"/>
          <w:szCs w:val="22"/>
        </w:rPr>
        <w:t>port</w:t>
      </w:r>
    </w:p>
    <w:p w:rsidR="00AE49BA" w:rsidRPr="00F76C72"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F76C72">
        <w:rPr>
          <w:rFonts w:ascii="Arial Narrow" w:hAnsi="Arial Narrow" w:cs="Times New Roman"/>
          <w:sz w:val="22"/>
          <w:szCs w:val="22"/>
        </w:rPr>
        <w:t xml:space="preserve">Verejné výdavky na podporu športu majú každoročnú dynamiku rastu. Rozpočet výdavkov štátneho rozpočtu na podporu rozvoja športu si zachováva približne rovnakú úroveň. </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55"/>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center"/>
          </w:tcPr>
          <w:p w:rsidR="00AE49BA" w:rsidRPr="00EF219E" w:rsidP="00AE49BA">
            <w:pPr>
              <w:rPr>
                <w:rFonts w:ascii="Arial Narrow" w:hAnsi="Arial Narrow" w:cs="Arial"/>
                <w:b/>
                <w:color w:val="FFFFFF"/>
                <w:sz w:val="20"/>
              </w:rPr>
            </w:pPr>
            <w:r w:rsidRPr="00EF219E">
              <w:rPr>
                <w:rFonts w:ascii="Arial Narrow" w:hAnsi="Arial Narrow" w:cs="Arial"/>
                <w:b/>
                <w:color w:val="FFFFFF"/>
                <w:sz w:val="20"/>
              </w:rPr>
              <w:t>(v tis</w:t>
            </w:r>
            <w:r w:rsidR="00BC47F9">
              <w:rPr>
                <w:rFonts w:ascii="Arial Narrow" w:hAnsi="Arial Narrow" w:cs="Arial"/>
                <w:b/>
                <w:color w:val="FFFFFF"/>
                <w:sz w:val="20"/>
              </w:rPr>
              <w:t>.</w:t>
            </w:r>
            <w:r w:rsidRPr="00EF219E">
              <w:rPr>
                <w:rFonts w:ascii="Arial Narrow" w:hAnsi="Arial Narrow" w:cs="Arial"/>
                <w:b/>
                <w:color w:val="FFFFFF"/>
                <w:sz w:val="20"/>
              </w:rPr>
              <w:t xml:space="preserve"> eur)</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2006 </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2007 </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 xml:space="preserve">2008 </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Ministerstvo školstva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33 867</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33 867</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33 559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33 604</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Ministerstvo obrany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3 875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3 207</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4 624</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5 040</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Ministerstvo vnútra SR</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4 231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4 325</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2 626</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2 600</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 xml:space="preserve">Úrad vlády SR </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199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1 992</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1 992</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VPS na výstavbu a rekonštrukciu ihrísk</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7 967</w:t>
            </w:r>
          </w:p>
        </w:tc>
      </w:tr>
      <w:tr>
        <w:tblPrEx>
          <w:tblW w:w="9195" w:type="dxa"/>
          <w:tblInd w:w="55" w:type="dxa"/>
          <w:tblLayout w:type="fixed"/>
          <w:tblCellMar>
            <w:left w:w="70" w:type="dxa"/>
            <w:right w:w="70" w:type="dxa"/>
          </w:tblCellMar>
        </w:tblPrEx>
        <w:trPr>
          <w:trHeight w:val="255"/>
        </w:trPr>
        <w:tc>
          <w:tcPr>
            <w:tcW w:w="4695" w:type="dxa"/>
            <w:tcBorders>
              <w:top w:val="nil"/>
              <w:left w:val="single" w:sz="8" w:space="0" w:color="auto"/>
              <w:bottom w:val="single" w:sz="4"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Obce</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3 319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3 651</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4 979</w:t>
            </w:r>
          </w:p>
        </w:tc>
        <w:tc>
          <w:tcPr>
            <w:tcW w:w="1125" w:type="dxa"/>
            <w:tcBorders>
              <w:top w:val="nil"/>
              <w:left w:val="nil"/>
              <w:bottom w:val="single" w:sz="4"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6 639</w:t>
            </w:r>
          </w:p>
        </w:tc>
      </w:tr>
      <w:tr>
        <w:tblPrEx>
          <w:tblW w:w="9195" w:type="dxa"/>
          <w:tblInd w:w="55" w:type="dxa"/>
          <w:tblLayout w:type="fixed"/>
          <w:tblCellMar>
            <w:left w:w="70" w:type="dxa"/>
            <w:right w:w="70" w:type="dxa"/>
          </w:tblCellMar>
        </w:tblPrEx>
        <w:trPr>
          <w:trHeight w:val="255"/>
        </w:trPr>
        <w:tc>
          <w:tcPr>
            <w:tcW w:w="4695" w:type="dxa"/>
            <w:tcBorders>
              <w:top w:val="single" w:sz="4" w:space="0" w:color="auto"/>
              <w:left w:val="single" w:sz="8" w:space="0" w:color="auto"/>
              <w:bottom w:val="single" w:sz="4" w:space="0" w:color="auto"/>
              <w:right w:val="single" w:sz="4" w:space="0" w:color="auto"/>
              <w:tl2br w:val="nil"/>
              <w:tr2bl w:val="nil"/>
            </w:tcBorders>
            <w:shd w:val="clear" w:color="auto" w:fill="CCCCCC"/>
            <w:noWrap/>
            <w:textDirection w:val="lrTb"/>
            <w:vAlign w:val="center"/>
          </w:tcPr>
          <w:p w:rsidR="00AE49BA" w:rsidRPr="00EF219E" w:rsidP="00AE49BA">
            <w:pPr>
              <w:rPr>
                <w:rFonts w:ascii="Arial Narrow" w:hAnsi="Arial Narrow" w:cs="Arial"/>
                <w:b/>
                <w:bCs/>
                <w:sz w:val="20"/>
                <w:highlight w:val="lightGray"/>
              </w:rPr>
            </w:pPr>
            <w:r w:rsidRPr="00EF219E">
              <w:rPr>
                <w:rFonts w:ascii="Arial Narrow" w:hAnsi="Arial Narrow" w:cs="Arial"/>
                <w:b/>
                <w:bCs/>
                <w:sz w:val="20"/>
                <w:highlight w:val="lightGray"/>
              </w:rPr>
              <w:t>Verejné zdroje spolu</w:t>
            </w:r>
          </w:p>
        </w:tc>
        <w:tc>
          <w:tcPr>
            <w:tcW w:w="1125" w:type="dxa"/>
            <w:tcBorders>
              <w:top w:val="single" w:sz="4" w:space="0" w:color="auto"/>
              <w:left w:val="nil"/>
              <w:bottom w:val="single" w:sz="4" w:space="0" w:color="auto"/>
              <w:right w:val="single" w:sz="4" w:space="0" w:color="auto"/>
              <w:tl2br w:val="nil"/>
              <w:tr2bl w:val="nil"/>
            </w:tcBorders>
            <w:shd w:val="clear" w:color="auto" w:fill="CCCCCC"/>
            <w:noWrap/>
            <w:textDirection w:val="lrTb"/>
            <w:vAlign w:val="center"/>
          </w:tcPr>
          <w:p w:rsidR="00AE49BA" w:rsidRPr="00EF219E" w:rsidP="00AE49BA">
            <w:pPr>
              <w:jc w:val="right"/>
              <w:rPr>
                <w:rFonts w:ascii="Arial Narrow" w:hAnsi="Arial Narrow" w:cs="Arial"/>
                <w:b/>
                <w:sz w:val="20"/>
                <w:highlight w:val="lightGray"/>
              </w:rPr>
            </w:pPr>
            <w:r w:rsidRPr="00EF219E">
              <w:rPr>
                <w:rFonts w:ascii="Arial Narrow" w:hAnsi="Arial Narrow" w:cs="Arial"/>
                <w:b/>
                <w:sz w:val="20"/>
                <w:highlight w:val="lightGray"/>
              </w:rPr>
              <w:t>45 293</w:t>
            </w:r>
          </w:p>
        </w:tc>
        <w:tc>
          <w:tcPr>
            <w:tcW w:w="1125" w:type="dxa"/>
            <w:tcBorders>
              <w:top w:val="single" w:sz="4" w:space="0" w:color="auto"/>
              <w:left w:val="nil"/>
              <w:bottom w:val="single" w:sz="4" w:space="0" w:color="auto"/>
              <w:right w:val="single" w:sz="4" w:space="0" w:color="auto"/>
              <w:tl2br w:val="nil"/>
              <w:tr2bl w:val="nil"/>
            </w:tcBorders>
            <w:shd w:val="clear" w:color="auto" w:fill="CCCCCC"/>
            <w:noWrap/>
            <w:textDirection w:val="lrTb"/>
            <w:vAlign w:val="center"/>
          </w:tcPr>
          <w:p w:rsidR="00AE49BA" w:rsidRPr="00EF219E" w:rsidP="00AE49BA">
            <w:pPr>
              <w:jc w:val="right"/>
              <w:rPr>
                <w:rFonts w:ascii="Arial Narrow" w:hAnsi="Arial Narrow" w:cs="Arial"/>
                <w:b/>
                <w:sz w:val="20"/>
                <w:highlight w:val="lightGray"/>
              </w:rPr>
            </w:pPr>
            <w:r w:rsidRPr="00EF219E">
              <w:rPr>
                <w:rFonts w:ascii="Arial Narrow" w:hAnsi="Arial Narrow" w:cs="Arial"/>
                <w:b/>
                <w:sz w:val="20"/>
                <w:highlight w:val="lightGray"/>
              </w:rPr>
              <w:t>45 250</w:t>
            </w:r>
          </w:p>
        </w:tc>
        <w:tc>
          <w:tcPr>
            <w:tcW w:w="1125" w:type="dxa"/>
            <w:tcBorders>
              <w:top w:val="single" w:sz="4" w:space="0" w:color="auto"/>
              <w:left w:val="nil"/>
              <w:bottom w:val="single" w:sz="4" w:space="0" w:color="auto"/>
              <w:right w:val="single" w:sz="4" w:space="0" w:color="auto"/>
              <w:tl2br w:val="nil"/>
              <w:tr2bl w:val="nil"/>
            </w:tcBorders>
            <w:shd w:val="clear" w:color="auto" w:fill="CCCCCC"/>
            <w:noWrap/>
            <w:textDirection w:val="lrTb"/>
            <w:vAlign w:val="center"/>
          </w:tcPr>
          <w:p w:rsidR="00AE49BA" w:rsidRPr="00EF219E" w:rsidP="00AE49BA">
            <w:pPr>
              <w:jc w:val="right"/>
              <w:rPr>
                <w:rFonts w:ascii="Arial Narrow" w:hAnsi="Arial Narrow" w:cs="Arial"/>
                <w:b/>
                <w:bCs/>
                <w:sz w:val="20"/>
                <w:highlight w:val="lightGray"/>
              </w:rPr>
            </w:pPr>
            <w:r w:rsidRPr="00EF219E">
              <w:rPr>
                <w:rFonts w:ascii="Arial Narrow" w:hAnsi="Arial Narrow" w:cs="Arial"/>
                <w:b/>
                <w:bCs/>
                <w:sz w:val="20"/>
                <w:highlight w:val="lightGray"/>
              </w:rPr>
              <w:t>47 780</w:t>
            </w:r>
          </w:p>
        </w:tc>
        <w:tc>
          <w:tcPr>
            <w:tcW w:w="1125" w:type="dxa"/>
            <w:tcBorders>
              <w:top w:val="single" w:sz="4" w:space="0" w:color="auto"/>
              <w:left w:val="nil"/>
              <w:bottom w:val="single" w:sz="4" w:space="0" w:color="auto"/>
              <w:right w:val="single" w:sz="4" w:space="0" w:color="auto"/>
              <w:tl2br w:val="nil"/>
              <w:tr2bl w:val="nil"/>
            </w:tcBorders>
            <w:shd w:val="clear" w:color="auto" w:fill="CCCCCC"/>
            <w:noWrap/>
            <w:textDirection w:val="lrTb"/>
            <w:vAlign w:val="center"/>
          </w:tcPr>
          <w:p w:rsidR="00AE49BA" w:rsidRPr="00EF219E" w:rsidP="00AE49BA">
            <w:pPr>
              <w:jc w:val="right"/>
              <w:rPr>
                <w:rFonts w:ascii="Arial Narrow" w:hAnsi="Arial Narrow" w:cs="Arial"/>
                <w:b/>
                <w:bCs/>
                <w:sz w:val="20"/>
                <w:highlight w:val="lightGray"/>
              </w:rPr>
            </w:pPr>
            <w:r w:rsidRPr="00EF219E">
              <w:rPr>
                <w:rFonts w:ascii="Arial Narrow" w:hAnsi="Arial Narrow" w:cs="Arial"/>
                <w:b/>
                <w:bCs/>
                <w:sz w:val="20"/>
                <w:highlight w:val="lightGray"/>
              </w:rPr>
              <w:t>57 841</w:t>
            </w:r>
          </w:p>
        </w:tc>
      </w:tr>
      <w:tr>
        <w:tblPrEx>
          <w:tblW w:w="9195" w:type="dxa"/>
          <w:tblInd w:w="55" w:type="dxa"/>
          <w:tblLayout w:type="fixed"/>
          <w:tblCellMar>
            <w:left w:w="70" w:type="dxa"/>
            <w:right w:w="70" w:type="dxa"/>
          </w:tblCellMar>
        </w:tblPrEx>
        <w:trPr>
          <w:trHeight w:val="270"/>
        </w:trPr>
        <w:tc>
          <w:tcPr>
            <w:tcW w:w="4695" w:type="dxa"/>
            <w:tcBorders>
              <w:top w:val="nil"/>
              <w:left w:val="single" w:sz="8" w:space="0" w:color="auto"/>
              <w:bottom w:val="single" w:sz="8" w:space="0" w:color="auto"/>
              <w:right w:val="single" w:sz="4" w:space="0" w:color="auto"/>
              <w:tl2br w:val="nil"/>
              <w:tr2bl w:val="nil"/>
            </w:tcBorders>
            <w:noWrap/>
            <w:textDirection w:val="lrTb"/>
            <w:vAlign w:val="center"/>
          </w:tcPr>
          <w:p w:rsidR="00AE49BA" w:rsidRPr="00EF219E" w:rsidP="00AE49BA">
            <w:pPr>
              <w:rPr>
                <w:rFonts w:ascii="Arial Narrow" w:hAnsi="Arial Narrow" w:cs="Arial"/>
                <w:sz w:val="20"/>
              </w:rPr>
            </w:pPr>
            <w:r w:rsidRPr="00EF219E">
              <w:rPr>
                <w:rFonts w:ascii="Arial Narrow" w:hAnsi="Arial Narrow" w:cs="Arial"/>
                <w:sz w:val="20"/>
              </w:rPr>
              <w:t xml:space="preserve">medziročná zmena v % </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 </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-0,09</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5,59</w:t>
            </w:r>
          </w:p>
        </w:tc>
        <w:tc>
          <w:tcPr>
            <w:tcW w:w="1125" w:type="dxa"/>
            <w:tcBorders>
              <w:top w:val="nil"/>
              <w:left w:val="nil"/>
              <w:bottom w:val="single" w:sz="8" w:space="0" w:color="auto"/>
              <w:right w:val="single" w:sz="4"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21,06</w:t>
            </w:r>
          </w:p>
        </w:tc>
      </w:tr>
    </w:tbl>
    <w:p w:rsidR="00AE49BA" w:rsidP="00AE49BA">
      <w:pPr>
        <w:jc w:val="both"/>
        <w:rPr>
          <w:rFonts w:ascii="Arial Narrow" w:hAnsi="Arial Narrow" w:cs="Times New Roman"/>
          <w:b/>
          <w:sz w:val="22"/>
          <w:szCs w:val="22"/>
        </w:rPr>
      </w:pPr>
    </w:p>
    <w:p w:rsidR="00AE49BA" w:rsidRPr="00F76C72" w:rsidP="00AE49BA">
      <w:pPr>
        <w:ind w:firstLine="708"/>
        <w:jc w:val="both"/>
        <w:rPr>
          <w:rFonts w:cs="Times New Roman"/>
          <w:b/>
          <w:bCs/>
        </w:rPr>
      </w:pPr>
      <w:r w:rsidRPr="00F76C72">
        <w:rPr>
          <w:rFonts w:ascii="Arial Narrow" w:hAnsi="Arial Narrow" w:cs="Times New Roman"/>
          <w:sz w:val="22"/>
          <w:szCs w:val="22"/>
        </w:rPr>
        <w:t xml:space="preserve">Na </w:t>
      </w:r>
      <w:r w:rsidRPr="00F76C72">
        <w:rPr>
          <w:rFonts w:ascii="Arial Narrow" w:hAnsi="Arial Narrow" w:cs="Times New Roman"/>
          <w:b/>
          <w:sz w:val="22"/>
          <w:szCs w:val="22"/>
        </w:rPr>
        <w:t>športovú reprezentáciu</w:t>
      </w:r>
      <w:r w:rsidRPr="00F76C72">
        <w:rPr>
          <w:rFonts w:ascii="Arial Narrow" w:hAnsi="Arial Narrow" w:cs="Times New Roman"/>
          <w:sz w:val="22"/>
          <w:szCs w:val="22"/>
        </w:rPr>
        <w:t xml:space="preserve"> Slovenskej republiky sú okrem výdavkov rozpočtovaných v kapitole MŠ SR vo výške 17,8 mil. eur aj výdavky rozpočtované v kapitolách MO SR a MV SR, čím dosahujú celkovú sumu </w:t>
      </w:r>
      <w:r w:rsidRPr="0035271C">
        <w:rPr>
          <w:rFonts w:ascii="Arial Narrow" w:hAnsi="Arial Narrow" w:cs="Times New Roman"/>
          <w:b/>
          <w:sz w:val="22"/>
          <w:szCs w:val="22"/>
        </w:rPr>
        <w:t>25,4 mil. eur</w:t>
      </w:r>
      <w:r w:rsidRPr="0035271C">
        <w:rPr>
          <w:rFonts w:ascii="Arial Narrow" w:hAnsi="Arial Narrow" w:cs="Times New Roman"/>
          <w:sz w:val="22"/>
          <w:szCs w:val="22"/>
        </w:rPr>
        <w:t>.</w:t>
      </w:r>
    </w:p>
    <w:p w:rsidR="00AE49BA" w:rsidRPr="00F76C72" w:rsidP="00AE49BA">
      <w:pPr>
        <w:ind w:firstLine="708"/>
        <w:jc w:val="both"/>
        <w:rPr>
          <w:rFonts w:ascii="Arial Narrow" w:hAnsi="Arial Narrow" w:cs="Times New Roman"/>
          <w:bCs/>
          <w:sz w:val="22"/>
          <w:szCs w:val="22"/>
        </w:rPr>
      </w:pPr>
      <w:r w:rsidRPr="00F76C72">
        <w:rPr>
          <w:rFonts w:ascii="Arial Narrow" w:hAnsi="Arial Narrow" w:cs="Times New Roman"/>
          <w:bCs/>
          <w:sz w:val="22"/>
          <w:szCs w:val="22"/>
        </w:rPr>
        <w:t>Z výdavkov obcí sa predpokladá, že budú financované aktivity súvisiace s rekreačnými a športovými službami.</w:t>
      </w:r>
    </w:p>
    <w:p w:rsidR="00AE49BA" w:rsidP="00AE49BA">
      <w:pPr>
        <w:jc w:val="both"/>
        <w:rPr>
          <w:rFonts w:ascii="Arial Narrow" w:hAnsi="Arial Narrow" w:cs="Times New Roman"/>
          <w:bCs/>
          <w:sz w:val="22"/>
          <w:szCs w:val="22"/>
        </w:rPr>
      </w:pPr>
    </w:p>
    <w:p w:rsidR="00AE49BA" w:rsidRPr="00CC0A61" w:rsidP="00CC0A61">
      <w:pPr>
        <w:rPr>
          <w:rFonts w:ascii="Arial Narrow" w:hAnsi="Arial Narrow" w:cs="Times New Roman"/>
          <w:b/>
          <w:iCs/>
          <w:sz w:val="22"/>
          <w:szCs w:val="22"/>
        </w:rPr>
      </w:pPr>
      <w:r w:rsidRPr="00CC0A61">
        <w:rPr>
          <w:rFonts w:ascii="Arial Narrow" w:hAnsi="Arial Narrow" w:cs="Times New Roman"/>
          <w:b/>
          <w:iCs/>
          <w:sz w:val="22"/>
          <w:szCs w:val="22"/>
        </w:rPr>
        <w:t xml:space="preserve">Kultúra </w:t>
      </w:r>
    </w:p>
    <w:p w:rsidR="00AE49BA" w:rsidP="00AE49BA">
      <w:pPr>
        <w:rPr>
          <w:rFonts w:cs="Times New Roman"/>
        </w:rPr>
      </w:pPr>
    </w:p>
    <w:p w:rsidR="00AE49BA" w:rsidP="00AE49BA">
      <w:pPr>
        <w:ind w:firstLine="708"/>
        <w:jc w:val="both"/>
        <w:rPr>
          <w:rFonts w:ascii="Arial Narrow" w:hAnsi="Arial Narrow" w:cs="Times New Roman"/>
          <w:b/>
          <w:sz w:val="22"/>
          <w:szCs w:val="22"/>
        </w:rPr>
      </w:pPr>
      <w:r>
        <w:rPr>
          <w:rFonts w:ascii="Arial Narrow" w:hAnsi="Arial Narrow" w:cs="Times New Roman"/>
          <w:sz w:val="22"/>
          <w:szCs w:val="22"/>
        </w:rPr>
        <w:t xml:space="preserve">Rozvoj kultúry v najširšom zmysle slova sa vníma ako nevyhnutná podmienka zvyšovania kvality života občanov Slovenskej republiky. Cieľom je postupne zvyšovať príspevok na financovanie kultúry. Kultúra, rekreácia a náboženstvo spoju vytvárajú jednu oblasť a ich financovanie je zabezpečené z viacerých zdrojov, ako sa uvádza v tabuľke nižšie. </w:t>
      </w:r>
      <w:r>
        <w:rPr>
          <w:rFonts w:ascii="Arial Narrow" w:hAnsi="Arial Narrow" w:cs="Times New Roman"/>
          <w:b/>
          <w:sz w:val="22"/>
          <w:szCs w:val="22"/>
        </w:rPr>
        <w:t>Celkové verejné zdroje</w:t>
      </w:r>
      <w:r>
        <w:rPr>
          <w:rFonts w:ascii="Arial Narrow" w:hAnsi="Arial Narrow" w:cs="Times New Roman"/>
          <w:sz w:val="22"/>
          <w:szCs w:val="22"/>
        </w:rPr>
        <w:t xml:space="preserve"> možné na použitie v oblasti kultúry sú v roku 2009 vo </w:t>
      </w:r>
      <w:r>
        <w:rPr>
          <w:rFonts w:ascii="Arial Narrow" w:hAnsi="Arial Narrow" w:cs="Times New Roman"/>
          <w:b/>
          <w:sz w:val="22"/>
          <w:szCs w:val="22"/>
        </w:rPr>
        <w:t xml:space="preserve">výške  </w:t>
      </w:r>
      <w:r w:rsidRPr="00CB26F7">
        <w:rPr>
          <w:rFonts w:ascii="Arial Narrow" w:hAnsi="Arial Narrow" w:cs="Times New Roman"/>
          <w:b/>
          <w:sz w:val="22"/>
          <w:szCs w:val="22"/>
        </w:rPr>
        <w:t>49</w:t>
      </w:r>
      <w:r>
        <w:rPr>
          <w:rFonts w:ascii="Arial Narrow" w:hAnsi="Arial Narrow" w:cs="Times New Roman"/>
          <w:b/>
          <w:sz w:val="22"/>
          <w:szCs w:val="22"/>
        </w:rPr>
        <w:t>4</w:t>
      </w:r>
      <w:r w:rsidRPr="00CB26F7">
        <w:rPr>
          <w:rFonts w:ascii="Arial Narrow" w:hAnsi="Arial Narrow" w:cs="Times New Roman"/>
          <w:b/>
          <w:sz w:val="22"/>
          <w:szCs w:val="22"/>
        </w:rPr>
        <w:t xml:space="preserve"> </w:t>
      </w:r>
      <w:r>
        <w:rPr>
          <w:rFonts w:ascii="Arial Narrow" w:hAnsi="Arial Narrow" w:cs="Times New Roman"/>
          <w:b/>
          <w:sz w:val="22"/>
          <w:szCs w:val="22"/>
        </w:rPr>
        <w:t>mil</w:t>
      </w:r>
      <w:r w:rsidRPr="00CB26F7">
        <w:rPr>
          <w:rFonts w:ascii="Arial Narrow" w:hAnsi="Arial Narrow" w:cs="Times New Roman"/>
          <w:b/>
          <w:sz w:val="22"/>
          <w:szCs w:val="22"/>
        </w:rPr>
        <w:t>. eur.</w:t>
      </w:r>
    </w:p>
    <w:p w:rsidR="00AE49BA" w:rsidP="00AE49BA">
      <w:pPr>
        <w:jc w:val="both"/>
        <w:rPr>
          <w:rFonts w:ascii="Arial Narrow" w:hAnsi="Arial Narrow" w:cs="Times New Roman"/>
          <w:b/>
          <w:sz w:val="22"/>
          <w:szCs w:val="22"/>
        </w:rPr>
      </w:pPr>
    </w:p>
    <w:tbl>
      <w:tblPr>
        <w:tblW w:w="9190" w:type="dxa"/>
        <w:tblInd w:w="60" w:type="dxa"/>
        <w:tblCellMar>
          <w:left w:w="70" w:type="dxa"/>
          <w:right w:w="70" w:type="dxa"/>
        </w:tblCellMar>
      </w:tblPr>
      <w:tblGrid>
        <w:gridCol w:w="4694"/>
        <w:gridCol w:w="1124"/>
        <w:gridCol w:w="1124"/>
        <w:gridCol w:w="1124"/>
        <w:gridCol w:w="1124"/>
      </w:tblGrid>
      <w:tr>
        <w:tblPrEx>
          <w:tblW w:w="9190" w:type="dxa"/>
          <w:tblInd w:w="60" w:type="dxa"/>
          <w:tblCellMar>
            <w:left w:w="70" w:type="dxa"/>
            <w:right w:w="70" w:type="dxa"/>
          </w:tblCellMar>
        </w:tblPrEx>
        <w:trPr>
          <w:trHeight w:val="270"/>
        </w:trPr>
        <w:tc>
          <w:tcPr>
            <w:tcW w:w="4690" w:type="dxa"/>
            <w:tcBorders>
              <w:top w:val="single" w:sz="8" w:space="0" w:color="auto"/>
              <w:left w:val="single" w:sz="8" w:space="0" w:color="auto"/>
              <w:bottom w:val="single" w:sz="8" w:space="0" w:color="auto"/>
              <w:right w:val="single" w:sz="8" w:space="0" w:color="auto"/>
              <w:tl2br w:val="nil"/>
              <w:tr2bl w:val="nil"/>
            </w:tcBorders>
            <w:shd w:val="clear" w:color="auto" w:fill="000000"/>
            <w:noWrap/>
            <w:textDirection w:val="lrTb"/>
            <w:vAlign w:val="center"/>
          </w:tcPr>
          <w:p w:rsidR="00AE49BA" w:rsidRPr="00EF219E" w:rsidP="00AE49BA">
            <w:pPr>
              <w:rPr>
                <w:rFonts w:ascii="Arial Narrow" w:hAnsi="Arial Narrow" w:cs="Arial"/>
                <w:b/>
                <w:bCs/>
                <w:color w:val="FFFFFF"/>
                <w:sz w:val="20"/>
              </w:rPr>
            </w:pPr>
            <w:r w:rsidRPr="00EF219E">
              <w:rPr>
                <w:rFonts w:ascii="Arial Narrow" w:hAnsi="Arial Narrow" w:cs="Arial"/>
                <w:b/>
                <w:bCs/>
                <w:color w:val="FFFFFF"/>
                <w:sz w:val="20"/>
              </w:rPr>
              <w:t>(v tis. eur)</w:t>
            </w:r>
          </w:p>
        </w:tc>
        <w:tc>
          <w:tcPr>
            <w:tcW w:w="1123"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2006</w:t>
            </w:r>
          </w:p>
        </w:tc>
        <w:tc>
          <w:tcPr>
            <w:tcW w:w="1123"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2007</w:t>
            </w:r>
          </w:p>
        </w:tc>
        <w:tc>
          <w:tcPr>
            <w:tcW w:w="1123"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3"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Zdroje MK SR</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152 004</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134 128</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170 212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189 015</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Inštitucionálna podpora štátnych organizácií rezortu kultúry</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75 648</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78 452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97 917</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100 800</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Účelová podpora kultúry (Grantový systém)</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24 517</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14 539</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22 854</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24 895</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Cirkvi a náboženské spoločnosti</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29 212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30 836</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33 339</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37 192</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 xml:space="preserve">Financovanie strategických zámerov rezortu </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0</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3 983</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9 493</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17 759</w:t>
            </w:r>
          </w:p>
        </w:tc>
      </w:tr>
      <w:tr>
        <w:tblPrEx>
          <w:tblW w:w="9190" w:type="dxa"/>
          <w:tblInd w:w="60" w:type="dxa"/>
          <w:tblCellMar>
            <w:left w:w="70" w:type="dxa"/>
            <w:right w:w="70" w:type="dxa"/>
          </w:tblCellMar>
        </w:tblPrEx>
        <w:trPr>
          <w:trHeight w:val="24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Administratíva a vlastná činnosť aparátu MK SR</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22 110</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6 269</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6 170</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7 655</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i/>
                <w:iCs/>
                <w:sz w:val="20"/>
              </w:rPr>
            </w:pPr>
            <w:r w:rsidRPr="00EF219E">
              <w:rPr>
                <w:rFonts w:ascii="Arial Narrow" w:hAnsi="Arial Narrow" w:cs="Arial"/>
                <w:i/>
                <w:iCs/>
                <w:sz w:val="20"/>
              </w:rPr>
              <w:t>Iné zdroje (Prechodný fond, EHP, Nórsky fin. mechanizmus)</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518</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48</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439</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i/>
                <w:iCs/>
                <w:sz w:val="20"/>
              </w:rPr>
            </w:pPr>
            <w:r w:rsidRPr="00EF219E">
              <w:rPr>
                <w:rFonts w:ascii="Arial Narrow" w:hAnsi="Arial Narrow" w:cs="Arial"/>
                <w:i/>
                <w:iCs/>
                <w:sz w:val="20"/>
              </w:rPr>
              <w:t>714</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Zdroje iných rezortov na kultúru</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29 902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17 666</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25 862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51 998</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Zdroje obcí na kultúru</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152 028</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138 332</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157 457</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192 525</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noWrap/>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Zdroje VÚC na kultúru</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46 471</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44 616</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53 883</w:t>
            </w:r>
          </w:p>
        </w:tc>
        <w:tc>
          <w:tcPr>
            <w:tcW w:w="1123" w:type="dxa"/>
            <w:tcBorders>
              <w:top w:val="nil"/>
              <w:left w:val="nil"/>
              <w:bottom w:val="single" w:sz="8" w:space="0" w:color="auto"/>
              <w:right w:val="single" w:sz="8" w:space="0" w:color="auto"/>
              <w:tl2br w:val="nil"/>
              <w:tr2bl w:val="nil"/>
            </w:tcBorders>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60 114</w:t>
            </w:r>
          </w:p>
        </w:tc>
      </w:tr>
      <w:tr>
        <w:tblPrEx>
          <w:tblW w:w="9190" w:type="dxa"/>
          <w:tblInd w:w="60" w:type="dxa"/>
          <w:tblCellMar>
            <w:left w:w="70" w:type="dxa"/>
            <w:right w:w="70" w:type="dxa"/>
          </w:tblCellMar>
        </w:tblPrEx>
        <w:trPr>
          <w:trHeight w:val="270"/>
        </w:trPr>
        <w:tc>
          <w:tcPr>
            <w:tcW w:w="4690"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 xml:space="preserve">Celkové verejné zdroje na kultúru </w:t>
            </w:r>
          </w:p>
        </w:tc>
        <w:tc>
          <w:tcPr>
            <w:tcW w:w="1123"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380 406</w:t>
            </w:r>
          </w:p>
        </w:tc>
        <w:tc>
          <w:tcPr>
            <w:tcW w:w="1123"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334 742</w:t>
            </w:r>
          </w:p>
        </w:tc>
        <w:tc>
          <w:tcPr>
            <w:tcW w:w="1123"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407 415</w:t>
            </w:r>
          </w:p>
        </w:tc>
        <w:tc>
          <w:tcPr>
            <w:tcW w:w="1123"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AE49BA" w:rsidRPr="00EF219E" w:rsidP="00AE49BA">
            <w:pPr>
              <w:jc w:val="right"/>
              <w:rPr>
                <w:rFonts w:ascii="Arial Narrow" w:hAnsi="Arial Narrow" w:cs="Arial"/>
                <w:b/>
                <w:bCs/>
                <w:sz w:val="20"/>
              </w:rPr>
            </w:pPr>
            <w:r w:rsidRPr="00EF219E">
              <w:rPr>
                <w:rFonts w:ascii="Arial Narrow" w:hAnsi="Arial Narrow" w:cs="Arial"/>
                <w:b/>
                <w:bCs/>
                <w:sz w:val="20"/>
              </w:rPr>
              <w:t>493 652</w:t>
            </w:r>
          </w:p>
        </w:tc>
      </w:tr>
    </w:tbl>
    <w:p w:rsidR="00AE49BA" w:rsidP="00AE49BA">
      <w:pPr>
        <w:jc w:val="both"/>
        <w:rPr>
          <w:rFonts w:ascii="Arial Narrow" w:hAnsi="Arial Narrow" w:cs="Times New Roman"/>
          <w:b/>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b/>
          <w:bCs/>
          <w:sz w:val="22"/>
          <w:szCs w:val="22"/>
        </w:rPr>
        <w:t>Rozpočet výdavkov zo štátneho rozpočtu pre potreby financovania kultúry</w:t>
      </w:r>
      <w:r>
        <w:rPr>
          <w:rFonts w:ascii="Arial Narrow" w:hAnsi="Arial Narrow" w:cs="Times New Roman"/>
          <w:sz w:val="22"/>
          <w:szCs w:val="22"/>
        </w:rPr>
        <w:t xml:space="preserve"> je zabezpečený najmä v </w:t>
      </w:r>
      <w:r w:rsidRPr="002401EB">
        <w:rPr>
          <w:rFonts w:ascii="Arial Narrow" w:hAnsi="Arial Narrow" w:cs="Times New Roman"/>
          <w:b/>
          <w:sz w:val="22"/>
          <w:szCs w:val="22"/>
        </w:rPr>
        <w:t>M</w:t>
      </w:r>
      <w:r>
        <w:rPr>
          <w:rFonts w:ascii="Arial Narrow" w:hAnsi="Arial Narrow" w:cs="Times New Roman"/>
          <w:b/>
          <w:bCs/>
          <w:sz w:val="22"/>
          <w:szCs w:val="22"/>
        </w:rPr>
        <w:t>inisterstve kultúry SR</w:t>
      </w:r>
      <w:r>
        <w:rPr>
          <w:rFonts w:ascii="Arial Narrow" w:hAnsi="Arial Narrow" w:cs="Times New Roman"/>
          <w:sz w:val="22"/>
          <w:szCs w:val="22"/>
        </w:rPr>
        <w:t xml:space="preserve">, kde výška výdavkov na rok 2009 </w:t>
      </w:r>
      <w:r w:rsidRPr="004D7A0E">
        <w:rPr>
          <w:rFonts w:ascii="Arial Narrow" w:hAnsi="Arial Narrow" w:cs="Times New Roman"/>
          <w:b/>
          <w:sz w:val="22"/>
          <w:szCs w:val="22"/>
        </w:rPr>
        <w:t>rastie oproti roku 2006 o 24 %</w:t>
      </w:r>
      <w:r>
        <w:rPr>
          <w:rFonts w:ascii="Arial Narrow" w:hAnsi="Arial Narrow" w:cs="Times New Roman"/>
          <w:sz w:val="22"/>
          <w:szCs w:val="22"/>
        </w:rPr>
        <w:t xml:space="preserve"> a oproti roku 2008 </w:t>
      </w:r>
      <w:r w:rsidRPr="004D7A0E">
        <w:rPr>
          <w:rFonts w:ascii="Arial Narrow" w:hAnsi="Arial Narrow" w:cs="Times New Roman"/>
          <w:sz w:val="22"/>
          <w:szCs w:val="22"/>
        </w:rPr>
        <w:t>rastie o 11 %.</w:t>
      </w:r>
      <w:r>
        <w:rPr>
          <w:rFonts w:ascii="Arial Narrow" w:hAnsi="Arial Narrow" w:cs="Times New Roman"/>
          <w:sz w:val="22"/>
          <w:szCs w:val="22"/>
        </w:rPr>
        <w:t xml:space="preserve"> </w:t>
      </w:r>
    </w:p>
    <w:p w:rsidR="00AE49BA" w:rsidP="00AE49BA">
      <w:pPr>
        <w:autoSpaceDE/>
        <w:autoSpaceDN/>
        <w:ind w:firstLine="708"/>
        <w:jc w:val="both"/>
        <w:rPr>
          <w:rFonts w:ascii="Arial Narrow" w:hAnsi="Arial Narrow" w:cs="Arial"/>
          <w:bCs/>
          <w:sz w:val="22"/>
          <w:szCs w:val="22"/>
        </w:rPr>
      </w:pPr>
      <w:r>
        <w:rPr>
          <w:rFonts w:ascii="Arial Narrow" w:hAnsi="Arial Narrow" w:cs="Times New Roman"/>
          <w:b/>
          <w:bCs/>
          <w:iCs/>
          <w:sz w:val="22"/>
          <w:szCs w:val="22"/>
        </w:rPr>
        <w:t>Inštitucionálna podpora štátnych organizácií rezortu MK SR</w:t>
      </w:r>
      <w:r>
        <w:rPr>
          <w:rFonts w:ascii="Arial Narrow" w:hAnsi="Arial Narrow" w:cs="Times New Roman"/>
          <w:sz w:val="22"/>
          <w:szCs w:val="22"/>
        </w:rPr>
        <w:t xml:space="preserve"> pokrýva svojou činnosťou podporu 33 svojich rozpočtových a príspevkových organizácií vo všetkých oblastiach pôsobenia kapitoly (divadlá, galérie, múzeá, osvetová činnosť, atď) v celkovom objeme 101 mil. eur. Do inštitucionálnej podpory sú zahrnuté aj výdavky spojené s </w:t>
      </w:r>
      <w:r>
        <w:rPr>
          <w:rFonts w:ascii="Arial Narrow" w:hAnsi="Arial Narrow" w:cs="Arial"/>
          <w:bCs/>
          <w:sz w:val="22"/>
          <w:szCs w:val="22"/>
        </w:rPr>
        <w:t xml:space="preserve">aktivitami štátnych rozpočtových a príspevkových organizácií rezortu (ďalej len RO a PO) nad rámec ich rozpočtu, tieto prostriedky sú vo výške 11,3 mil. eur  počas roka postupne presúvané na základe rozhodnutia ministerstva v prospech niektorých RO a PO. Ďalej obdobným mechanizmom je financovaná aj podpora kultúrnych aktivít v zahraničí vo výške 1,16 mil. eur. </w:t>
      </w:r>
    </w:p>
    <w:p w:rsidR="00AE49BA" w:rsidP="00AE49BA">
      <w:pPr>
        <w:autoSpaceDE/>
        <w:autoSpaceDN/>
        <w:jc w:val="both"/>
        <w:rPr>
          <w:rFonts w:ascii="Arial Narrow" w:hAnsi="Arial Narrow" w:cs="Arial"/>
          <w:bCs/>
          <w:sz w:val="22"/>
          <w:szCs w:val="22"/>
        </w:rPr>
      </w:pPr>
    </w:p>
    <w:p w:rsidR="00AE49BA" w:rsidP="00AE49BA">
      <w:pPr>
        <w:autoSpaceDE/>
        <w:autoSpaceDN/>
        <w:ind w:firstLine="708"/>
        <w:jc w:val="both"/>
        <w:rPr>
          <w:rFonts w:ascii="Arial Narrow" w:hAnsi="Arial Narrow" w:cs="Arial"/>
          <w:bCs/>
          <w:sz w:val="22"/>
          <w:szCs w:val="22"/>
        </w:rPr>
      </w:pPr>
      <w:r>
        <w:rPr>
          <w:rFonts w:ascii="Arial Narrow" w:hAnsi="Arial Narrow" w:cs="Arial"/>
          <w:b/>
          <w:iCs/>
          <w:sz w:val="22"/>
          <w:szCs w:val="22"/>
        </w:rPr>
        <w:t xml:space="preserve">Účelová podpora kultúry - </w:t>
      </w:r>
      <w:r>
        <w:rPr>
          <w:rFonts w:ascii="Arial Narrow" w:hAnsi="Arial Narrow" w:cs="Times New Roman"/>
          <w:b/>
          <w:iCs/>
          <w:sz w:val="22"/>
          <w:szCs w:val="22"/>
        </w:rPr>
        <w:t>Grantový systém MK SR</w:t>
      </w:r>
      <w:r>
        <w:rPr>
          <w:rFonts w:ascii="Arial Narrow" w:hAnsi="Arial Narrow" w:cs="Times New Roman"/>
          <w:sz w:val="22"/>
          <w:szCs w:val="22"/>
        </w:rPr>
        <w:t xml:space="preserve"> (ďalej len GS MK SR)</w:t>
      </w:r>
      <w:r>
        <w:rPr>
          <w:rFonts w:ascii="Arial Narrow" w:hAnsi="Arial Narrow" w:cs="Times New Roman"/>
          <w:i/>
          <w:sz w:val="22"/>
          <w:szCs w:val="22"/>
        </w:rPr>
        <w:t xml:space="preserve"> </w:t>
      </w:r>
      <w:r>
        <w:rPr>
          <w:rFonts w:ascii="Arial Narrow" w:hAnsi="Arial Narrow" w:cs="Times New Roman"/>
          <w:sz w:val="22"/>
          <w:szCs w:val="22"/>
        </w:rPr>
        <w:t xml:space="preserve">je zameraný na podporu a financovanie kultúry prostredníctvom projektov, orientovaných na zachovanie a rozvoj kultúrneho dedičstva. Spolu s  inštitucionálnou podporou štátnych RO a PO tvorí hlavnú časť programu Tvorba, šírenie, ochrana a prezentácia kultúrnych hodnôt, čo tiež potvrdzuje, že GS MK SR je základným stavebným kameňom v znižovaní inštitucionálneho financovania kultúry v prospech účelového financovania. Limit výdavkov na uvedenú oblasť v roku 2009 je vo výške 24,9 mil. eur, čo je </w:t>
      </w:r>
      <w:r>
        <w:rPr>
          <w:rFonts w:ascii="Arial Narrow" w:hAnsi="Arial Narrow" w:cs="Times New Roman"/>
          <w:b/>
          <w:sz w:val="22"/>
          <w:szCs w:val="22"/>
        </w:rPr>
        <w:t xml:space="preserve">nárast </w:t>
      </w:r>
      <w:r>
        <w:rPr>
          <w:rFonts w:ascii="Arial Narrow" w:hAnsi="Arial Narrow" w:cs="Times New Roman"/>
          <w:sz w:val="22"/>
          <w:szCs w:val="22"/>
        </w:rPr>
        <w:t>v porovnaní s rokom 2006 o 1,5 % a </w:t>
      </w:r>
      <w:r w:rsidRPr="004D7A0E">
        <w:rPr>
          <w:rFonts w:ascii="Arial Narrow" w:hAnsi="Arial Narrow" w:cs="Times New Roman"/>
          <w:b/>
          <w:bCs/>
          <w:sz w:val="22"/>
          <w:szCs w:val="22"/>
        </w:rPr>
        <w:t>s rokom 2008 o 8,9 %.</w:t>
      </w:r>
      <w:r>
        <w:rPr>
          <w:rFonts w:ascii="Arial Narrow" w:hAnsi="Arial Narrow" w:cs="Times New Roman"/>
          <w:sz w:val="22"/>
          <w:szCs w:val="22"/>
        </w:rPr>
        <w:t xml:space="preserve"> </w:t>
      </w:r>
    </w:p>
    <w:p w:rsidR="00AE49BA" w:rsidP="00AE49BA">
      <w:pPr>
        <w:tabs>
          <w:tab w:val="left" w:pos="6645"/>
        </w:tabs>
        <w:jc w:val="both"/>
        <w:rPr>
          <w:rFonts w:ascii="Arial Narrow" w:hAnsi="Arial Narrow" w:cs="Arial"/>
          <w:bCs/>
          <w:i/>
          <w:sz w:val="22"/>
          <w:szCs w:val="22"/>
        </w:rPr>
      </w:pPr>
      <w:r>
        <w:rPr>
          <w:rFonts w:ascii="Arial Narrow" w:hAnsi="Arial Narrow" w:cs="Arial"/>
          <w:bCs/>
          <w:i/>
          <w:sz w:val="22"/>
          <w:szCs w:val="22"/>
        </w:rPr>
        <w:tab/>
      </w:r>
    </w:p>
    <w:p w:rsidR="00AE49BA" w:rsidP="00AE49BA">
      <w:pPr>
        <w:ind w:firstLine="708"/>
        <w:jc w:val="both"/>
        <w:rPr>
          <w:rFonts w:ascii="Arial Narrow" w:hAnsi="Arial Narrow" w:cs="Times New Roman"/>
          <w:sz w:val="22"/>
          <w:szCs w:val="22"/>
        </w:rPr>
      </w:pPr>
      <w:r>
        <w:rPr>
          <w:rFonts w:ascii="Arial Narrow" w:hAnsi="Arial Narrow" w:cs="Arial"/>
          <w:b/>
          <w:iCs/>
          <w:sz w:val="22"/>
          <w:szCs w:val="22"/>
        </w:rPr>
        <w:t>Cirkvi a náboženských spoločností</w:t>
      </w:r>
      <w:r>
        <w:rPr>
          <w:rFonts w:ascii="Arial Narrow" w:hAnsi="Arial Narrow" w:cs="Arial"/>
          <w:bCs/>
          <w:sz w:val="22"/>
          <w:szCs w:val="22"/>
        </w:rPr>
        <w:t xml:space="preserve">, ich financovanie vyplýva zo zákona č. 218/1949 Zb. </w:t>
      </w:r>
      <w:r w:rsidRPr="004D7A0E">
        <w:rPr>
          <w:rFonts w:ascii="Arial Narrow" w:hAnsi="Arial Narrow" w:cs="Times New Roman"/>
          <w:sz w:val="22"/>
          <w:szCs w:val="22"/>
        </w:rPr>
        <w:t>o hospodárskom zabezpečení cirkví a náboženských spoločností štátom</w:t>
      </w:r>
      <w:r>
        <w:rPr>
          <w:rFonts w:ascii="Arial Narrow" w:hAnsi="Arial Narrow" w:cs="Arial"/>
          <w:bCs/>
          <w:sz w:val="22"/>
          <w:szCs w:val="22"/>
        </w:rPr>
        <w:t xml:space="preserve"> v znení neskorších predpisov. Z rozpočtovaných prostriedkov sa financujú platy a poistné duchovných, prevádzka ústredí cirkví a náboženských spoločností a charitných domov (domovy dôchodcov pre kňazov). Celkový transfer pre cirkvi a náboženské spoločnosti je v roku 2009 vo výške 37,2 mil. eur, čo predstavuje nárast oproti roku 2006 o 27,3 %. Do výdavkov na cirkvi a náboženské spoločnosti sú započítané aj výdavky </w:t>
      </w:r>
      <w:r>
        <w:rPr>
          <w:rFonts w:ascii="Arial Narrow" w:hAnsi="Arial Narrow" w:cs="Times New Roman"/>
          <w:sz w:val="22"/>
          <w:szCs w:val="22"/>
        </w:rPr>
        <w:t xml:space="preserve">na úhradu nákladov súvisiacich so zameraním vydaných nehnuteľností pre cirkvi a náboženské spoločnosti podľa zákona č. 282/1993 Z. z. o zmiernení niektorých majetkových krívd spôsobených cirkvám a náboženským spoločnostiam, ktoré sú rozpočtované v aparáte MK SR v roku 2009 v objeme 418 tis. eur. </w:t>
      </w:r>
    </w:p>
    <w:p w:rsidR="00AE49BA" w:rsidP="00AE49BA">
      <w:pPr>
        <w:ind w:left="360"/>
        <w:jc w:val="both"/>
        <w:rPr>
          <w:rFonts w:ascii="Arial Narrow" w:hAnsi="Arial Narrow" w:cs="Arial"/>
          <w:bCs/>
          <w:i/>
          <w:sz w:val="22"/>
          <w:szCs w:val="22"/>
        </w:rPr>
      </w:pPr>
    </w:p>
    <w:p w:rsidR="00AE49BA" w:rsidP="00AE49BA">
      <w:pPr>
        <w:ind w:firstLine="708"/>
        <w:jc w:val="both"/>
        <w:rPr>
          <w:rFonts w:ascii="Arial Narrow" w:hAnsi="Arial Narrow" w:cs="Arial"/>
          <w:bCs/>
          <w:iCs/>
          <w:sz w:val="22"/>
          <w:szCs w:val="22"/>
        </w:rPr>
      </w:pPr>
      <w:r>
        <w:rPr>
          <w:rFonts w:ascii="Arial Narrow" w:hAnsi="Arial Narrow" w:cs="Arial"/>
          <w:b/>
          <w:iCs/>
          <w:sz w:val="22"/>
          <w:szCs w:val="22"/>
        </w:rPr>
        <w:t>Financovanie strategických zámerov rezortu</w:t>
      </w:r>
      <w:r>
        <w:rPr>
          <w:rFonts w:ascii="Arial Narrow" w:hAnsi="Arial Narrow" w:cs="Arial"/>
          <w:bCs/>
          <w:i/>
          <w:sz w:val="22"/>
          <w:szCs w:val="22"/>
        </w:rPr>
        <w:t xml:space="preserve"> </w:t>
      </w:r>
      <w:r>
        <w:rPr>
          <w:rFonts w:ascii="Arial Narrow" w:hAnsi="Arial Narrow" w:cs="Arial"/>
          <w:bCs/>
          <w:sz w:val="22"/>
          <w:szCs w:val="22"/>
        </w:rPr>
        <w:t>je oblasť pôsobenia rezortu pod aparátom MK SR, ktorá prechádza naprieč viacerými kultúrnymi organizáciami. Výdavky spojené so Stratégiou rozvoja múzeí a galérií do roku 2011, Stratégiou rozvoja slovenského knihovníctva na roky 2008 – 2013, Projektom Informatizácia kultúry</w:t>
      </w:r>
      <w:r>
        <w:rPr>
          <w:rFonts w:ascii="Arial Narrow" w:hAnsi="Arial Narrow" w:cs="Arial"/>
          <w:bCs/>
          <w:i/>
          <w:sz w:val="22"/>
          <w:szCs w:val="22"/>
        </w:rPr>
        <w:t xml:space="preserve"> </w:t>
      </w:r>
      <w:r>
        <w:rPr>
          <w:rFonts w:ascii="Arial Narrow" w:hAnsi="Arial Narrow" w:cs="Arial"/>
          <w:bCs/>
          <w:sz w:val="22"/>
          <w:szCs w:val="22"/>
        </w:rPr>
        <w:t>sú v roku 2009 rozpočtované v celkovom objeme 17,8 mil. eur</w:t>
      </w:r>
      <w:r>
        <w:rPr>
          <w:rFonts w:ascii="Arial Narrow" w:hAnsi="Arial Narrow" w:cs="Arial"/>
          <w:bCs/>
          <w:i/>
          <w:sz w:val="22"/>
          <w:szCs w:val="22"/>
        </w:rPr>
        <w:t>.</w:t>
      </w:r>
    </w:p>
    <w:p w:rsidR="00AE49BA" w:rsidP="00AE49BA">
      <w:pPr>
        <w:ind w:left="360"/>
        <w:jc w:val="both"/>
        <w:rPr>
          <w:rFonts w:ascii="Arial Narrow" w:hAnsi="Arial Narrow" w:cs="Arial"/>
          <w:bCs/>
          <w:i/>
          <w:sz w:val="22"/>
          <w:szCs w:val="22"/>
        </w:rPr>
      </w:pPr>
    </w:p>
    <w:p w:rsidR="00AE49BA" w:rsidP="00AE49BA">
      <w:pPr>
        <w:ind w:firstLine="708"/>
        <w:jc w:val="both"/>
        <w:rPr>
          <w:rFonts w:ascii="Arial Narrow" w:hAnsi="Arial Narrow" w:cs="Arial"/>
          <w:bCs/>
          <w:sz w:val="22"/>
          <w:szCs w:val="22"/>
        </w:rPr>
      </w:pPr>
      <w:r>
        <w:rPr>
          <w:rFonts w:ascii="Arial Narrow" w:hAnsi="Arial Narrow" w:cs="Arial"/>
          <w:bCs/>
          <w:sz w:val="22"/>
          <w:szCs w:val="22"/>
        </w:rPr>
        <w:t xml:space="preserve">V časti </w:t>
      </w:r>
      <w:r>
        <w:rPr>
          <w:rFonts w:ascii="Arial Narrow" w:hAnsi="Arial Narrow" w:cs="Arial"/>
          <w:b/>
          <w:iCs/>
          <w:sz w:val="22"/>
          <w:szCs w:val="22"/>
        </w:rPr>
        <w:t>Administratíva a vlastná činnosť aparátu</w:t>
      </w:r>
      <w:r>
        <w:rPr>
          <w:rFonts w:ascii="Arial Narrow" w:hAnsi="Arial Narrow" w:cs="Arial"/>
          <w:bCs/>
          <w:i/>
          <w:sz w:val="22"/>
          <w:szCs w:val="22"/>
        </w:rPr>
        <w:t xml:space="preserve"> </w:t>
      </w:r>
      <w:r>
        <w:rPr>
          <w:rFonts w:ascii="Arial Narrow" w:hAnsi="Arial Narrow" w:cs="Arial"/>
          <w:bCs/>
          <w:sz w:val="22"/>
          <w:szCs w:val="22"/>
        </w:rPr>
        <w:t>sú zahrnuté výdavky spojené s činnosťou aparátu MK SR ako aj projekt akvizície zbierkových predmetov a podpora riadenia programov. Výdavky na samotný aparát MK SR rastú oproti roku 2008 o 28 %.</w:t>
      </w:r>
      <w:r>
        <w:rPr>
          <w:rFonts w:ascii="Arial Narrow" w:hAnsi="Arial Narrow" w:cs="Arial"/>
          <w:sz w:val="22"/>
          <w:szCs w:val="22"/>
        </w:rPr>
        <w:t xml:space="preserve"> Celkový objem prostriedkov alokovaný pre túto oblasť predstavuje oproti roku 2008 nárast o 24 %. </w:t>
      </w:r>
    </w:p>
    <w:p w:rsidR="00AE49BA" w:rsidP="00AE49BA">
      <w:pPr>
        <w:jc w:val="both"/>
        <w:rPr>
          <w:rFonts w:ascii="Arial Narrow" w:hAnsi="Arial Narrow" w:cs="Times New Roman"/>
          <w:sz w:val="22"/>
          <w:szCs w:val="22"/>
        </w:rPr>
      </w:pPr>
    </w:p>
    <w:p w:rsidR="00AE49BA" w:rsidRPr="009E4B5B" w:rsidP="00AE49BA">
      <w:pPr>
        <w:ind w:firstLine="708"/>
        <w:jc w:val="both"/>
        <w:rPr>
          <w:rFonts w:ascii="Arial Narrow" w:hAnsi="Arial Narrow" w:cs="Times New Roman"/>
          <w:b/>
          <w:sz w:val="22"/>
          <w:szCs w:val="22"/>
        </w:rPr>
      </w:pPr>
      <w:r>
        <w:rPr>
          <w:rFonts w:ascii="Arial Narrow" w:hAnsi="Arial Narrow" w:cs="Times New Roman"/>
          <w:sz w:val="22"/>
          <w:szCs w:val="22"/>
        </w:rPr>
        <w:t>Druhým zdrojom financovania v oblasti kultúry zo štátneho rozpočtu sú prostriedky z </w:t>
      </w:r>
      <w:r>
        <w:rPr>
          <w:rFonts w:ascii="Arial Narrow" w:hAnsi="Arial Narrow" w:cs="Times New Roman"/>
          <w:b/>
          <w:sz w:val="22"/>
          <w:szCs w:val="22"/>
        </w:rPr>
        <w:t>iných rezortov</w:t>
      </w:r>
      <w:r>
        <w:rPr>
          <w:rFonts w:ascii="Arial Narrow" w:hAnsi="Arial Narrow" w:cs="Times New Roman"/>
          <w:sz w:val="22"/>
          <w:szCs w:val="22"/>
        </w:rPr>
        <w:t xml:space="preserve"> v celkovej rozpočtovanej výške výdavkov v roku 2009 v sume </w:t>
      </w:r>
      <w:r>
        <w:rPr>
          <w:rFonts w:ascii="Arial Narrow" w:hAnsi="Arial Narrow" w:cs="Times New Roman"/>
          <w:b/>
          <w:sz w:val="22"/>
          <w:szCs w:val="22"/>
        </w:rPr>
        <w:t>52,0 mil. eur</w:t>
      </w:r>
      <w:r>
        <w:rPr>
          <w:rFonts w:ascii="Arial Narrow" w:hAnsi="Arial Narrow" w:cs="Times New Roman"/>
          <w:sz w:val="22"/>
          <w:szCs w:val="22"/>
        </w:rPr>
        <w:t xml:space="preserve">. Najväčšiu časť tvoria prostriedky z Ministerstva životného prostredia SR určené </w:t>
      </w:r>
      <w:r>
        <w:rPr>
          <w:rFonts w:ascii="Arial Narrow" w:hAnsi="Arial Narrow" w:cs="Helv"/>
          <w:color w:val="000000"/>
          <w:sz w:val="22"/>
          <w:szCs w:val="22"/>
        </w:rPr>
        <w:t xml:space="preserve">pre príspevkové organizácie Slovenské banské múzeum, Slovenské múzeum ochrany prírody a jaskyniarstva, Zoologickú záhradu Bojnice, Správu slovenských jaskýň </w:t>
      </w:r>
      <w:r>
        <w:rPr>
          <w:rFonts w:ascii="Arial Narrow" w:hAnsi="Arial Narrow" w:cs="Times New Roman"/>
          <w:sz w:val="22"/>
          <w:szCs w:val="22"/>
        </w:rPr>
        <w:t xml:space="preserve">a Ministerstva obrany SR, ktorej prostriedky sú určené pre  </w:t>
      </w:r>
      <w:r>
        <w:rPr>
          <w:rFonts w:ascii="Arial Narrow" w:hAnsi="Arial Narrow" w:cs="Helv"/>
          <w:color w:val="000000"/>
          <w:sz w:val="22"/>
          <w:szCs w:val="22"/>
        </w:rPr>
        <w:t>rezortné umelecké súbory.</w:t>
      </w:r>
      <w:r>
        <w:rPr>
          <w:rFonts w:ascii="Helv" w:hAnsi="Helv" w:cs="Helv"/>
          <w:color w:val="000000"/>
          <w:sz w:val="20"/>
        </w:rPr>
        <w:t xml:space="preserve">                      </w:t>
      </w:r>
      <w:r>
        <w:rPr>
          <w:rFonts w:ascii="Arial Narrow" w:hAnsi="Arial Narrow" w:cs="Times New Roman"/>
          <w:sz w:val="22"/>
          <w:szCs w:val="22"/>
        </w:rPr>
        <w:t>.</w:t>
      </w:r>
    </w:p>
    <w:p w:rsidR="00AE49BA"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 xml:space="preserve">Ako ďalším verejným zdrojom v oblasti financovania kultúry sa predpokladajú prostriedky </w:t>
      </w:r>
      <w:r>
        <w:rPr>
          <w:rFonts w:ascii="Arial Narrow" w:hAnsi="Arial Narrow" w:cs="Times New Roman"/>
          <w:b/>
          <w:bCs/>
          <w:sz w:val="22"/>
          <w:szCs w:val="22"/>
        </w:rPr>
        <w:t>ob</w:t>
      </w:r>
      <w:r>
        <w:rPr>
          <w:rFonts w:ascii="Arial Narrow" w:hAnsi="Arial Narrow" w:cs="Times New Roman"/>
          <w:b/>
          <w:sz w:val="22"/>
          <w:szCs w:val="22"/>
        </w:rPr>
        <w:t xml:space="preserve">cí a vyšších územných celkov </w:t>
      </w:r>
      <w:r>
        <w:rPr>
          <w:rFonts w:ascii="Arial Narrow" w:hAnsi="Arial Narrow" w:cs="Times New Roman"/>
          <w:sz w:val="22"/>
          <w:szCs w:val="22"/>
        </w:rPr>
        <w:t>na úseku kultúrnych služieb.</w:t>
      </w: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b/>
          <w:bCs/>
          <w:sz w:val="22"/>
          <w:szCs w:val="22"/>
        </w:rPr>
      </w:pPr>
    </w:p>
    <w:p w:rsidR="00AE49BA" w:rsidP="00AE49BA">
      <w:pPr>
        <w:jc w:val="both"/>
        <w:rPr>
          <w:rFonts w:ascii="Arial Narrow" w:hAnsi="Arial Narrow" w:cs="Times New Roman"/>
          <w:b/>
          <w:bCs/>
          <w:sz w:val="22"/>
          <w:szCs w:val="22"/>
        </w:rPr>
      </w:pPr>
    </w:p>
    <w:p w:rsidR="00AE49BA" w:rsidP="00AE49BA">
      <w:pPr>
        <w:jc w:val="both"/>
        <w:rPr>
          <w:rFonts w:ascii="Arial Narrow" w:hAnsi="Arial Narrow" w:cs="Times New Roman"/>
          <w:b/>
          <w:bCs/>
          <w:sz w:val="22"/>
          <w:szCs w:val="22"/>
        </w:rPr>
      </w:pPr>
    </w:p>
    <w:p w:rsidR="00AE49BA" w:rsidP="00AE49BA">
      <w:pPr>
        <w:jc w:val="both"/>
        <w:rPr>
          <w:rFonts w:ascii="Arial Narrow" w:hAnsi="Arial Narrow" w:cs="Times New Roman"/>
          <w:b/>
          <w:bCs/>
          <w:sz w:val="22"/>
          <w:szCs w:val="22"/>
        </w:rPr>
      </w:pPr>
    </w:p>
    <w:p w:rsidR="00791FA9" w:rsidP="00AE49BA">
      <w:pPr>
        <w:jc w:val="both"/>
        <w:rPr>
          <w:rFonts w:ascii="Arial Narrow" w:hAnsi="Arial Narrow" w:cs="Times New Roman"/>
          <w:b/>
          <w:bCs/>
          <w:sz w:val="22"/>
          <w:szCs w:val="22"/>
        </w:rPr>
      </w:pPr>
    </w:p>
    <w:p w:rsidR="00791FA9" w:rsidP="00AE49BA">
      <w:pPr>
        <w:jc w:val="both"/>
        <w:rPr>
          <w:rFonts w:ascii="Arial Narrow" w:hAnsi="Arial Narrow" w:cs="Times New Roman"/>
          <w:b/>
          <w:bCs/>
          <w:sz w:val="22"/>
          <w:szCs w:val="22"/>
        </w:rPr>
      </w:pPr>
    </w:p>
    <w:p w:rsidR="00791FA9" w:rsidP="00AE49BA">
      <w:pPr>
        <w:jc w:val="both"/>
        <w:rPr>
          <w:rFonts w:ascii="Arial Narrow" w:hAnsi="Arial Narrow" w:cs="Times New Roman"/>
          <w:b/>
          <w:bCs/>
          <w:sz w:val="22"/>
          <w:szCs w:val="22"/>
        </w:rPr>
      </w:pPr>
    </w:p>
    <w:p w:rsidR="00791FA9" w:rsidP="00AE49BA">
      <w:pPr>
        <w:jc w:val="both"/>
        <w:rPr>
          <w:rFonts w:ascii="Arial Narrow" w:hAnsi="Arial Narrow" w:cs="Times New Roman"/>
          <w:b/>
          <w:bCs/>
          <w:sz w:val="22"/>
          <w:szCs w:val="22"/>
        </w:rPr>
      </w:pPr>
    </w:p>
    <w:p w:rsidR="00791FA9" w:rsidP="00AE49BA">
      <w:pPr>
        <w:jc w:val="both"/>
        <w:rPr>
          <w:rFonts w:ascii="Arial Narrow" w:hAnsi="Arial Narrow" w:cs="Times New Roman"/>
          <w:b/>
          <w:bCs/>
          <w:sz w:val="22"/>
          <w:szCs w:val="22"/>
        </w:rPr>
      </w:pPr>
    </w:p>
    <w:p w:rsidR="00AE49BA" w:rsidP="00AE49BA">
      <w:pPr>
        <w:jc w:val="both"/>
        <w:rPr>
          <w:rFonts w:ascii="Arial Narrow" w:hAnsi="Arial Narrow" w:cs="Times New Roman"/>
          <w:b/>
          <w:bCs/>
          <w:sz w:val="22"/>
          <w:szCs w:val="22"/>
        </w:rPr>
      </w:pPr>
    </w:p>
    <w:p w:rsidR="00AE49BA" w:rsidP="00AE49BA">
      <w:pPr>
        <w:jc w:val="both"/>
        <w:rPr>
          <w:rFonts w:ascii="Arial Narrow" w:hAnsi="Arial Narrow" w:cs="Times New Roman"/>
          <w:b/>
          <w:bCs/>
          <w:sz w:val="22"/>
          <w:szCs w:val="22"/>
        </w:rPr>
      </w:pPr>
    </w:p>
    <w:p w:rsidR="00AE49BA" w:rsidRPr="00F85DD3" w:rsidP="00AE49BA">
      <w:pPr>
        <w:pBdr>
          <w:bottom w:val="single" w:sz="6" w:space="1" w:color="auto"/>
        </w:pBdr>
        <w:jc w:val="both"/>
        <w:rPr>
          <w:rFonts w:ascii="Arial Narrow" w:hAnsi="Arial Narrow" w:cs="Times New Roman"/>
          <w:b/>
          <w:bCs/>
          <w:sz w:val="22"/>
          <w:szCs w:val="22"/>
        </w:rPr>
      </w:pPr>
      <w:r w:rsidRPr="00F85DD3">
        <w:rPr>
          <w:rFonts w:ascii="Arial Narrow" w:hAnsi="Arial Narrow" w:cs="Times New Roman"/>
          <w:b/>
          <w:bCs/>
          <w:sz w:val="22"/>
          <w:szCs w:val="22"/>
        </w:rPr>
        <w:t>Bývanie a regionálny rozvoj</w:t>
      </w:r>
    </w:p>
    <w:p w:rsidR="00AE49BA" w:rsidRPr="002F72E5" w:rsidP="00AE49BA">
      <w:pPr>
        <w:jc w:val="both"/>
        <w:rPr>
          <w:rFonts w:ascii="Arial Narrow" w:hAnsi="Arial Narrow" w:cs="Times New Roman"/>
          <w:bCs/>
          <w:sz w:val="22"/>
          <w:szCs w:val="22"/>
        </w:rPr>
      </w:pPr>
    </w:p>
    <w:p w:rsidR="00AE49BA" w:rsidRPr="002F72E5" w:rsidP="00AE49BA">
      <w:pPr>
        <w:jc w:val="both"/>
        <w:rPr>
          <w:rFonts w:ascii="Arial Narrow" w:hAnsi="Arial Narrow" w:cs="Times New Roman"/>
          <w:b/>
          <w:bCs/>
          <w:sz w:val="22"/>
          <w:szCs w:val="22"/>
        </w:rPr>
      </w:pPr>
      <w:r w:rsidRPr="002F72E5">
        <w:rPr>
          <w:rFonts w:ascii="Arial Narrow" w:hAnsi="Arial Narrow" w:cs="Times New Roman"/>
          <w:b/>
          <w:bCs/>
          <w:sz w:val="22"/>
          <w:szCs w:val="22"/>
        </w:rPr>
        <w:t>Podpora rozvoja bývania</w:t>
      </w:r>
    </w:p>
    <w:p w:rsidR="00AE49BA" w:rsidRPr="002F72E5" w:rsidP="00AE49BA">
      <w:pPr>
        <w:jc w:val="both"/>
        <w:rPr>
          <w:rFonts w:ascii="Arial Narrow" w:hAnsi="Arial Narrow" w:cs="Times New Roman"/>
          <w:sz w:val="22"/>
          <w:szCs w:val="22"/>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
      <w:tblGrid>
        <w:gridCol w:w="4680"/>
        <w:gridCol w:w="1125"/>
        <w:gridCol w:w="1125"/>
        <w:gridCol w:w="1125"/>
        <w:gridCol w:w="1125"/>
      </w:tblGrid>
      <w:tr>
        <w:tblPrEx>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a obnova bytového fondu (dotácie MVRR SR)</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55 036</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Pr>
                <w:rFonts w:ascii="Arial Narrow" w:hAnsi="Arial Narrow" w:cs="Arial"/>
                <w:sz w:val="20"/>
              </w:rPr>
              <w:t>60</w:t>
            </w:r>
            <w:r w:rsidRPr="002F72E5">
              <w:rPr>
                <w:rFonts w:ascii="Arial Narrow" w:hAnsi="Arial Narrow" w:cs="Arial"/>
                <w:sz w:val="20"/>
              </w:rPr>
              <w:t xml:space="preserve"> </w:t>
            </w:r>
            <w:r>
              <w:rPr>
                <w:rFonts w:ascii="Arial Narrow" w:hAnsi="Arial Narrow" w:cs="Arial"/>
                <w:sz w:val="20"/>
              </w:rPr>
              <w:t>247</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50 388</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54 106</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Štátna prémia v stavebnom sporení </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47 135</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 xml:space="preserve">49 </w:t>
            </w:r>
            <w:r>
              <w:rPr>
                <w:rFonts w:ascii="Arial Narrow" w:hAnsi="Arial Narrow" w:cs="Arial"/>
                <w:sz w:val="20"/>
              </w:rPr>
              <w:t>791</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49 127</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49 127</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Bonifikácia k hypotekárnym úverom </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23 900</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w:t>
            </w:r>
            <w:r>
              <w:rPr>
                <w:rFonts w:ascii="Arial Narrow" w:hAnsi="Arial Narrow" w:cs="Arial"/>
                <w:sz w:val="20"/>
              </w:rPr>
              <w:t>3</w:t>
            </w:r>
            <w:r w:rsidRPr="002F72E5">
              <w:rPr>
                <w:rFonts w:ascii="Arial Narrow" w:hAnsi="Arial Narrow" w:cs="Arial"/>
                <w:sz w:val="20"/>
              </w:rPr>
              <w:t xml:space="preserve"> </w:t>
            </w:r>
            <w:r>
              <w:rPr>
                <w:rFonts w:ascii="Arial Narrow" w:hAnsi="Arial Narrow" w:cs="Arial"/>
                <w:sz w:val="20"/>
              </w:rPr>
              <w:t>900</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20 580</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20 580</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Transfer pre Štátny fond rozvoja bývania</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71 501</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Pr>
                <w:rFonts w:ascii="Arial Narrow" w:hAnsi="Arial Narrow" w:cs="Arial"/>
                <w:sz w:val="20"/>
              </w:rPr>
              <w:t>66</w:t>
            </w:r>
            <w:r w:rsidRPr="002F72E5">
              <w:rPr>
                <w:rFonts w:ascii="Arial Narrow" w:hAnsi="Arial Narrow" w:cs="Arial"/>
                <w:sz w:val="20"/>
              </w:rPr>
              <w:t xml:space="preserve"> </w:t>
            </w:r>
            <w:r>
              <w:rPr>
                <w:rFonts w:ascii="Arial Narrow" w:hAnsi="Arial Narrow" w:cs="Arial"/>
                <w:sz w:val="20"/>
              </w:rPr>
              <w:t>960</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54 904</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54 904</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iCs/>
                <w:sz w:val="20"/>
              </w:rPr>
            </w:pPr>
            <w:r w:rsidRPr="002F72E5">
              <w:rPr>
                <w:rFonts w:ascii="Arial Narrow" w:hAnsi="Arial Narrow" w:cs="Arial"/>
                <w:b/>
                <w:bCs/>
                <w:iCs/>
                <w:sz w:val="20"/>
              </w:rPr>
              <w:t>Spolu dotácie ŠR</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color w:val="000000"/>
                <w:sz w:val="20"/>
              </w:rPr>
            </w:pPr>
            <w:r w:rsidRPr="002F72E5">
              <w:rPr>
                <w:rFonts w:ascii="Arial Narrow" w:hAnsi="Arial Narrow" w:cs="Arial"/>
                <w:b/>
                <w:bCs/>
                <w:color w:val="000000"/>
                <w:sz w:val="20"/>
              </w:rPr>
              <w:t>197 572</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color w:val="000000"/>
                <w:sz w:val="20"/>
              </w:rPr>
            </w:pPr>
            <w:r>
              <w:rPr>
                <w:rFonts w:ascii="Arial Narrow" w:hAnsi="Arial Narrow" w:cs="Arial"/>
                <w:b/>
                <w:bCs/>
                <w:color w:val="000000"/>
                <w:sz w:val="20"/>
              </w:rPr>
              <w:t>200</w:t>
            </w:r>
            <w:r w:rsidRPr="002F72E5">
              <w:rPr>
                <w:rFonts w:ascii="Arial Narrow" w:hAnsi="Arial Narrow" w:cs="Arial"/>
                <w:b/>
                <w:bCs/>
                <w:color w:val="000000"/>
                <w:sz w:val="20"/>
              </w:rPr>
              <w:t xml:space="preserve"> </w:t>
            </w:r>
            <w:r>
              <w:rPr>
                <w:rFonts w:ascii="Arial Narrow" w:hAnsi="Arial Narrow" w:cs="Arial"/>
                <w:b/>
                <w:bCs/>
                <w:color w:val="000000"/>
                <w:sz w:val="20"/>
              </w:rPr>
              <w:t>898</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color w:val="000000"/>
                <w:sz w:val="20"/>
              </w:rPr>
            </w:pPr>
            <w:r w:rsidRPr="002F72E5">
              <w:rPr>
                <w:rFonts w:ascii="Arial Narrow" w:hAnsi="Arial Narrow" w:cs="Arial"/>
                <w:b/>
                <w:bCs/>
                <w:color w:val="000000"/>
                <w:sz w:val="20"/>
              </w:rPr>
              <w:t>17</w:t>
            </w:r>
            <w:r>
              <w:rPr>
                <w:rFonts w:ascii="Arial Narrow" w:hAnsi="Arial Narrow" w:cs="Arial"/>
                <w:b/>
                <w:bCs/>
                <w:color w:val="000000"/>
                <w:sz w:val="20"/>
              </w:rPr>
              <w:t>4</w:t>
            </w:r>
            <w:r w:rsidRPr="002F72E5">
              <w:rPr>
                <w:rFonts w:ascii="Arial Narrow" w:hAnsi="Arial Narrow" w:cs="Arial"/>
                <w:b/>
                <w:bCs/>
                <w:color w:val="000000"/>
                <w:sz w:val="20"/>
              </w:rPr>
              <w:t xml:space="preserve"> </w:t>
            </w:r>
            <w:r>
              <w:rPr>
                <w:rFonts w:ascii="Arial Narrow" w:hAnsi="Arial Narrow" w:cs="Arial"/>
                <w:b/>
                <w:bCs/>
                <w:color w:val="000000"/>
                <w:sz w:val="20"/>
              </w:rPr>
              <w:t>999</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color w:val="000000"/>
                <w:sz w:val="20"/>
              </w:rPr>
            </w:pPr>
            <w:r w:rsidRPr="002F72E5">
              <w:rPr>
                <w:rFonts w:ascii="Arial Narrow" w:hAnsi="Arial Narrow" w:cs="Arial"/>
                <w:b/>
                <w:bCs/>
                <w:color w:val="000000"/>
                <w:sz w:val="20"/>
              </w:rPr>
              <w:t>178 717</w:t>
            </w:r>
          </w:p>
        </w:tc>
      </w:tr>
      <w:tr>
        <w:tblPrEx>
          <w:tblW w:w="9180" w:type="dxa"/>
          <w:tblInd w:w="70" w:type="dxa"/>
          <w:tblCellMar>
            <w:left w:w="70" w:type="dxa"/>
            <w:right w:w="70" w:type="dxa"/>
          </w:tblCellMar>
        </w:tblPrEx>
        <w:trPr>
          <w:trHeight w:val="255"/>
        </w:trPr>
        <w:tc>
          <w:tcPr>
            <w:tcW w:w="46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Príjmy ŠFRB </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64 652</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1A0C2B" w:rsidP="00AE49BA">
            <w:pPr>
              <w:jc w:val="right"/>
              <w:rPr>
                <w:rFonts w:ascii="Arial Narrow" w:hAnsi="Arial Narrow" w:cs="Arial"/>
                <w:sz w:val="20"/>
                <w:highlight w:val="yellow"/>
              </w:rPr>
            </w:pPr>
            <w:r w:rsidRPr="00276B7D">
              <w:rPr>
                <w:rFonts w:ascii="Arial Narrow" w:hAnsi="Arial Narrow" w:cs="Arial"/>
                <w:sz w:val="20"/>
              </w:rPr>
              <w:t>69 568</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77 378</w:t>
            </w:r>
          </w:p>
        </w:tc>
        <w:tc>
          <w:tcPr>
            <w:tcW w:w="1125"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86 218</w:t>
            </w:r>
          </w:p>
        </w:tc>
      </w:tr>
      <w:tr>
        <w:tblPrEx>
          <w:tblW w:w="9180" w:type="dxa"/>
          <w:tblInd w:w="70" w:type="dxa"/>
          <w:tblCellMar>
            <w:left w:w="70" w:type="dxa"/>
            <w:right w:w="70" w:type="dxa"/>
          </w:tblCellMar>
        </w:tblPrEx>
        <w:trPr>
          <w:trHeight w:val="270"/>
        </w:trPr>
        <w:tc>
          <w:tcPr>
            <w:tcW w:w="468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Celkom verejné zdroje</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262 224</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1A0C2B" w:rsidP="00AE49BA">
            <w:pPr>
              <w:jc w:val="right"/>
              <w:rPr>
                <w:rFonts w:ascii="Arial Narrow" w:hAnsi="Arial Narrow" w:cs="Arial"/>
                <w:b/>
                <w:bCs/>
                <w:sz w:val="20"/>
                <w:highlight w:val="yellow"/>
              </w:rPr>
            </w:pPr>
            <w:r w:rsidRPr="00276B7D">
              <w:rPr>
                <w:rFonts w:ascii="Arial Narrow" w:hAnsi="Arial Narrow" w:cs="Arial"/>
                <w:b/>
                <w:bCs/>
                <w:sz w:val="20"/>
                <w:highlight w:val="lightGray"/>
              </w:rPr>
              <w:t>2</w:t>
            </w:r>
            <w:r>
              <w:rPr>
                <w:rFonts w:ascii="Arial Narrow" w:hAnsi="Arial Narrow" w:cs="Arial"/>
                <w:b/>
                <w:bCs/>
                <w:sz w:val="20"/>
                <w:highlight w:val="lightGray"/>
              </w:rPr>
              <w:t>70</w:t>
            </w:r>
            <w:r w:rsidRPr="00276B7D">
              <w:rPr>
                <w:rFonts w:ascii="Arial Narrow" w:hAnsi="Arial Narrow" w:cs="Arial"/>
                <w:b/>
                <w:bCs/>
                <w:sz w:val="20"/>
                <w:highlight w:val="lightGray"/>
              </w:rPr>
              <w:t xml:space="preserve"> </w:t>
            </w:r>
            <w:r>
              <w:rPr>
                <w:rFonts w:ascii="Arial Narrow" w:hAnsi="Arial Narrow" w:cs="Arial"/>
                <w:b/>
                <w:bCs/>
                <w:sz w:val="20"/>
                <w:highlight w:val="lightGray"/>
              </w:rPr>
              <w:t>466</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252 37</w:t>
            </w:r>
            <w:r>
              <w:rPr>
                <w:rFonts w:ascii="Arial Narrow" w:hAnsi="Arial Narrow" w:cs="Arial"/>
                <w:b/>
                <w:bCs/>
                <w:sz w:val="20"/>
              </w:rPr>
              <w:t>7</w:t>
            </w:r>
          </w:p>
        </w:tc>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264 935</w:t>
            </w:r>
          </w:p>
        </w:tc>
      </w:tr>
    </w:tbl>
    <w:p w:rsidR="00AE49BA" w:rsidRPr="002F72E5" w:rsidP="00AE49BA">
      <w:pPr>
        <w:jc w:val="both"/>
        <w:rPr>
          <w:rFonts w:ascii="Arial Narrow" w:hAnsi="Arial Narrow" w:cs="Times New Roman"/>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sz w:val="22"/>
          <w:szCs w:val="22"/>
        </w:rPr>
        <w:t xml:space="preserve">Na podporu rozvoja bývania sa v roku 2009 vynaložia verejné výdavky vo výške  </w:t>
      </w:r>
      <w:r>
        <w:rPr>
          <w:rFonts w:ascii="Arial Narrow" w:hAnsi="Arial Narrow" w:cs="Times New Roman"/>
          <w:sz w:val="22"/>
          <w:szCs w:val="22"/>
        </w:rPr>
        <w:t xml:space="preserve">271 </w:t>
      </w:r>
      <w:r w:rsidRPr="002F72E5">
        <w:rPr>
          <w:rFonts w:ascii="Arial Narrow" w:hAnsi="Arial Narrow" w:cs="Times New Roman"/>
          <w:sz w:val="22"/>
          <w:szCs w:val="22"/>
        </w:rPr>
        <w:t xml:space="preserve">mil. eur, z toho je </w:t>
      </w:r>
      <w:r>
        <w:rPr>
          <w:rFonts w:ascii="Arial Narrow" w:hAnsi="Arial Narrow" w:cs="Times New Roman"/>
          <w:b/>
          <w:sz w:val="22"/>
          <w:szCs w:val="22"/>
        </w:rPr>
        <w:t>201 </w:t>
      </w:r>
      <w:r w:rsidRPr="002F72E5">
        <w:rPr>
          <w:rFonts w:ascii="Arial Narrow" w:hAnsi="Arial Narrow" w:cs="Times New Roman"/>
          <w:b/>
          <w:sz w:val="22"/>
          <w:szCs w:val="22"/>
        </w:rPr>
        <w:t>mil. eur</w:t>
      </w:r>
      <w:r w:rsidRPr="002F72E5">
        <w:rPr>
          <w:rFonts w:ascii="Arial Narrow" w:hAnsi="Arial Narrow" w:cs="Times New Roman"/>
          <w:sz w:val="22"/>
          <w:szCs w:val="22"/>
        </w:rPr>
        <w:t xml:space="preserve"> z rozpočtu  kapitoly a </w:t>
      </w:r>
      <w:r w:rsidRPr="00276B7D">
        <w:rPr>
          <w:rFonts w:ascii="Arial Narrow" w:hAnsi="Arial Narrow" w:cs="Times New Roman"/>
          <w:sz w:val="22"/>
          <w:szCs w:val="22"/>
        </w:rPr>
        <w:t>69,6</w:t>
      </w:r>
      <w:r>
        <w:rPr>
          <w:rFonts w:ascii="Arial Narrow" w:hAnsi="Arial Narrow" w:cs="Times New Roman"/>
          <w:sz w:val="22"/>
          <w:szCs w:val="22"/>
        </w:rPr>
        <w:t xml:space="preserve"> mil. eur z príjmov ŠFRB. Oproti roku 2008 dochádza k 3,5%-nému rastu týchto výdavkov.</w:t>
      </w:r>
    </w:p>
    <w:p w:rsidR="00AE49BA" w:rsidRPr="002F72E5" w:rsidP="00AE49BA">
      <w:pPr>
        <w:jc w:val="both"/>
        <w:rPr>
          <w:rFonts w:ascii="Arial Narrow" w:hAnsi="Arial Narrow" w:cs="Arial"/>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sz w:val="22"/>
          <w:szCs w:val="22"/>
        </w:rPr>
        <w:t xml:space="preserve">Na dotácie na výstavbu a obnovu bytového fondu sa rozpočtujú prostriedky v sume </w:t>
      </w:r>
      <w:r>
        <w:rPr>
          <w:rFonts w:ascii="Arial Narrow" w:hAnsi="Arial Narrow" w:cs="Times New Roman"/>
          <w:b/>
          <w:sz w:val="22"/>
          <w:szCs w:val="22"/>
        </w:rPr>
        <w:t>60,3</w:t>
      </w:r>
      <w:r w:rsidRPr="002F72E5">
        <w:rPr>
          <w:rFonts w:ascii="Arial Narrow" w:hAnsi="Arial Narrow" w:cs="Times New Roman"/>
          <w:b/>
          <w:sz w:val="22"/>
          <w:szCs w:val="22"/>
        </w:rPr>
        <w:t xml:space="preserve"> mil. eur</w:t>
      </w:r>
      <w:r w:rsidRPr="002F72E5">
        <w:rPr>
          <w:rFonts w:ascii="Arial Narrow" w:hAnsi="Arial Narrow" w:cs="Times New Roman"/>
          <w:sz w:val="22"/>
          <w:szCs w:val="22"/>
        </w:rPr>
        <w:t xml:space="preserve">, ktoré sa využijú na podporu výstavby nájomných bytov, prípravu územia na výstavbu technickej vybavenosti, odstraňovanie systémových porúch a bankové záruky.  </w:t>
      </w:r>
    </w:p>
    <w:p w:rsidR="00AE49BA" w:rsidRPr="002F72E5" w:rsidP="00AE49BA">
      <w:pPr>
        <w:jc w:val="both"/>
        <w:rPr>
          <w:rFonts w:ascii="Arial Narrow" w:hAnsi="Arial Narrow" w:cs="Times New Roman"/>
          <w:sz w:val="22"/>
          <w:szCs w:val="22"/>
        </w:rPr>
      </w:pPr>
    </w:p>
    <w:p w:rsidR="00AE49BA" w:rsidRPr="002F72E5" w:rsidP="00AE49BA">
      <w:pPr>
        <w:ind w:firstLine="708"/>
        <w:jc w:val="both"/>
        <w:rPr>
          <w:rFonts w:ascii="Arial Narrow" w:hAnsi="Arial Narrow" w:cs="Times New Roman"/>
          <w:bCs/>
          <w:sz w:val="22"/>
          <w:szCs w:val="22"/>
        </w:rPr>
      </w:pPr>
      <w:r w:rsidRPr="002F72E5">
        <w:rPr>
          <w:rFonts w:ascii="Arial Narrow" w:hAnsi="Arial Narrow" w:cs="Times New Roman"/>
          <w:sz w:val="22"/>
          <w:szCs w:val="22"/>
        </w:rPr>
        <w:t xml:space="preserve">K zvýšeniu miery podpory financovania s cieľom zlepšenia prístupu k bytovému fondu dochádza pri dotáciách na  štátnu prémiu k stavebnému sporeniu, ktorá je rozpočtovaná vo výške  </w:t>
      </w:r>
      <w:r w:rsidRPr="002F72E5">
        <w:rPr>
          <w:rFonts w:ascii="Arial Narrow" w:hAnsi="Arial Narrow" w:cs="Times New Roman"/>
          <w:b/>
          <w:sz w:val="22"/>
          <w:szCs w:val="22"/>
        </w:rPr>
        <w:t>49,</w:t>
      </w:r>
      <w:r>
        <w:rPr>
          <w:rFonts w:ascii="Arial Narrow" w:hAnsi="Arial Narrow" w:cs="Times New Roman"/>
          <w:b/>
          <w:sz w:val="22"/>
          <w:szCs w:val="22"/>
        </w:rPr>
        <w:t>8</w:t>
      </w:r>
      <w:r w:rsidRPr="002F72E5">
        <w:rPr>
          <w:rFonts w:ascii="Arial Narrow" w:hAnsi="Arial Narrow" w:cs="Times New Roman"/>
          <w:b/>
          <w:sz w:val="22"/>
          <w:szCs w:val="22"/>
        </w:rPr>
        <w:t xml:space="preserve"> mil. eur</w:t>
      </w:r>
      <w:r w:rsidRPr="002F72E5">
        <w:rPr>
          <w:rFonts w:ascii="Arial Narrow" w:hAnsi="Arial Narrow" w:cs="Times New Roman"/>
          <w:sz w:val="22"/>
          <w:szCs w:val="22"/>
        </w:rPr>
        <w:t xml:space="preserve"> a na bonifikáciu hypotekárnych úverov je vyčlenených </w:t>
      </w:r>
      <w:r w:rsidRPr="002F72E5">
        <w:rPr>
          <w:rFonts w:ascii="Arial Narrow" w:hAnsi="Arial Narrow" w:cs="Times New Roman"/>
          <w:b/>
          <w:sz w:val="22"/>
          <w:szCs w:val="22"/>
        </w:rPr>
        <w:t>2</w:t>
      </w:r>
      <w:r>
        <w:rPr>
          <w:rFonts w:ascii="Arial Narrow" w:hAnsi="Arial Narrow" w:cs="Times New Roman"/>
          <w:b/>
          <w:sz w:val="22"/>
          <w:szCs w:val="22"/>
        </w:rPr>
        <w:t>3</w:t>
      </w:r>
      <w:r w:rsidRPr="002F72E5">
        <w:rPr>
          <w:rFonts w:ascii="Arial Narrow" w:hAnsi="Arial Narrow" w:cs="Times New Roman"/>
          <w:b/>
          <w:sz w:val="22"/>
          <w:szCs w:val="22"/>
        </w:rPr>
        <w:t>,</w:t>
      </w:r>
      <w:r>
        <w:rPr>
          <w:rFonts w:ascii="Arial Narrow" w:hAnsi="Arial Narrow" w:cs="Times New Roman"/>
          <w:b/>
          <w:sz w:val="22"/>
          <w:szCs w:val="22"/>
        </w:rPr>
        <w:t>9</w:t>
      </w:r>
      <w:r w:rsidRPr="002F72E5">
        <w:rPr>
          <w:rFonts w:ascii="Arial Narrow" w:hAnsi="Arial Narrow" w:cs="Times New Roman"/>
          <w:b/>
          <w:sz w:val="22"/>
          <w:szCs w:val="22"/>
        </w:rPr>
        <w:t xml:space="preserve"> mil. eur</w:t>
      </w:r>
      <w:r w:rsidRPr="002F72E5">
        <w:rPr>
          <w:rFonts w:ascii="Arial Narrow" w:hAnsi="Arial Narrow" w:cs="Times New Roman"/>
          <w:b/>
          <w:bCs/>
          <w:sz w:val="22"/>
          <w:szCs w:val="22"/>
        </w:rPr>
        <w:t xml:space="preserve">. </w:t>
      </w:r>
      <w:r w:rsidRPr="002F72E5">
        <w:rPr>
          <w:rFonts w:ascii="Arial Narrow" w:hAnsi="Arial Narrow" w:cs="Times New Roman"/>
          <w:bCs/>
          <w:sz w:val="22"/>
          <w:szCs w:val="22"/>
        </w:rPr>
        <w:t>Pre podporu bývania vláda prijala opatrenia v oblasti stavebného sporenia, kde sa podpora rozšírila o možnosť čerpania spotrebných úverov aj na zariadenie bytu. Súčasne sa rozšíril okruh stavebných sporiteľov o niektoré právnické osoby s možnosťou čerpania štátnej prémie. Bola rozšírená možnosť použitia prostriedkov zo stavebného sporenia na stavebné účely, ktoré súvisia s bývaním a zvýšila sa percentuálna sadzba štátnej prémie, čím sa znížila ročná výška efektívneho vkladu stavebného sporiteľa z 697 eur na súčasných 531 eur. V oblasti hypotekárnych úverov sa začali od roku 2007 poskytovať hypotekárne úvery pre mladých s bonifikáciou úrokovej sadzby poskytovanej zo štátneho rozpočtu. Zo štátneho rozpočtu sa uvedená bonifikácia podporuje vo výške 2 % a banky sa zaviazali zvýhodniť tieto úvery   do výšky 1 %, čím sa dosiahlo zvýhodnenie hypotekárnych úverov pre mladých o 3 %.</w:t>
      </w:r>
    </w:p>
    <w:p w:rsidR="00AE49BA" w:rsidRPr="002F72E5" w:rsidP="00AE49BA">
      <w:pPr>
        <w:jc w:val="both"/>
        <w:rPr>
          <w:rFonts w:ascii="Arial Narrow" w:hAnsi="Arial Narrow" w:cs="Times New Roman"/>
          <w:bCs/>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sz w:val="22"/>
          <w:szCs w:val="22"/>
        </w:rPr>
        <w:t xml:space="preserve">Významnú  úlohu v podpore rozvoja bývania má Štátny fond rozvoja bývania, ktorého celkové zdroje v roku 2009 predstavujú čiastku takmer </w:t>
      </w:r>
      <w:r w:rsidRPr="002D2E0F">
        <w:rPr>
          <w:rFonts w:ascii="Arial Narrow" w:hAnsi="Arial Narrow" w:cs="Times New Roman"/>
          <w:sz w:val="22"/>
          <w:szCs w:val="22"/>
        </w:rPr>
        <w:t>137</w:t>
      </w:r>
      <w:r w:rsidRPr="002F72E5">
        <w:rPr>
          <w:rFonts w:ascii="Arial Narrow" w:hAnsi="Arial Narrow" w:cs="Times New Roman"/>
          <w:sz w:val="22"/>
          <w:szCs w:val="22"/>
        </w:rPr>
        <w:t xml:space="preserve"> mil. eur. </w:t>
      </w:r>
    </w:p>
    <w:p w:rsidR="00AE49BA" w:rsidRPr="002F72E5" w:rsidP="00AE49BA">
      <w:pPr>
        <w:jc w:val="both"/>
        <w:rPr>
          <w:rFonts w:ascii="Arial Narrow" w:hAnsi="Arial Narrow" w:cs="Times New Roman"/>
          <w:sz w:val="22"/>
          <w:szCs w:val="22"/>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
      <w:tblGrid>
        <w:gridCol w:w="2880"/>
        <w:gridCol w:w="1050"/>
        <w:gridCol w:w="1050"/>
        <w:gridCol w:w="1050"/>
        <w:gridCol w:w="1050"/>
        <w:gridCol w:w="1050"/>
        <w:gridCol w:w="1050"/>
      </w:tblGrid>
      <w:tr>
        <w:tblPrEx>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10"/>
        </w:trPr>
        <w:tc>
          <w:tcPr>
            <w:tcW w:w="288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rPr>
                <w:rFonts w:ascii="Arial Narrow" w:hAnsi="Arial Narrow" w:cs="Arial"/>
                <w:color w:val="FFFFFF"/>
                <w:sz w:val="20"/>
              </w:rPr>
            </w:pPr>
            <w:r w:rsidRPr="002F72E5">
              <w:rPr>
                <w:rFonts w:ascii="Arial Narrow" w:hAnsi="Arial Narrow" w:cs="Arial"/>
                <w:color w:val="FFFFFF"/>
                <w:sz w:val="20"/>
              </w:rPr>
              <w:t> </w:t>
            </w:r>
            <w:r w:rsidRPr="002F72E5">
              <w:rPr>
                <w:rFonts w:ascii="Arial Narrow" w:hAnsi="Arial Narrow" w:cs="Arial"/>
                <w:b/>
                <w:color w:val="FFFFFF"/>
                <w:sz w:val="20"/>
              </w:rPr>
              <w:t>(v tis. eur)</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2006</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2007</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80" w:type="dxa"/>
          <w:tblInd w:w="70" w:type="dxa"/>
          <w:tblCellMar>
            <w:left w:w="70" w:type="dxa"/>
            <w:right w:w="70" w:type="dxa"/>
          </w:tblCellMar>
        </w:tblPrEx>
        <w:trPr>
          <w:trHeight w:val="210"/>
        </w:trPr>
        <w:tc>
          <w:tcPr>
            <w:tcW w:w="28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Transfer zo štátneho rozpočtu</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91 890</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75 072</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71 501</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D2E0F">
              <w:rPr>
                <w:rFonts w:ascii="Arial Narrow" w:hAnsi="Arial Narrow" w:cs="Arial"/>
                <w:sz w:val="20"/>
              </w:rPr>
              <w:t>66 960</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54 904</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54 904</w:t>
            </w:r>
          </w:p>
        </w:tc>
      </w:tr>
      <w:tr>
        <w:tblPrEx>
          <w:tblW w:w="9180" w:type="dxa"/>
          <w:tblInd w:w="70" w:type="dxa"/>
          <w:tblCellMar>
            <w:left w:w="70" w:type="dxa"/>
            <w:right w:w="70" w:type="dxa"/>
          </w:tblCellMar>
        </w:tblPrEx>
        <w:trPr>
          <w:trHeight w:val="210"/>
        </w:trPr>
        <w:tc>
          <w:tcPr>
            <w:tcW w:w="288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Vlastné príjmy fondu</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50 694</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55 610</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64 652</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69 568</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77 378</w:t>
            </w:r>
          </w:p>
        </w:tc>
        <w:tc>
          <w:tcPr>
            <w:tcW w:w="1050" w:type="dxa"/>
            <w:tcBorders>
              <w:top w:val="single" w:sz="6" w:space="0" w:color="auto"/>
              <w:left w:val="single" w:sz="6" w:space="0" w:color="auto"/>
              <w:bottom w:val="single" w:sz="6" w:space="0" w:color="auto"/>
              <w:right w:val="single" w:sz="6"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86 218</w:t>
            </w:r>
          </w:p>
        </w:tc>
      </w:tr>
      <w:tr>
        <w:tblPrEx>
          <w:tblW w:w="9180" w:type="dxa"/>
          <w:tblInd w:w="70" w:type="dxa"/>
          <w:tblCellMar>
            <w:left w:w="70" w:type="dxa"/>
            <w:right w:w="70" w:type="dxa"/>
          </w:tblCellMar>
        </w:tblPrEx>
        <w:trPr>
          <w:trHeight w:val="210"/>
        </w:trPr>
        <w:tc>
          <w:tcPr>
            <w:tcW w:w="288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iCs/>
                <w:sz w:val="20"/>
              </w:rPr>
            </w:pPr>
            <w:r w:rsidRPr="002F72E5">
              <w:rPr>
                <w:rFonts w:ascii="Arial Narrow" w:hAnsi="Arial Narrow" w:cs="Arial"/>
                <w:b/>
                <w:bCs/>
                <w:iCs/>
                <w:sz w:val="20"/>
              </w:rPr>
              <w:t>Spolu zdroje ŠFRB</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142 584</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130 682</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136 153</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D2E0F">
              <w:rPr>
                <w:rFonts w:ascii="Arial Narrow" w:hAnsi="Arial Narrow" w:cs="Arial"/>
                <w:b/>
                <w:bCs/>
                <w:sz w:val="20"/>
                <w:highlight w:val="lightGray"/>
              </w:rPr>
              <w:t>136 528</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132 282</w:t>
            </w:r>
          </w:p>
        </w:tc>
        <w:tc>
          <w:tcPr>
            <w:tcW w:w="1050" w:type="dxa"/>
            <w:tcBorders>
              <w:top w:val="single" w:sz="6" w:space="0" w:color="auto"/>
              <w:left w:val="single" w:sz="6" w:space="0" w:color="auto"/>
              <w:bottom w:val="single" w:sz="6" w:space="0" w:color="auto"/>
              <w:right w:val="single" w:sz="6"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141 122</w:t>
            </w:r>
          </w:p>
        </w:tc>
      </w:tr>
    </w:tbl>
    <w:p w:rsidR="00AE49BA" w:rsidRPr="002F72E5" w:rsidP="00AE49BA">
      <w:pPr>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sidRPr="002F72E5">
        <w:rPr>
          <w:rFonts w:ascii="Arial Narrow" w:hAnsi="Arial Narrow" w:cs="Times New Roman"/>
          <w:sz w:val="22"/>
          <w:szCs w:val="22"/>
        </w:rPr>
        <w:t>V rámci vlastných zdrojov predstavujú  úroky z poskytnutých úverov sumu 2</w:t>
      </w:r>
      <w:r>
        <w:rPr>
          <w:rFonts w:ascii="Arial Narrow" w:hAnsi="Arial Narrow" w:cs="Times New Roman"/>
          <w:sz w:val="22"/>
          <w:szCs w:val="22"/>
        </w:rPr>
        <w:t>7</w:t>
      </w:r>
      <w:r w:rsidRPr="002F72E5">
        <w:rPr>
          <w:rFonts w:ascii="Arial Narrow" w:hAnsi="Arial Narrow" w:cs="Times New Roman"/>
          <w:sz w:val="22"/>
          <w:szCs w:val="22"/>
        </w:rPr>
        <w:t>,</w:t>
      </w:r>
      <w:r>
        <w:rPr>
          <w:rFonts w:ascii="Arial Narrow" w:hAnsi="Arial Narrow" w:cs="Times New Roman"/>
          <w:sz w:val="22"/>
          <w:szCs w:val="22"/>
        </w:rPr>
        <w:t>3</w:t>
      </w:r>
      <w:r w:rsidRPr="002F72E5">
        <w:rPr>
          <w:rFonts w:ascii="Arial Narrow" w:hAnsi="Arial Narrow" w:cs="Times New Roman"/>
          <w:sz w:val="22"/>
          <w:szCs w:val="22"/>
        </w:rPr>
        <w:t xml:space="preserve"> mil. eur a splátky istiny 41,6 mil. eur. Transfer do Štátneho fondu rozvoja bývania od roku 2005 postupne klesá a plní vyrovnávaciu funkciu vzhľadom na rast vlastných zdrojov štátneho fondu. Tým dochádza k napĺňaniu zámeru vytvoriť zo Štátneho fondu rozvoja bývania obrátkový fond. Prostriedky fondu sú rozpočtované na výstavbu nájomných bytov a zariadení sociálnych služieb realizovaných obcami a právnickými osobami vo výške </w:t>
      </w:r>
      <w:r>
        <w:rPr>
          <w:rFonts w:ascii="Arial Narrow" w:hAnsi="Arial Narrow" w:cs="Times New Roman"/>
          <w:sz w:val="22"/>
          <w:szCs w:val="22"/>
        </w:rPr>
        <w:t>71</w:t>
      </w:r>
      <w:r w:rsidRPr="002F72E5">
        <w:rPr>
          <w:rFonts w:ascii="Arial Narrow" w:hAnsi="Arial Narrow" w:cs="Times New Roman"/>
          <w:sz w:val="22"/>
          <w:szCs w:val="22"/>
        </w:rPr>
        <w:t>,</w:t>
      </w:r>
      <w:r>
        <w:rPr>
          <w:rFonts w:ascii="Arial Narrow" w:hAnsi="Arial Narrow" w:cs="Times New Roman"/>
          <w:sz w:val="22"/>
          <w:szCs w:val="22"/>
        </w:rPr>
        <w:t>3</w:t>
      </w:r>
      <w:r w:rsidRPr="002F72E5">
        <w:rPr>
          <w:rFonts w:ascii="Arial Narrow" w:hAnsi="Arial Narrow" w:cs="Times New Roman"/>
          <w:sz w:val="22"/>
          <w:szCs w:val="22"/>
        </w:rPr>
        <w:t xml:space="preserve"> mil. eur, na zabezpečenie nových bytových jednotiek fyzickými osobami v sume 3</w:t>
      </w:r>
      <w:r>
        <w:rPr>
          <w:rFonts w:ascii="Arial Narrow" w:hAnsi="Arial Narrow" w:cs="Times New Roman"/>
          <w:sz w:val="22"/>
          <w:szCs w:val="22"/>
        </w:rPr>
        <w:t>3</w:t>
      </w:r>
      <w:r w:rsidRPr="002F72E5">
        <w:rPr>
          <w:rFonts w:ascii="Arial Narrow" w:hAnsi="Arial Narrow" w:cs="Times New Roman"/>
          <w:sz w:val="22"/>
          <w:szCs w:val="22"/>
        </w:rPr>
        <w:t>,</w:t>
      </w:r>
      <w:r>
        <w:rPr>
          <w:rFonts w:ascii="Arial Narrow" w:hAnsi="Arial Narrow" w:cs="Times New Roman"/>
          <w:sz w:val="22"/>
          <w:szCs w:val="22"/>
        </w:rPr>
        <w:t>9</w:t>
      </w:r>
      <w:r w:rsidRPr="002F72E5">
        <w:rPr>
          <w:rFonts w:ascii="Arial Narrow" w:hAnsi="Arial Narrow" w:cs="Times New Roman"/>
          <w:sz w:val="22"/>
          <w:szCs w:val="22"/>
        </w:rPr>
        <w:t xml:space="preserve"> mil. eur, a na obnovu bytového fondu 2</w:t>
      </w:r>
      <w:r>
        <w:rPr>
          <w:rFonts w:ascii="Arial Narrow" w:hAnsi="Arial Narrow" w:cs="Times New Roman"/>
          <w:sz w:val="22"/>
          <w:szCs w:val="22"/>
        </w:rPr>
        <w:t>7</w:t>
      </w:r>
      <w:r w:rsidRPr="002F72E5">
        <w:rPr>
          <w:rFonts w:ascii="Arial Narrow" w:hAnsi="Arial Narrow" w:cs="Times New Roman"/>
          <w:sz w:val="22"/>
          <w:szCs w:val="22"/>
        </w:rPr>
        <w:t>,</w:t>
      </w:r>
      <w:r>
        <w:rPr>
          <w:rFonts w:ascii="Arial Narrow" w:hAnsi="Arial Narrow" w:cs="Times New Roman"/>
          <w:sz w:val="22"/>
          <w:szCs w:val="22"/>
        </w:rPr>
        <w:t>1</w:t>
      </w:r>
      <w:r w:rsidRPr="002F72E5">
        <w:rPr>
          <w:rFonts w:ascii="Arial Narrow" w:hAnsi="Arial Narrow" w:cs="Times New Roman"/>
          <w:sz w:val="22"/>
          <w:szCs w:val="22"/>
        </w:rPr>
        <w:t xml:space="preserve"> mil. eur.  Zo ŠFRB sa poskytuje podpora bývania pre mladých ľudí do 35 rokov formou úverov do výšky 49,8 tis. eur vo výške úrokovej sadzby 2 % (u žiadateľoch nad 35 rokov sa poskytuje úver do výšky 36,5 tis. eur s úrokovou sadzbou 3,5 %).</w:t>
      </w:r>
    </w:p>
    <w:p w:rsidR="00AE49BA" w:rsidP="00AE49BA">
      <w:pPr>
        <w:ind w:firstLine="708"/>
        <w:jc w:val="both"/>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p>
    <w:p w:rsidR="00AE49BA" w:rsidRPr="002F72E5" w:rsidP="00AE49BA">
      <w:pPr>
        <w:ind w:firstLine="708"/>
        <w:jc w:val="both"/>
        <w:rPr>
          <w:rFonts w:ascii="Arial Narrow" w:hAnsi="Arial Narrow" w:cs="Times New Roman"/>
          <w:sz w:val="22"/>
          <w:szCs w:val="22"/>
        </w:rPr>
      </w:pPr>
    </w:p>
    <w:p w:rsidR="00AE49BA" w:rsidRPr="002F72E5" w:rsidP="00AE49BA">
      <w:pPr>
        <w:jc w:val="both"/>
        <w:rPr>
          <w:rFonts w:ascii="Arial Narrow" w:hAnsi="Arial Narrow" w:cs="Times New Roman"/>
          <w:sz w:val="22"/>
          <w:szCs w:val="22"/>
        </w:rPr>
      </w:pPr>
    </w:p>
    <w:p w:rsidR="00AE49BA" w:rsidRPr="002F72E5" w:rsidP="00AE49BA">
      <w:pPr>
        <w:jc w:val="both"/>
        <w:rPr>
          <w:rFonts w:ascii="Arial Narrow" w:hAnsi="Arial Narrow" w:cs="Times New Roman"/>
          <w:b/>
          <w:sz w:val="22"/>
          <w:szCs w:val="22"/>
        </w:rPr>
      </w:pPr>
      <w:r w:rsidRPr="002F72E5">
        <w:rPr>
          <w:rFonts w:ascii="Arial Narrow" w:hAnsi="Arial Narrow" w:cs="Times New Roman"/>
          <w:b/>
          <w:sz w:val="22"/>
          <w:szCs w:val="22"/>
        </w:rPr>
        <w:t>Regionálny rozvoj</w:t>
      </w:r>
    </w:p>
    <w:p w:rsidR="00AE49BA" w:rsidRPr="002F72E5" w:rsidP="00AE49BA">
      <w:pPr>
        <w:spacing w:after="120"/>
        <w:ind w:left="283"/>
        <w:jc w:val="both"/>
        <w:rPr>
          <w:rFonts w:ascii="Arial Narrow" w:hAnsi="Arial Narrow" w:cs="Times New Roman"/>
          <w:sz w:val="22"/>
          <w:szCs w:val="22"/>
        </w:rPr>
      </w:pPr>
    </w:p>
    <w:tbl>
      <w:tblPr>
        <w:tblW w:w="8980" w:type="dxa"/>
        <w:tblInd w:w="55" w:type="dxa"/>
        <w:tblLayout w:type="fixed"/>
        <w:tblCellMar>
          <w:left w:w="70" w:type="dxa"/>
          <w:right w:w="70" w:type="dxa"/>
        </w:tblCellMar>
      </w:tblPr>
      <w:tblGrid>
        <w:gridCol w:w="4695"/>
        <w:gridCol w:w="1071"/>
        <w:gridCol w:w="1071"/>
        <w:gridCol w:w="1071"/>
        <w:gridCol w:w="1072"/>
      </w:tblGrid>
      <w:tr>
        <w:tblPrEx>
          <w:tblW w:w="8980"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071"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071"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071"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072"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8980" w:type="dxa"/>
          <w:tblInd w:w="55" w:type="dxa"/>
          <w:tblLayout w:type="fixed"/>
          <w:tblCellMar>
            <w:left w:w="70" w:type="dxa"/>
            <w:right w:w="70" w:type="dxa"/>
          </w:tblCellMar>
        </w:tblPrEx>
        <w:trPr>
          <w:trHeight w:val="225"/>
        </w:trPr>
        <w:tc>
          <w:tcPr>
            <w:tcW w:w="4695" w:type="dxa"/>
            <w:tcBorders>
              <w:top w:val="single" w:sz="4" w:space="0" w:color="auto"/>
              <w:left w:val="single" w:sz="8" w:space="0" w:color="auto"/>
              <w:bottom w:val="single" w:sz="4" w:space="0" w:color="auto"/>
              <w:right w:val="nil"/>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zdroje EÚ</w:t>
            </w:r>
          </w:p>
        </w:tc>
        <w:tc>
          <w:tcPr>
            <w:tcW w:w="1071" w:type="dxa"/>
            <w:tcBorders>
              <w:top w:val="single" w:sz="4" w:space="0" w:color="auto"/>
              <w:left w:val="single" w:sz="8" w:space="0" w:color="auto"/>
              <w:bottom w:val="single" w:sz="8"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110 193</w:t>
            </w:r>
          </w:p>
        </w:tc>
        <w:tc>
          <w:tcPr>
            <w:tcW w:w="1071" w:type="dxa"/>
            <w:tcBorders>
              <w:top w:val="single" w:sz="4" w:space="0" w:color="auto"/>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w:t>
            </w:r>
            <w:r>
              <w:rPr>
                <w:rFonts w:ascii="Arial Narrow" w:hAnsi="Arial Narrow" w:cs="Arial"/>
                <w:sz w:val="20"/>
              </w:rPr>
              <w:t>28</w:t>
            </w:r>
            <w:r w:rsidRPr="002F72E5">
              <w:rPr>
                <w:rFonts w:ascii="Arial Narrow" w:hAnsi="Arial Narrow" w:cs="Arial"/>
                <w:sz w:val="20"/>
              </w:rPr>
              <w:t xml:space="preserve"> </w:t>
            </w:r>
            <w:r>
              <w:rPr>
                <w:rFonts w:ascii="Arial Narrow" w:hAnsi="Arial Narrow" w:cs="Arial"/>
                <w:sz w:val="20"/>
              </w:rPr>
              <w:t>355</w:t>
            </w:r>
          </w:p>
        </w:tc>
        <w:tc>
          <w:tcPr>
            <w:tcW w:w="1071" w:type="dxa"/>
            <w:tcBorders>
              <w:top w:val="single" w:sz="4" w:space="0" w:color="auto"/>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w:t>
            </w:r>
            <w:r>
              <w:rPr>
                <w:rFonts w:ascii="Arial Narrow" w:hAnsi="Arial Narrow" w:cs="Arial"/>
                <w:sz w:val="20"/>
              </w:rPr>
              <w:t>79 227</w:t>
            </w:r>
          </w:p>
        </w:tc>
        <w:tc>
          <w:tcPr>
            <w:tcW w:w="1072" w:type="dxa"/>
            <w:tcBorders>
              <w:top w:val="single" w:sz="4" w:space="0" w:color="auto"/>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23</w:t>
            </w:r>
            <w:r>
              <w:rPr>
                <w:rFonts w:ascii="Arial Narrow" w:hAnsi="Arial Narrow" w:cs="Arial"/>
                <w:sz w:val="20"/>
              </w:rPr>
              <w:t>1</w:t>
            </w:r>
            <w:r w:rsidRPr="002F72E5">
              <w:rPr>
                <w:rFonts w:ascii="Arial Narrow" w:hAnsi="Arial Narrow" w:cs="Arial"/>
                <w:sz w:val="20"/>
              </w:rPr>
              <w:t xml:space="preserve"> </w:t>
            </w:r>
            <w:r>
              <w:rPr>
                <w:rFonts w:ascii="Arial Narrow" w:hAnsi="Arial Narrow" w:cs="Arial"/>
                <w:sz w:val="20"/>
              </w:rPr>
              <w:t>568</w:t>
            </w:r>
          </w:p>
        </w:tc>
      </w:tr>
      <w:tr>
        <w:tblPrEx>
          <w:tblW w:w="8980"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nil"/>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prostriedky ŠR na spolufinancovanie</w:t>
            </w:r>
          </w:p>
        </w:tc>
        <w:tc>
          <w:tcPr>
            <w:tcW w:w="1071" w:type="dxa"/>
            <w:tcBorders>
              <w:top w:val="nil"/>
              <w:left w:val="single" w:sz="8" w:space="0" w:color="auto"/>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32 849</w:t>
            </w:r>
          </w:p>
        </w:tc>
        <w:tc>
          <w:tcPr>
            <w:tcW w:w="1071"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w:t>
            </w:r>
            <w:r>
              <w:rPr>
                <w:rFonts w:ascii="Arial Narrow" w:hAnsi="Arial Narrow" w:cs="Arial"/>
                <w:sz w:val="20"/>
              </w:rPr>
              <w:t>6</w:t>
            </w:r>
            <w:r w:rsidRPr="002F72E5">
              <w:rPr>
                <w:rFonts w:ascii="Arial Narrow" w:hAnsi="Arial Narrow" w:cs="Arial"/>
                <w:sz w:val="20"/>
              </w:rPr>
              <w:t xml:space="preserve"> </w:t>
            </w:r>
            <w:r>
              <w:rPr>
                <w:rFonts w:ascii="Arial Narrow" w:hAnsi="Arial Narrow" w:cs="Arial"/>
                <w:sz w:val="20"/>
              </w:rPr>
              <w:t>59</w:t>
            </w:r>
            <w:r w:rsidRPr="002F72E5">
              <w:rPr>
                <w:rFonts w:ascii="Arial Narrow" w:hAnsi="Arial Narrow" w:cs="Arial"/>
                <w:sz w:val="20"/>
              </w:rPr>
              <w:t>2</w:t>
            </w:r>
          </w:p>
        </w:tc>
        <w:tc>
          <w:tcPr>
            <w:tcW w:w="1071"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3</w:t>
            </w:r>
            <w:r>
              <w:rPr>
                <w:rFonts w:ascii="Arial Narrow" w:hAnsi="Arial Narrow" w:cs="Arial"/>
                <w:sz w:val="20"/>
              </w:rPr>
              <w:t>5</w:t>
            </w:r>
            <w:r w:rsidRPr="002F72E5">
              <w:rPr>
                <w:rFonts w:ascii="Arial Narrow" w:hAnsi="Arial Narrow" w:cs="Arial"/>
                <w:sz w:val="20"/>
              </w:rPr>
              <w:t xml:space="preserve"> </w:t>
            </w:r>
            <w:r>
              <w:rPr>
                <w:rFonts w:ascii="Arial Narrow" w:hAnsi="Arial Narrow" w:cs="Arial"/>
                <w:sz w:val="20"/>
              </w:rPr>
              <w:t>65</w:t>
            </w:r>
            <w:r w:rsidRPr="002F72E5">
              <w:rPr>
                <w:rFonts w:ascii="Arial Narrow" w:hAnsi="Arial Narrow" w:cs="Arial"/>
                <w:sz w:val="20"/>
              </w:rPr>
              <w:t>2</w:t>
            </w:r>
          </w:p>
        </w:tc>
        <w:tc>
          <w:tcPr>
            <w:tcW w:w="1072"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w:t>
            </w:r>
            <w:r>
              <w:rPr>
                <w:rFonts w:ascii="Arial Narrow" w:hAnsi="Arial Narrow" w:cs="Arial"/>
                <w:sz w:val="20"/>
              </w:rPr>
              <w:t>5</w:t>
            </w:r>
            <w:r w:rsidRPr="002F72E5">
              <w:rPr>
                <w:rFonts w:ascii="Arial Narrow" w:hAnsi="Arial Narrow" w:cs="Arial"/>
                <w:sz w:val="20"/>
              </w:rPr>
              <w:t xml:space="preserve"> </w:t>
            </w:r>
            <w:r>
              <w:rPr>
                <w:rFonts w:ascii="Arial Narrow" w:hAnsi="Arial Narrow" w:cs="Arial"/>
                <w:sz w:val="20"/>
              </w:rPr>
              <w:t>021</w:t>
            </w:r>
          </w:p>
        </w:tc>
      </w:tr>
      <w:tr>
        <w:tblPrEx>
          <w:tblW w:w="8980"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nil"/>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prostriedky ŠR</w:t>
            </w:r>
          </w:p>
        </w:tc>
        <w:tc>
          <w:tcPr>
            <w:tcW w:w="1071" w:type="dxa"/>
            <w:tcBorders>
              <w:top w:val="nil"/>
              <w:left w:val="single" w:sz="8" w:space="0" w:color="auto"/>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1 777</w:t>
            </w:r>
          </w:p>
        </w:tc>
        <w:tc>
          <w:tcPr>
            <w:tcW w:w="1071"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1 837</w:t>
            </w:r>
          </w:p>
        </w:tc>
        <w:tc>
          <w:tcPr>
            <w:tcW w:w="1071"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1 737</w:t>
            </w:r>
          </w:p>
        </w:tc>
        <w:tc>
          <w:tcPr>
            <w:tcW w:w="1072"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1 771</w:t>
            </w:r>
          </w:p>
        </w:tc>
      </w:tr>
      <w:tr>
        <w:tblPrEx>
          <w:tblW w:w="8980" w:type="dxa"/>
          <w:tblInd w:w="55" w:type="dxa"/>
          <w:tblLayout w:type="fixed"/>
          <w:tblCellMar>
            <w:left w:w="70" w:type="dxa"/>
            <w:right w:w="70" w:type="dxa"/>
          </w:tblCellMar>
        </w:tblPrEx>
        <w:trPr>
          <w:trHeight w:val="225"/>
        </w:trPr>
        <w:tc>
          <w:tcPr>
            <w:tcW w:w="4695" w:type="dxa"/>
            <w:tcBorders>
              <w:top w:val="nil"/>
              <w:left w:val="single" w:sz="8" w:space="0" w:color="auto"/>
              <w:bottom w:val="single" w:sz="8" w:space="0" w:color="auto"/>
              <w:right w:val="nil"/>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Regionálny rozvoj celkom</w:t>
            </w:r>
          </w:p>
        </w:tc>
        <w:tc>
          <w:tcPr>
            <w:tcW w:w="1071"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144 819</w:t>
            </w:r>
          </w:p>
        </w:tc>
        <w:tc>
          <w:tcPr>
            <w:tcW w:w="1071"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156 784</w:t>
            </w:r>
          </w:p>
        </w:tc>
        <w:tc>
          <w:tcPr>
            <w:tcW w:w="1071"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216 616</w:t>
            </w:r>
          </w:p>
        </w:tc>
        <w:tc>
          <w:tcPr>
            <w:tcW w:w="1072"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278 360</w:t>
            </w:r>
          </w:p>
        </w:tc>
      </w:tr>
    </w:tbl>
    <w:p w:rsidR="00AE49BA" w:rsidRPr="002F72E5" w:rsidP="00AE49BA">
      <w:pPr>
        <w:spacing w:after="120"/>
        <w:ind w:left="283"/>
        <w:jc w:val="both"/>
        <w:rPr>
          <w:rFonts w:ascii="Arial Narrow" w:hAnsi="Arial Narrow" w:cs="Times New Roman"/>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sz w:val="22"/>
          <w:szCs w:val="22"/>
        </w:rPr>
        <w:t xml:space="preserve">Na regionálny rozvoj je pre rok 2009 určených </w:t>
      </w:r>
      <w:r w:rsidRPr="002F72E5">
        <w:rPr>
          <w:rFonts w:ascii="Arial Narrow" w:hAnsi="Arial Narrow" w:cs="Times New Roman"/>
          <w:b/>
          <w:sz w:val="22"/>
          <w:szCs w:val="22"/>
        </w:rPr>
        <w:t>157 mil. eur</w:t>
      </w:r>
      <w:r w:rsidRPr="002F72E5">
        <w:rPr>
          <w:rFonts w:ascii="Arial Narrow" w:hAnsi="Arial Narrow" w:cs="Times New Roman"/>
          <w:sz w:val="22"/>
          <w:szCs w:val="22"/>
        </w:rPr>
        <w:t xml:space="preserve"> a v značnej miere sú tieto prostriedky smerované pre obce a VÚC. V porovnaní so schváleným rozpočtom roku 2006 ide o nárast o 105 % a v porovnaní s rokom 2008 ide o nárast o 8,3 %. Výdavky zo zdrojov EÚ a spolufinancovania sú smerované cez Operačný program Bratislavský kraj MVRR vo výške 14,8 mil. eur na regeneráciu sídiel, regionálnu a mestskú hromadnú dopravu, inovácie a technologické transfery, informatizáciu spoločnosti a technickú pomoc, cez Operačný program Technická pomoc MVRR v sume 17,2 mil. eur, cez Regionálny operačný program MVRR vo výške takmer 120 mil. eur na infraštruktúru vzdelávania, sociálnych služieb, podporu a rozvoj infraštruktúry cestovného ruchu, regeneráciu sídiel, cez Cezhraničnú spoluprácu v sume 3,30 mil. eur na zlepšenie cezhraničnej spolupráce medzi SR a Rakúskom, SR a Poľskou republikou, SR a ČR, SR a Maďarskom. Prostriedky štátneho rozpočtu sa rozpočtujú na podporu integrovanej siete regionálnych rozvojových agentúr a euroregionálnych združení a na podporu územného rozvoja obcí a miest. </w:t>
      </w:r>
    </w:p>
    <w:p w:rsidR="00AE49BA" w:rsidP="00AE49BA">
      <w:pPr>
        <w:pStyle w:val="BodyTextIndent"/>
        <w:spacing w:after="0"/>
        <w:ind w:left="0"/>
        <w:jc w:val="both"/>
        <w:rPr>
          <w:rFonts w:ascii="Arial Narrow" w:hAnsi="Arial Narrow" w:cs="Times New Roman"/>
          <w:sz w:val="22"/>
          <w:szCs w:val="22"/>
        </w:rPr>
      </w:pPr>
    </w:p>
    <w:p w:rsidR="00AE49BA" w:rsidRPr="00F85DD3" w:rsidP="00AE49BA">
      <w:pPr>
        <w:pBdr>
          <w:bottom w:val="single" w:sz="4" w:space="1" w:color="auto"/>
        </w:pBdr>
        <w:jc w:val="both"/>
        <w:rPr>
          <w:rFonts w:ascii="Arial Narrow" w:hAnsi="Arial Narrow" w:cs="Times New Roman"/>
          <w:b/>
          <w:sz w:val="22"/>
          <w:szCs w:val="22"/>
        </w:rPr>
      </w:pPr>
      <w:r w:rsidRPr="003C2FF1">
        <w:rPr>
          <w:rFonts w:ascii="Arial Narrow" w:hAnsi="Arial Narrow" w:cs="Times New Roman"/>
          <w:b/>
          <w:bCs/>
          <w:sz w:val="22"/>
          <w:szCs w:val="22"/>
        </w:rPr>
        <w:t>Doprava</w:t>
      </w:r>
    </w:p>
    <w:p w:rsidR="00AE49BA" w:rsidP="00AE49BA">
      <w:pPr>
        <w:pStyle w:val="BodyTextIndent"/>
        <w:spacing w:after="0"/>
        <w:jc w:val="both"/>
        <w:rPr>
          <w:rFonts w:ascii="Arial Narrow" w:hAnsi="Arial Narrow" w:cs="Times New Roman"/>
          <w:color w:val="000000"/>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color w:val="000000"/>
          <w:sz w:val="22"/>
          <w:szCs w:val="22"/>
        </w:rPr>
        <w:t xml:space="preserve">Prioritou súčasnej vlády v súlade so spoločnou európskou dopravnou politikou je zrýchlenie tempa výstavby a modernizácie dopravnej infraštruktúry s cieľom prepojenia nadradenej dopravnej infraštruktúry na </w:t>
      </w:r>
      <w:r w:rsidRPr="002F72E5">
        <w:rPr>
          <w:rFonts w:ascii="Arial Narrow" w:hAnsi="Arial Narrow" w:cs="Times New Roman"/>
          <w:sz w:val="22"/>
          <w:szCs w:val="22"/>
        </w:rPr>
        <w:t>transeurópsku</w:t>
      </w:r>
      <w:r w:rsidRPr="002F72E5">
        <w:rPr>
          <w:rFonts w:ascii="Arial Narrow" w:hAnsi="Arial Narrow" w:cs="Times New Roman"/>
          <w:color w:val="000000"/>
          <w:sz w:val="22"/>
          <w:szCs w:val="22"/>
        </w:rPr>
        <w:t xml:space="preserve"> dopravnú sieť a zlepšenie dostupnosti všetkých regiónov SR k nadradenej dopravnej infraštruktúre. </w:t>
      </w:r>
      <w:r w:rsidRPr="002F72E5">
        <w:rPr>
          <w:rFonts w:ascii="Arial Narrow" w:hAnsi="Arial Narrow" w:cs="Times New Roman"/>
          <w:sz w:val="22"/>
          <w:szCs w:val="22"/>
        </w:rPr>
        <w:t>V nadväznosti na uvedené výrazná finančná podpora je smerovaná do oblasti dopravy nielen zo zdrojov EÚ a spolufinancovania, ale aj zo samotných prostriedkov štátneho rozpočtu.</w:t>
      </w:r>
    </w:p>
    <w:p w:rsidR="00AE49BA" w:rsidRPr="002F72E5" w:rsidP="00AE49BA">
      <w:pPr>
        <w:ind w:firstLine="708"/>
        <w:jc w:val="both"/>
        <w:rPr>
          <w:rFonts w:ascii="Arial Narrow" w:hAnsi="Arial Narrow" w:cs="Times New Roman"/>
          <w:sz w:val="22"/>
          <w:szCs w:val="22"/>
        </w:rPr>
      </w:pPr>
    </w:p>
    <w:tbl>
      <w:tblPr>
        <w:tblW w:w="9180" w:type="dxa"/>
        <w:tblInd w:w="70" w:type="dxa"/>
        <w:tblCellMar>
          <w:left w:w="70" w:type="dxa"/>
          <w:right w:w="70" w:type="dxa"/>
        </w:tblCellMar>
      </w:tblPr>
      <w:tblGrid>
        <w:gridCol w:w="4680"/>
        <w:gridCol w:w="1125"/>
        <w:gridCol w:w="1125"/>
        <w:gridCol w:w="1125"/>
        <w:gridCol w:w="1125"/>
      </w:tblGrid>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80" w:type="dxa"/>
          <w:tblInd w:w="70" w:type="dxa"/>
          <w:tblCellMar>
            <w:left w:w="70" w:type="dxa"/>
            <w:right w:w="70" w:type="dxa"/>
          </w:tblCellMar>
        </w:tblPrEx>
        <w:trPr>
          <w:trHeight w:val="240"/>
        </w:trPr>
        <w:tc>
          <w:tcPr>
            <w:tcW w:w="4680" w:type="dxa"/>
            <w:tcBorders>
              <w:top w:val="single" w:sz="4" w:space="0" w:color="auto"/>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Celkové zdroje na dopravu, v tom:</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1 617 299</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1 9</w:t>
            </w:r>
            <w:r>
              <w:rPr>
                <w:rFonts w:ascii="Arial Narrow" w:hAnsi="Arial Narrow" w:cs="Arial"/>
                <w:b/>
                <w:bCs/>
                <w:sz w:val="20"/>
              </w:rPr>
              <w:t>54</w:t>
            </w:r>
            <w:r w:rsidRPr="002F72E5">
              <w:rPr>
                <w:rFonts w:ascii="Arial Narrow" w:hAnsi="Arial Narrow" w:cs="Arial"/>
                <w:b/>
                <w:bCs/>
                <w:sz w:val="20"/>
              </w:rPr>
              <w:t xml:space="preserve"> </w:t>
            </w:r>
            <w:r>
              <w:rPr>
                <w:rFonts w:ascii="Arial Narrow" w:hAnsi="Arial Narrow" w:cs="Arial"/>
                <w:b/>
                <w:bCs/>
                <w:sz w:val="20"/>
              </w:rPr>
              <w:t>538</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2 163 925</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2 248 026</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zdroje ŠR a EÚ </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 xml:space="preserve">1 027 286 </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1 3</w:t>
            </w:r>
            <w:r>
              <w:rPr>
                <w:rFonts w:ascii="Arial Narrow" w:hAnsi="Arial Narrow" w:cs="Arial"/>
                <w:bCs/>
                <w:sz w:val="20"/>
              </w:rPr>
              <w:t>77</w:t>
            </w:r>
            <w:r w:rsidRPr="002F72E5">
              <w:rPr>
                <w:rFonts w:ascii="Arial Narrow" w:hAnsi="Arial Narrow" w:cs="Arial"/>
                <w:bCs/>
                <w:sz w:val="20"/>
              </w:rPr>
              <w:t xml:space="preserve"> </w:t>
            </w:r>
            <w:r>
              <w:rPr>
                <w:rFonts w:ascii="Arial Narrow" w:hAnsi="Arial Narrow" w:cs="Arial"/>
                <w:bCs/>
                <w:sz w:val="20"/>
              </w:rPr>
              <w:t>590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1 626 529</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1 672 593</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zdroje územnej samosprávy </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493 995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510 655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537 396</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575 433</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8"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vlastné zdroje NDS </w:t>
            </w:r>
          </w:p>
        </w:tc>
        <w:tc>
          <w:tcPr>
            <w:tcW w:w="1125" w:type="dxa"/>
            <w:tcBorders>
              <w:top w:val="nil"/>
              <w:left w:val="nil"/>
              <w:bottom w:val="single" w:sz="8" w:space="0" w:color="auto"/>
              <w:right w:val="single" w:sz="4" w:space="0" w:color="auto"/>
              <w:tl2br w:val="nil"/>
              <w:tr2bl w:val="nil"/>
            </w:tcBorders>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96 018</w:t>
            </w:r>
          </w:p>
        </w:tc>
        <w:tc>
          <w:tcPr>
            <w:tcW w:w="1125" w:type="dxa"/>
            <w:tcBorders>
              <w:top w:val="nil"/>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66 293</w:t>
            </w:r>
          </w:p>
        </w:tc>
        <w:tc>
          <w:tcPr>
            <w:tcW w:w="1125" w:type="dxa"/>
            <w:tcBorders>
              <w:top w:val="nil"/>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0</w:t>
            </w:r>
          </w:p>
        </w:tc>
        <w:tc>
          <w:tcPr>
            <w:tcW w:w="1125" w:type="dxa"/>
            <w:tcBorders>
              <w:top w:val="nil"/>
              <w:left w:val="nil"/>
              <w:bottom w:val="single" w:sz="8"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0</w:t>
            </w:r>
          </w:p>
        </w:tc>
      </w:tr>
    </w:tbl>
    <w:p w:rsidR="00AE49BA" w:rsidRPr="002F72E5" w:rsidP="00AE49BA">
      <w:pPr>
        <w:rPr>
          <w:rFonts w:ascii="Arial Narrow" w:hAnsi="Arial Narrow" w:cs="Times New Roman"/>
          <w:sz w:val="22"/>
          <w:szCs w:val="22"/>
        </w:rPr>
      </w:pPr>
    </w:p>
    <w:p w:rsidR="00AE49BA" w:rsidRPr="00211024" w:rsidP="00AE49BA">
      <w:pPr>
        <w:ind w:firstLine="708"/>
        <w:jc w:val="both"/>
        <w:rPr>
          <w:rFonts w:ascii="Arial Narrow" w:hAnsi="Arial Narrow" w:cs="Times New Roman"/>
          <w:color w:val="333333"/>
          <w:sz w:val="22"/>
          <w:szCs w:val="22"/>
        </w:rPr>
      </w:pPr>
      <w:r w:rsidRPr="00211024">
        <w:rPr>
          <w:rFonts w:ascii="Arial Narrow" w:hAnsi="Arial Narrow" w:cs="Times New Roman"/>
          <w:color w:val="333333"/>
          <w:sz w:val="22"/>
          <w:szCs w:val="22"/>
        </w:rPr>
        <w:t xml:space="preserve">Celkové zdroje na dopravu predstavujú sumu 1,95 mld. eur, čo v porovnaní s rokom 2006 predstavuje nárast o 33 % a v porovnaní s rokom 2008 nárast o  21 %. </w:t>
      </w:r>
    </w:p>
    <w:p w:rsidR="00AE49BA" w:rsidRPr="002F72E5" w:rsidP="00AE49BA">
      <w:pPr>
        <w:rPr>
          <w:rFonts w:ascii="Arial Narrow" w:hAnsi="Arial Narrow" w:cs="Times New Roman"/>
          <w:sz w:val="22"/>
          <w:szCs w:val="22"/>
        </w:rPr>
      </w:pPr>
      <w:r w:rsidRPr="002F72E5">
        <w:rPr>
          <w:rFonts w:ascii="Arial Narrow" w:hAnsi="Arial Narrow" w:cs="Times New Roman"/>
          <w:sz w:val="22"/>
          <w:szCs w:val="22"/>
        </w:rPr>
        <w:t xml:space="preserve"> </w:t>
      </w:r>
    </w:p>
    <w:p w:rsidR="00AE49BA" w:rsidRPr="002F72E5" w:rsidP="00AE49BA">
      <w:pPr>
        <w:jc w:val="both"/>
        <w:rPr>
          <w:rFonts w:ascii="Arial Narrow" w:hAnsi="Arial Narrow" w:cs="Times New Roman"/>
          <w:b/>
          <w:bCs/>
          <w:iCs/>
          <w:sz w:val="22"/>
          <w:szCs w:val="22"/>
        </w:rPr>
      </w:pPr>
      <w:r w:rsidRPr="002F72E5">
        <w:rPr>
          <w:rFonts w:ascii="Arial Narrow" w:hAnsi="Arial Narrow" w:cs="Times New Roman"/>
          <w:b/>
          <w:bCs/>
          <w:iCs/>
          <w:sz w:val="22"/>
          <w:szCs w:val="22"/>
        </w:rPr>
        <w:t xml:space="preserve">Cestná infraštruktúra  </w:t>
      </w:r>
    </w:p>
    <w:p w:rsidR="00AE49BA" w:rsidRPr="002F72E5" w:rsidP="00AE49BA">
      <w:pPr>
        <w:jc w:val="both"/>
        <w:rPr>
          <w:rFonts w:ascii="Arial Narrow" w:hAnsi="Arial Narrow" w:cs="Times New Roman"/>
          <w:sz w:val="22"/>
          <w:szCs w:val="22"/>
        </w:rPr>
      </w:pPr>
    </w:p>
    <w:p w:rsidR="00AE49BA" w:rsidRPr="002F72E5" w:rsidP="00AE49BA">
      <w:pPr>
        <w:ind w:firstLine="708"/>
        <w:jc w:val="both"/>
        <w:rPr>
          <w:rFonts w:ascii="Arial Narrow" w:hAnsi="Arial Narrow" w:cs="Times New Roman"/>
          <w:bCs/>
          <w:sz w:val="22"/>
          <w:szCs w:val="22"/>
        </w:rPr>
      </w:pPr>
      <w:r w:rsidRPr="002F72E5">
        <w:rPr>
          <w:rFonts w:ascii="Arial Narrow" w:hAnsi="Arial Narrow" w:cs="Times New Roman"/>
          <w:sz w:val="22"/>
          <w:szCs w:val="22"/>
        </w:rPr>
        <w:t>Na výdavky súvisiace s cestnou infraštruktúrou je rozpočtovaných 1,43 mld. eur, čo v porovnaní so schváleným rozpočtom roku 2006 predstavuje nárast o 37 % a v porovnaní s rokom 2008 ide o nárast o 24 %. Z  prostriedkov štátneho rozpočtu a zdrojov EÚ je rozpočtovaných takmer 853 mil. eur</w:t>
      </w:r>
      <w:r w:rsidRPr="002F72E5">
        <w:rPr>
          <w:rFonts w:ascii="Arial Narrow" w:hAnsi="Arial Narrow" w:cs="Times New Roman"/>
          <w:b/>
          <w:sz w:val="22"/>
          <w:szCs w:val="22"/>
        </w:rPr>
        <w:t xml:space="preserve">, </w:t>
      </w:r>
      <w:r w:rsidRPr="002F72E5">
        <w:rPr>
          <w:rFonts w:ascii="Arial Narrow" w:hAnsi="Arial Narrow" w:cs="Times New Roman"/>
          <w:sz w:val="22"/>
          <w:szCs w:val="22"/>
        </w:rPr>
        <w:t xml:space="preserve">čo v porovnaní s rokom 2006 </w:t>
      </w:r>
      <w:r>
        <w:rPr>
          <w:rFonts w:ascii="Arial Narrow" w:hAnsi="Arial Narrow" w:cs="Times New Roman"/>
          <w:sz w:val="22"/>
          <w:szCs w:val="22"/>
        </w:rPr>
        <w:t>predstavuje</w:t>
      </w:r>
      <w:r w:rsidRPr="002F72E5">
        <w:rPr>
          <w:rFonts w:ascii="Arial Narrow" w:hAnsi="Arial Narrow" w:cs="Times New Roman"/>
          <w:sz w:val="22"/>
          <w:szCs w:val="22"/>
        </w:rPr>
        <w:t xml:space="preserve"> nárast o 78 % a v porovnaní s rokom 2008 ide o nárast o 52 %. Zdroje rastú nielen z prostriedkov Európskej únie a spolufinancovania, ale aj zo samotných prostriedkov štátneho rozpočtu, ktoré sú v roku 2009 rozpočtované v čiastke 435 mil. eur, čo v porovnaní s rokom 2006 predstavuje zvýšenie o 22 %. </w:t>
      </w:r>
      <w:r w:rsidRPr="002F72E5">
        <w:rPr>
          <w:rFonts w:ascii="Arial Narrow" w:hAnsi="Arial Narrow" w:cs="Times New Roman"/>
          <w:bCs/>
          <w:sz w:val="22"/>
          <w:szCs w:val="22"/>
        </w:rPr>
        <w:t>Ďalšími novými zdrojmi financovania môžu byť súkromné zdroje realizované prostredníctvom projektov PPP a prostriedky z mýta cez NDS, ktoré budú</w:t>
      </w:r>
      <w:r w:rsidRPr="002F72E5">
        <w:rPr>
          <w:rFonts w:ascii="Arial Narrow" w:hAnsi="Arial Narrow" w:cs="Arial"/>
          <w:sz w:val="22"/>
          <w:szCs w:val="22"/>
        </w:rPr>
        <w:t xml:space="preserve"> </w:t>
      </w:r>
      <w:r w:rsidRPr="002F72E5">
        <w:rPr>
          <w:rFonts w:ascii="Arial Narrow" w:hAnsi="Arial Narrow" w:cs="Times New Roman"/>
          <w:bCs/>
          <w:sz w:val="22"/>
          <w:szCs w:val="22"/>
        </w:rPr>
        <w:t xml:space="preserve">v prvých rokoch </w:t>
      </w:r>
      <w:r w:rsidRPr="002F72E5">
        <w:rPr>
          <w:rFonts w:ascii="Arial Narrow" w:hAnsi="Arial Narrow" w:cs="Arial"/>
          <w:sz w:val="22"/>
          <w:szCs w:val="22"/>
        </w:rPr>
        <w:t>použité na splátky istiny a úrokov NDS, splátku mýtneho systému a prevádzku elektronického mýta</w:t>
      </w:r>
      <w:r w:rsidRPr="002F72E5">
        <w:rPr>
          <w:rFonts w:ascii="Arial Narrow" w:hAnsi="Arial Narrow" w:cs="Times New Roman"/>
          <w:bCs/>
          <w:sz w:val="22"/>
          <w:szCs w:val="22"/>
        </w:rPr>
        <w:t xml:space="preserve">. </w:t>
      </w:r>
    </w:p>
    <w:p w:rsidR="00AE49BA" w:rsidRPr="002F72E5" w:rsidP="00AE49BA">
      <w:pPr>
        <w:jc w:val="both"/>
        <w:rPr>
          <w:rFonts w:ascii="Arial Narrow" w:hAnsi="Arial Narrow" w:cs="Times New Roman"/>
          <w:b/>
          <w:bCs/>
          <w:sz w:val="22"/>
          <w:szCs w:val="22"/>
        </w:rPr>
      </w:pPr>
    </w:p>
    <w:p w:rsidR="00AE49BA" w:rsidP="00AE49BA">
      <w:pPr>
        <w:jc w:val="both"/>
        <w:rPr>
          <w:rFonts w:ascii="Arial Narrow" w:hAnsi="Arial Narrow" w:cs="Times New Roman"/>
          <w:i/>
          <w:iCs/>
          <w:sz w:val="22"/>
          <w:szCs w:val="22"/>
        </w:rPr>
      </w:pPr>
    </w:p>
    <w:p w:rsidR="00AE49BA" w:rsidP="00AE49BA">
      <w:pPr>
        <w:jc w:val="both"/>
        <w:rPr>
          <w:rFonts w:ascii="Arial Narrow" w:hAnsi="Arial Narrow" w:cs="Times New Roman"/>
          <w:i/>
          <w:iCs/>
          <w:sz w:val="22"/>
          <w:szCs w:val="22"/>
        </w:rPr>
      </w:pPr>
    </w:p>
    <w:p w:rsidR="00AE49BA" w:rsidP="00AE49BA">
      <w:pPr>
        <w:jc w:val="both"/>
        <w:rPr>
          <w:rFonts w:ascii="Arial Narrow" w:hAnsi="Arial Narrow" w:cs="Times New Roman"/>
          <w:i/>
          <w:iCs/>
          <w:sz w:val="22"/>
          <w:szCs w:val="22"/>
        </w:rPr>
      </w:pPr>
    </w:p>
    <w:p w:rsidR="00AE49BA" w:rsidP="00AE49BA">
      <w:pPr>
        <w:jc w:val="both"/>
        <w:rPr>
          <w:rFonts w:ascii="Arial Narrow" w:hAnsi="Arial Narrow" w:cs="Times New Roman"/>
          <w:i/>
          <w:iCs/>
          <w:sz w:val="22"/>
          <w:szCs w:val="22"/>
        </w:rPr>
      </w:pPr>
    </w:p>
    <w:p w:rsidR="00AE49BA" w:rsidP="00AE49BA">
      <w:pPr>
        <w:jc w:val="both"/>
        <w:rPr>
          <w:rFonts w:ascii="Arial Narrow" w:hAnsi="Arial Narrow" w:cs="Times New Roman"/>
          <w:i/>
          <w:iCs/>
          <w:sz w:val="22"/>
          <w:szCs w:val="22"/>
        </w:rPr>
      </w:pPr>
    </w:p>
    <w:p w:rsidR="00AE49BA" w:rsidRPr="002F72E5" w:rsidP="00AE49BA">
      <w:pPr>
        <w:jc w:val="both"/>
        <w:rPr>
          <w:rFonts w:ascii="Arial Narrow" w:hAnsi="Arial Narrow" w:cs="Times New Roman"/>
          <w:i/>
          <w:iCs/>
          <w:sz w:val="22"/>
          <w:szCs w:val="22"/>
        </w:rPr>
      </w:pPr>
      <w:r w:rsidRPr="002F72E5">
        <w:rPr>
          <w:rFonts w:ascii="Arial Narrow" w:hAnsi="Arial Narrow" w:cs="Times New Roman"/>
          <w:i/>
          <w:iCs/>
          <w:sz w:val="22"/>
          <w:szCs w:val="22"/>
        </w:rPr>
        <w:t>Správa a údržba cestnej infraštruktúry</w:t>
      </w:r>
    </w:p>
    <w:p w:rsidR="00AE49BA" w:rsidRPr="002F72E5" w:rsidP="00AE49BA">
      <w:pPr>
        <w:jc w:val="both"/>
        <w:rPr>
          <w:rFonts w:ascii="Arial Narrow" w:hAnsi="Arial Narrow" w:cs="Times New Roman"/>
          <w:i/>
          <w:iCs/>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80"/>
        <w:gridCol w:w="1125"/>
        <w:gridCol w:w="1125"/>
        <w:gridCol w:w="1125"/>
        <w:gridCol w:w="1125"/>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80" w:type="dxa"/>
          <w:tblInd w:w="70" w:type="dxa"/>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Výdavky na správu, údržbu a opravy ciest a diaľnic spolu</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325 62</w:t>
            </w:r>
            <w:r>
              <w:rPr>
                <w:rFonts w:ascii="Arial Narrow" w:hAnsi="Arial Narrow" w:cs="Arial"/>
                <w:b/>
                <w:bCs/>
                <w:sz w:val="20"/>
              </w:rPr>
              <w:t>6</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399 233</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365 99</w:t>
            </w:r>
            <w:r>
              <w:rPr>
                <w:rFonts w:ascii="Arial Narrow" w:hAnsi="Arial Narrow" w:cs="Arial"/>
                <w:b/>
                <w:bCs/>
                <w:sz w:val="20"/>
              </w:rPr>
              <w:t>5</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bCs/>
                <w:sz w:val="20"/>
              </w:rPr>
            </w:pPr>
            <w:r w:rsidRPr="002F72E5">
              <w:rPr>
                <w:rFonts w:ascii="Arial Narrow" w:hAnsi="Arial Narrow" w:cs="Arial"/>
                <w:b/>
                <w:bCs/>
                <w:sz w:val="20"/>
              </w:rPr>
              <w:t>385 736</w:t>
            </w:r>
          </w:p>
        </w:tc>
      </w:tr>
      <w:tr>
        <w:tblPrEx>
          <w:tblW w:w="9180" w:type="dxa"/>
          <w:tblInd w:w="70" w:type="dxa"/>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SSC - správa a údržba ciest I. triedy </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38 441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40 211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40 352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40 496</w:t>
            </w:r>
          </w:p>
        </w:tc>
      </w:tr>
      <w:tr>
        <w:tblPrEx>
          <w:tblW w:w="9180" w:type="dxa"/>
          <w:tblInd w:w="70" w:type="dxa"/>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NDS – príprava a realizácia opráv diaľnic a RC zdroje ŠR</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29 875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29 875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29 875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29 875</w:t>
            </w:r>
          </w:p>
        </w:tc>
      </w:tr>
      <w:tr>
        <w:tblPrEx>
          <w:tblW w:w="9180" w:type="dxa"/>
          <w:tblInd w:w="70" w:type="dxa"/>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NDS - správa, údržba a opravy diaľnic a RC vlastné zdroje</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37 509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r>
      <w:tr>
        <w:tblPrEx>
          <w:tblW w:w="9180" w:type="dxa"/>
          <w:tblInd w:w="70" w:type="dxa"/>
          <w:tblCellMar>
            <w:left w:w="70" w:type="dxa"/>
            <w:right w:w="70" w:type="dxa"/>
          </w:tblCellMar>
        </w:tblPrEx>
        <w:trPr>
          <w:trHeight w:val="255"/>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VÚC - správa, údržba a opravy ciest II. triedy</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142 950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161 661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170 079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185 992</w:t>
            </w:r>
          </w:p>
        </w:tc>
      </w:tr>
      <w:tr>
        <w:tblPrEx>
          <w:tblW w:w="9180" w:type="dxa"/>
          <w:tblInd w:w="70" w:type="dxa"/>
          <w:tblCellMar>
            <w:left w:w="70" w:type="dxa"/>
            <w:right w:w="70" w:type="dxa"/>
          </w:tblCellMar>
        </w:tblPrEx>
        <w:trPr>
          <w:trHeight w:val="270"/>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mestá a obce - správa, údržba a opravy ostatné cesty</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114 360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129 977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125 689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129 373</w:t>
            </w:r>
          </w:p>
        </w:tc>
      </w:tr>
    </w:tbl>
    <w:p w:rsidR="00AE49BA" w:rsidRPr="002F72E5" w:rsidP="00AE49BA">
      <w:pPr>
        <w:jc w:val="both"/>
        <w:rPr>
          <w:rFonts w:ascii="Arial Narrow" w:hAnsi="Arial Narrow" w:cs="Times New Roman"/>
          <w:iCs/>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sz w:val="22"/>
          <w:szCs w:val="22"/>
        </w:rPr>
        <w:t xml:space="preserve">V roku 2009 sa predpokladá </w:t>
      </w:r>
      <w:r w:rsidRPr="002F72E5">
        <w:rPr>
          <w:rFonts w:ascii="Arial Narrow" w:hAnsi="Arial Narrow" w:cs="Times New Roman"/>
          <w:b/>
          <w:sz w:val="22"/>
          <w:szCs w:val="22"/>
        </w:rPr>
        <w:t>na správu a údržbu cestnej infraštruktúry</w:t>
      </w:r>
      <w:r w:rsidRPr="002F72E5">
        <w:rPr>
          <w:rFonts w:ascii="Arial Narrow" w:hAnsi="Arial Narrow" w:cs="Times New Roman"/>
          <w:sz w:val="22"/>
          <w:szCs w:val="22"/>
        </w:rPr>
        <w:t xml:space="preserve"> vynaložiť celkom 399 mil. eur, čo </w:t>
      </w:r>
      <w:r w:rsidRPr="002F72E5">
        <w:rPr>
          <w:rFonts w:ascii="Arial Narrow" w:hAnsi="Arial Narrow" w:cs="Times New Roman"/>
          <w:b/>
          <w:sz w:val="22"/>
          <w:szCs w:val="22"/>
        </w:rPr>
        <w:t>v porovnaní s rokom 2006 predstavuje nárast o 37 % a v porovnaní s rokom 2008 nárast o 23 %</w:t>
      </w:r>
      <w:r w:rsidRPr="002F72E5">
        <w:rPr>
          <w:rFonts w:ascii="Arial Narrow" w:hAnsi="Arial Narrow" w:cs="Times New Roman"/>
          <w:sz w:val="22"/>
          <w:szCs w:val="22"/>
        </w:rPr>
        <w:t xml:space="preserve">. Správa a údržba cestnej infraštruktúry sa realizuje prostredníctvom Slovenskej správy ciest (SSC), Národnej diaľničnej spoločnosti (NDS), VÚC,  miest a obcí. SSC, ktorá je zodpovedná za správu, údržbu  a výstavbu ciest I. triedy má na správu a údržbu rozpočtovaných </w:t>
      </w:r>
      <w:r w:rsidRPr="002F72E5">
        <w:rPr>
          <w:rFonts w:ascii="Arial Narrow" w:hAnsi="Arial Narrow" w:cs="Times New Roman"/>
          <w:b/>
          <w:sz w:val="22"/>
          <w:szCs w:val="22"/>
        </w:rPr>
        <w:t>40,2 mil. eur</w:t>
      </w:r>
      <w:r w:rsidRPr="002F72E5">
        <w:rPr>
          <w:rFonts w:ascii="Arial Narrow" w:hAnsi="Arial Narrow" w:cs="Times New Roman"/>
          <w:sz w:val="22"/>
          <w:szCs w:val="22"/>
        </w:rPr>
        <w:t xml:space="preserve">. NDS vykonáva prípravu, realizáciu  opráv,  výstavbu diaľnic a rýchlostných ciest. Na správu, údržbu a opravy z prostriedkov štátneho rozpočtu a z vlastných zdrojov má vyčlenených </w:t>
      </w:r>
      <w:r w:rsidRPr="002F72E5">
        <w:rPr>
          <w:rFonts w:ascii="Arial Narrow" w:hAnsi="Arial Narrow" w:cs="Times New Roman"/>
          <w:b/>
          <w:sz w:val="22"/>
          <w:szCs w:val="22"/>
        </w:rPr>
        <w:t>67,4 mil. eur</w:t>
      </w:r>
      <w:r w:rsidRPr="002F72E5">
        <w:rPr>
          <w:rFonts w:ascii="Arial Narrow" w:hAnsi="Arial Narrow" w:cs="Times New Roman"/>
          <w:sz w:val="22"/>
          <w:szCs w:val="22"/>
        </w:rPr>
        <w:t xml:space="preserve">. VÚC vykonávajú správu a údržbu ciest II. a III. triedy, na ktorú sa v roku 2009 podľa odhadu MF SR predpokladá použiť takmer </w:t>
      </w:r>
      <w:r w:rsidRPr="002F72E5">
        <w:rPr>
          <w:rFonts w:ascii="Arial Narrow" w:hAnsi="Arial Narrow" w:cs="Times New Roman"/>
          <w:b/>
          <w:sz w:val="22"/>
          <w:szCs w:val="22"/>
        </w:rPr>
        <w:t>162 mil. eur</w:t>
      </w:r>
      <w:r w:rsidRPr="002F72E5">
        <w:rPr>
          <w:rFonts w:ascii="Arial Narrow" w:hAnsi="Arial Narrow" w:cs="Times New Roman"/>
          <w:sz w:val="22"/>
          <w:szCs w:val="22"/>
        </w:rPr>
        <w:t xml:space="preserve"> z prostriedkov, ktoré VÚC získajú z výnosu dane z príjmov platenej fyzickými osobami a z výnosu dane z motorových vozidiel. Mestá a obce realizujú správu a údržbu miestnych komunikácií, na ktorú sa v roku 2009 podľa odhadu MF SR predpokladá použiť </w:t>
      </w:r>
      <w:r w:rsidRPr="002F72E5">
        <w:rPr>
          <w:rFonts w:ascii="Arial Narrow" w:hAnsi="Arial Narrow" w:cs="Times New Roman"/>
          <w:b/>
          <w:sz w:val="22"/>
          <w:szCs w:val="22"/>
        </w:rPr>
        <w:t xml:space="preserve">130 mil. eur. </w:t>
      </w:r>
    </w:p>
    <w:p w:rsidR="00AE49BA" w:rsidRPr="002F72E5" w:rsidP="00AE49BA">
      <w:pPr>
        <w:jc w:val="both"/>
        <w:rPr>
          <w:rFonts w:ascii="Arial Narrow" w:hAnsi="Arial Narrow" w:cs="Times New Roman"/>
          <w:i/>
          <w:iCs/>
          <w:sz w:val="22"/>
          <w:szCs w:val="22"/>
        </w:rPr>
      </w:pPr>
    </w:p>
    <w:p w:rsidR="00AE49BA" w:rsidRPr="002F72E5" w:rsidP="00AE49BA">
      <w:pPr>
        <w:jc w:val="both"/>
        <w:rPr>
          <w:rFonts w:ascii="Arial Narrow" w:hAnsi="Arial Narrow" w:cs="Times New Roman"/>
          <w:i/>
          <w:iCs/>
          <w:sz w:val="22"/>
          <w:szCs w:val="22"/>
        </w:rPr>
      </w:pPr>
      <w:r w:rsidRPr="002F72E5">
        <w:rPr>
          <w:rFonts w:ascii="Arial Narrow" w:hAnsi="Arial Narrow" w:cs="Times New Roman"/>
          <w:i/>
          <w:iCs/>
          <w:sz w:val="22"/>
          <w:szCs w:val="22"/>
        </w:rPr>
        <w:t>Výstavba cestnej infraštruktúry</w:t>
      </w:r>
    </w:p>
    <w:p w:rsidR="00AE49BA" w:rsidRPr="002F72E5" w:rsidP="00AE49BA">
      <w:pPr>
        <w:jc w:val="both"/>
        <w:rPr>
          <w:rFonts w:ascii="Arial Narrow" w:hAnsi="Arial Narrow" w:cs="Times New Roman"/>
          <w:iCs/>
          <w:sz w:val="22"/>
          <w:szCs w:val="22"/>
        </w:rPr>
      </w:pPr>
    </w:p>
    <w:tbl>
      <w:tblPr>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40"/>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Výdavky na výstavbu ciest a diaľnic spolu</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824 842</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1 031 118</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1 009 246</w:t>
            </w:r>
          </w:p>
        </w:tc>
        <w:tc>
          <w:tcPr>
            <w:tcW w:w="1125" w:type="dxa"/>
            <w:tcBorders>
              <w:top w:val="nil"/>
              <w:left w:val="nil"/>
              <w:bottom w:val="single" w:sz="4"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1 016 786</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ciest I. triedy zdroje ŠR a EÚ</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86 304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109 540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135 022</w:t>
            </w:r>
          </w:p>
        </w:tc>
        <w:tc>
          <w:tcPr>
            <w:tcW w:w="1125" w:type="dxa"/>
            <w:tcBorders>
              <w:top w:val="nil"/>
              <w:left w:val="nil"/>
              <w:bottom w:val="single" w:sz="4" w:space="0" w:color="auto"/>
              <w:right w:val="single" w:sz="8"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151 032</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diaľnic a rýchlostných ciest zdroje ŠR a EÚ</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405 834</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673 777</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632 595</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605 686</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diaľnic a rýchlostných ciest zdroje NDS</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96 018</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28 784</w:t>
            </w:r>
          </w:p>
        </w:tc>
        <w:tc>
          <w:tcPr>
            <w:tcW w:w="1125" w:type="dxa"/>
            <w:tcBorders>
              <w:top w:val="nil"/>
              <w:left w:val="nil"/>
              <w:bottom w:val="single" w:sz="4" w:space="0" w:color="auto"/>
              <w:right w:val="single" w:sz="4"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c>
          <w:tcPr>
            <w:tcW w:w="1125" w:type="dxa"/>
            <w:tcBorders>
              <w:top w:val="nil"/>
              <w:left w:val="nil"/>
              <w:bottom w:val="single" w:sz="4" w:space="0" w:color="auto"/>
              <w:right w:val="single" w:sz="8" w:space="0" w:color="auto"/>
              <w:tl2br w:val="nil"/>
              <w:tr2bl w:val="nil"/>
            </w:tcBorders>
            <w:shd w:val="clear" w:color="auto" w:fill="FFFFFF"/>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ciest II. triedy zdroje VÚC</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105 895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70 497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69 319</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70 574</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8"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Výstavba ostatných zdroje miest a obcí</w:t>
            </w:r>
          </w:p>
        </w:tc>
        <w:tc>
          <w:tcPr>
            <w:tcW w:w="1125" w:type="dxa"/>
            <w:tcBorders>
              <w:top w:val="nil"/>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130 791</w:t>
            </w:r>
          </w:p>
        </w:tc>
        <w:tc>
          <w:tcPr>
            <w:tcW w:w="1125" w:type="dxa"/>
            <w:tcBorders>
              <w:top w:val="nil"/>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148 520</w:t>
            </w:r>
          </w:p>
        </w:tc>
        <w:tc>
          <w:tcPr>
            <w:tcW w:w="1125" w:type="dxa"/>
            <w:tcBorders>
              <w:top w:val="nil"/>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172 310</w:t>
            </w:r>
          </w:p>
        </w:tc>
        <w:tc>
          <w:tcPr>
            <w:tcW w:w="1125" w:type="dxa"/>
            <w:tcBorders>
              <w:top w:val="nil"/>
              <w:left w:val="nil"/>
              <w:bottom w:val="single" w:sz="8"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189 494</w:t>
            </w:r>
          </w:p>
        </w:tc>
      </w:tr>
    </w:tbl>
    <w:p w:rsidR="00AE49BA" w:rsidRPr="002F72E5" w:rsidP="00AE49BA">
      <w:pPr>
        <w:jc w:val="both"/>
        <w:rPr>
          <w:rFonts w:ascii="Arial Narrow" w:hAnsi="Arial Narrow" w:cs="Times New Roman"/>
          <w:i/>
          <w:iCs/>
          <w:sz w:val="22"/>
          <w:szCs w:val="22"/>
        </w:rPr>
      </w:pPr>
    </w:p>
    <w:p w:rsidR="00AE49BA" w:rsidRPr="002F72E5" w:rsidP="00AE49BA">
      <w:pPr>
        <w:ind w:firstLine="708"/>
        <w:jc w:val="both"/>
        <w:rPr>
          <w:rFonts w:ascii="Arial Narrow" w:hAnsi="Arial Narrow" w:cs="Times New Roman"/>
          <w:bCs/>
          <w:sz w:val="22"/>
          <w:szCs w:val="22"/>
        </w:rPr>
      </w:pPr>
      <w:r w:rsidRPr="002F72E5">
        <w:rPr>
          <w:rFonts w:ascii="Arial Narrow" w:hAnsi="Arial Narrow" w:cs="Times New Roman"/>
          <w:sz w:val="22"/>
          <w:szCs w:val="22"/>
        </w:rPr>
        <w:t xml:space="preserve">Na </w:t>
      </w:r>
      <w:r w:rsidRPr="002F72E5">
        <w:rPr>
          <w:rFonts w:ascii="Arial Narrow" w:hAnsi="Arial Narrow" w:cs="Times New Roman"/>
          <w:b/>
          <w:sz w:val="22"/>
          <w:szCs w:val="22"/>
        </w:rPr>
        <w:t>výstavbu cestnej infraštruktúry</w:t>
      </w:r>
      <w:r w:rsidRPr="002F72E5">
        <w:rPr>
          <w:rFonts w:ascii="Arial Narrow" w:hAnsi="Arial Narrow" w:cs="Times New Roman"/>
          <w:sz w:val="22"/>
          <w:szCs w:val="22"/>
        </w:rPr>
        <w:t xml:space="preserve"> sa v roku 2009 predpokladá vynaložiť celkom </w:t>
      </w:r>
      <w:r w:rsidRPr="002F72E5">
        <w:rPr>
          <w:rFonts w:ascii="Arial Narrow" w:hAnsi="Arial Narrow" w:cs="Times New Roman"/>
          <w:b/>
          <w:bCs/>
          <w:sz w:val="22"/>
          <w:szCs w:val="22"/>
        </w:rPr>
        <w:t xml:space="preserve">1,03 mld. eur, </w:t>
      </w:r>
      <w:r w:rsidRPr="002F72E5">
        <w:rPr>
          <w:rFonts w:ascii="Arial Narrow" w:hAnsi="Arial Narrow" w:cs="Times New Roman"/>
          <w:bCs/>
          <w:sz w:val="22"/>
          <w:szCs w:val="22"/>
        </w:rPr>
        <w:t>čo</w:t>
      </w:r>
      <w:r w:rsidRPr="002F72E5">
        <w:rPr>
          <w:rFonts w:ascii="Arial Narrow" w:hAnsi="Arial Narrow" w:cs="Times New Roman"/>
          <w:b/>
          <w:bCs/>
          <w:sz w:val="22"/>
          <w:szCs w:val="22"/>
        </w:rPr>
        <w:t xml:space="preserve"> v porovnaní s rokom 2006 predstavuje zvýšenie o 36 % a v porovnaní s rokom 2008 zvýšenie o 25 %</w:t>
      </w:r>
      <w:r w:rsidRPr="002F72E5">
        <w:rPr>
          <w:rFonts w:ascii="Arial Narrow" w:hAnsi="Arial Narrow" w:cs="Times New Roman"/>
          <w:bCs/>
          <w:sz w:val="22"/>
          <w:szCs w:val="22"/>
        </w:rPr>
        <w:t xml:space="preserve">.  </w:t>
      </w:r>
      <w:r w:rsidRPr="002F72E5">
        <w:rPr>
          <w:rFonts w:ascii="Arial Narrow" w:hAnsi="Arial Narrow" w:cs="Times New Roman"/>
          <w:sz w:val="22"/>
          <w:szCs w:val="22"/>
        </w:rPr>
        <w:t xml:space="preserve">Na  výstavbu </w:t>
      </w:r>
      <w:r w:rsidRPr="002F72E5">
        <w:rPr>
          <w:rFonts w:ascii="Arial Narrow" w:hAnsi="Arial Narrow" w:cs="Times New Roman"/>
          <w:b/>
          <w:bCs/>
          <w:sz w:val="22"/>
          <w:szCs w:val="22"/>
        </w:rPr>
        <w:t xml:space="preserve">ciest  I. triedy  prostredníctvom SSC </w:t>
      </w:r>
      <w:r w:rsidRPr="002F72E5">
        <w:rPr>
          <w:rFonts w:ascii="Arial Narrow" w:hAnsi="Arial Narrow" w:cs="Times New Roman"/>
          <w:sz w:val="22"/>
          <w:szCs w:val="22"/>
        </w:rPr>
        <w:t xml:space="preserve">sa predpokladá čerpať </w:t>
      </w:r>
      <w:r w:rsidRPr="002F72E5">
        <w:rPr>
          <w:rFonts w:ascii="Arial Narrow" w:hAnsi="Arial Narrow" w:cs="Times New Roman"/>
          <w:b/>
          <w:sz w:val="22"/>
          <w:szCs w:val="22"/>
        </w:rPr>
        <w:t>110 mil. eur</w:t>
      </w:r>
      <w:r w:rsidRPr="002F72E5">
        <w:rPr>
          <w:rFonts w:ascii="Arial Narrow" w:hAnsi="Arial Narrow" w:cs="Times New Roman"/>
          <w:sz w:val="22"/>
          <w:szCs w:val="22"/>
        </w:rPr>
        <w:t>, z toho zo zdrojov EÚ 19,8 mil. eur a  z prostriedkov štátneho rozpočtu čiastka vo výške 89,8 mil. eur</w:t>
      </w:r>
      <w:r w:rsidRPr="002F72E5">
        <w:rPr>
          <w:rFonts w:ascii="Arial Narrow" w:hAnsi="Arial Narrow" w:cs="Times New Roman"/>
          <w:bCs/>
          <w:sz w:val="22"/>
          <w:szCs w:val="22"/>
        </w:rPr>
        <w:t>.</w:t>
      </w:r>
      <w:r w:rsidRPr="002F72E5">
        <w:rPr>
          <w:rFonts w:ascii="Arial Narrow" w:hAnsi="Arial Narrow" w:cs="Times New Roman"/>
          <w:sz w:val="22"/>
          <w:szCs w:val="22"/>
        </w:rPr>
        <w:t xml:space="preserve"> V porovnaní s rokom 2006 ide o zvýšenie 6 % a v porovnaní s rokom 2008 o zvýšenie o 27 %. Na výstavbu </w:t>
      </w:r>
      <w:r w:rsidRPr="002F72E5">
        <w:rPr>
          <w:rFonts w:ascii="Arial Narrow" w:hAnsi="Arial Narrow" w:cs="Times New Roman"/>
          <w:b/>
          <w:bCs/>
          <w:sz w:val="22"/>
          <w:szCs w:val="22"/>
        </w:rPr>
        <w:t>diaľnic a rýchlostných ciest</w:t>
      </w:r>
      <w:r w:rsidRPr="002F72E5">
        <w:rPr>
          <w:rFonts w:ascii="Arial Narrow" w:hAnsi="Arial Narrow" w:cs="Times New Roman"/>
          <w:sz w:val="22"/>
          <w:szCs w:val="22"/>
        </w:rPr>
        <w:t xml:space="preserve">  sa predpokladá použiť </w:t>
      </w:r>
      <w:r w:rsidRPr="002F72E5">
        <w:rPr>
          <w:rFonts w:ascii="Arial Narrow" w:hAnsi="Arial Narrow" w:cs="Times New Roman"/>
          <w:b/>
          <w:bCs/>
          <w:sz w:val="22"/>
          <w:szCs w:val="22"/>
        </w:rPr>
        <w:t xml:space="preserve">703 mil. eur, </w:t>
      </w:r>
      <w:r w:rsidRPr="002F72E5">
        <w:rPr>
          <w:rFonts w:ascii="Arial Narrow" w:hAnsi="Arial Narrow" w:cs="Times New Roman"/>
          <w:sz w:val="22"/>
          <w:szCs w:val="22"/>
        </w:rPr>
        <w:t>z toho zo zdrojov štátneho rozpočtu 336 mil. eur (56,9 mil. eur  na spolufinancovanie projektov EÚ,  279 mil. eur na národné projekty),  zo zdrojov EÚ 338 mil. eur a z vlastných zdrojov NDS 28,8 mil. eur. V porovnaní s rokom 2006 ide o nárast o 49 % a v porovnaní s rokom 2008 o nárast o 40 %.</w:t>
      </w:r>
      <w:r w:rsidRPr="002F72E5">
        <w:rPr>
          <w:rFonts w:ascii="Arial Narrow" w:hAnsi="Arial Narrow" w:cs="Times New Roman"/>
          <w:bCs/>
          <w:sz w:val="22"/>
          <w:szCs w:val="22"/>
        </w:rPr>
        <w:t xml:space="preserve"> </w:t>
      </w:r>
      <w:r w:rsidRPr="002F72E5">
        <w:rPr>
          <w:rFonts w:ascii="Arial Narrow" w:hAnsi="Arial Narrow" w:cs="Times New Roman"/>
          <w:sz w:val="22"/>
          <w:szCs w:val="22"/>
        </w:rPr>
        <w:t xml:space="preserve">Na výstavbu </w:t>
      </w:r>
      <w:r w:rsidRPr="002F72E5">
        <w:rPr>
          <w:rFonts w:ascii="Arial Narrow" w:hAnsi="Arial Narrow" w:cs="Times New Roman"/>
          <w:b/>
          <w:sz w:val="22"/>
          <w:szCs w:val="22"/>
        </w:rPr>
        <w:t>ostatných ciest</w:t>
      </w:r>
      <w:r w:rsidRPr="002F72E5">
        <w:rPr>
          <w:rFonts w:ascii="Arial Narrow" w:hAnsi="Arial Narrow" w:cs="Times New Roman"/>
          <w:sz w:val="22"/>
          <w:szCs w:val="22"/>
        </w:rPr>
        <w:t xml:space="preserve"> prostredníctvom územnej samosprávy sa podľa odhadov MF SR predpokladá čerpať 219 mil. eur.</w:t>
      </w:r>
    </w:p>
    <w:p w:rsidR="00AE49BA" w:rsidRPr="002F72E5" w:rsidP="00AE49BA">
      <w:pPr>
        <w:jc w:val="both"/>
        <w:rPr>
          <w:rFonts w:ascii="Arial Narrow" w:hAnsi="Arial Narrow" w:cs="Times New Roman"/>
          <w:sz w:val="22"/>
          <w:szCs w:val="22"/>
        </w:rPr>
      </w:pPr>
    </w:p>
    <w:p w:rsidR="00AE49BA" w:rsidRPr="002F72E5" w:rsidP="00AE49BA">
      <w:pPr>
        <w:jc w:val="both"/>
        <w:rPr>
          <w:rFonts w:ascii="Arial Narrow" w:hAnsi="Arial Narrow" w:cs="Times New Roman"/>
          <w:b/>
          <w:bCs/>
          <w:iCs/>
          <w:sz w:val="22"/>
          <w:szCs w:val="22"/>
        </w:rPr>
      </w:pPr>
      <w:r w:rsidRPr="002F72E5">
        <w:rPr>
          <w:rFonts w:ascii="Arial Narrow" w:hAnsi="Arial Narrow" w:cs="Times New Roman"/>
          <w:b/>
          <w:bCs/>
          <w:iCs/>
          <w:sz w:val="22"/>
          <w:szCs w:val="22"/>
        </w:rPr>
        <w:t>Železničná doprava</w:t>
      </w:r>
    </w:p>
    <w:p w:rsidR="00AE49BA" w:rsidRPr="002F72E5" w:rsidP="00AE49BA">
      <w:pPr>
        <w:jc w:val="both"/>
        <w:rPr>
          <w:rFonts w:ascii="Arial Narrow" w:hAnsi="Arial Narrow" w:cs="Times New Roman"/>
          <w:bCs/>
          <w:iCs/>
          <w:sz w:val="22"/>
          <w:szCs w:val="22"/>
        </w:rPr>
      </w:pPr>
    </w:p>
    <w:tbl>
      <w:tblPr>
        <w:tblW w:w="9180" w:type="dxa"/>
        <w:tblInd w:w="70" w:type="dxa"/>
        <w:tblCellMar>
          <w:left w:w="70" w:type="dxa"/>
          <w:right w:w="70" w:type="dxa"/>
        </w:tblCellMar>
      </w:tblPr>
      <w:tblGrid>
        <w:gridCol w:w="4680"/>
        <w:gridCol w:w="1125"/>
        <w:gridCol w:w="1125"/>
        <w:gridCol w:w="1125"/>
        <w:gridCol w:w="1125"/>
      </w:tblGrid>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Kombinovaná doprava</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664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664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664</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664</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VVZ  ŽSSK osobná doprava</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165 970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w:t>
            </w:r>
            <w:r>
              <w:rPr>
                <w:rFonts w:ascii="Arial Narrow" w:hAnsi="Arial Narrow" w:cs="Arial"/>
                <w:sz w:val="20"/>
              </w:rPr>
              <w:t>65</w:t>
            </w:r>
            <w:r w:rsidRPr="002F72E5">
              <w:rPr>
                <w:rFonts w:ascii="Arial Narrow" w:hAnsi="Arial Narrow" w:cs="Arial"/>
                <w:sz w:val="20"/>
              </w:rPr>
              <w:t xml:space="preserve"> </w:t>
            </w:r>
            <w:r>
              <w:rPr>
                <w:rFonts w:ascii="Arial Narrow" w:hAnsi="Arial Narrow" w:cs="Arial"/>
                <w:sz w:val="20"/>
              </w:rPr>
              <w:t>970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149 373</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149 373</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 xml:space="preserve">VVZ ŽSR </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136 095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w:t>
            </w:r>
            <w:r>
              <w:rPr>
                <w:rFonts w:ascii="Arial Narrow" w:hAnsi="Arial Narrow" w:cs="Arial"/>
                <w:sz w:val="20"/>
              </w:rPr>
              <w:t>36</w:t>
            </w:r>
            <w:r w:rsidRPr="002F72E5">
              <w:rPr>
                <w:rFonts w:ascii="Arial Narrow" w:hAnsi="Arial Narrow" w:cs="Arial"/>
                <w:sz w:val="20"/>
              </w:rPr>
              <w:t xml:space="preserve"> </w:t>
            </w:r>
            <w:r>
              <w:rPr>
                <w:rFonts w:ascii="Arial Narrow" w:hAnsi="Arial Narrow" w:cs="Arial"/>
                <w:sz w:val="20"/>
              </w:rPr>
              <w:t>095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119 498</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119 498</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Rozvoj a modernizácia ŽSR</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91 228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124 366</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366 461</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431 578</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2F72E5" w:rsidP="00AE49BA">
            <w:pPr>
              <w:rPr>
                <w:rFonts w:ascii="Arial Narrow" w:hAnsi="Arial Narrow" w:cs="Arial"/>
                <w:sz w:val="20"/>
              </w:rPr>
            </w:pPr>
            <w:r w:rsidRPr="002F72E5">
              <w:rPr>
                <w:rFonts w:ascii="Arial Narrow" w:hAnsi="Arial Narrow" w:cs="Arial"/>
                <w:sz w:val="20"/>
              </w:rPr>
              <w:t>Obnova železničných mobilných prostriedkov ŽSSK</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6 639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63 448</w:t>
            </w:r>
          </w:p>
        </w:tc>
        <w:tc>
          <w:tcPr>
            <w:tcW w:w="1125" w:type="dxa"/>
            <w:tcBorders>
              <w:top w:val="nil"/>
              <w:left w:val="nil"/>
              <w:bottom w:val="single" w:sz="4"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sz w:val="20"/>
              </w:rPr>
            </w:pPr>
            <w:r w:rsidRPr="002F72E5">
              <w:rPr>
                <w:rFonts w:ascii="Arial Narrow" w:hAnsi="Arial Narrow" w:cs="Arial"/>
                <w:sz w:val="20"/>
              </w:rPr>
              <w:t>55 148</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8" w:space="0" w:color="auto"/>
              <w:right w:val="single" w:sz="4" w:space="0" w:color="auto"/>
              <w:tl2br w:val="nil"/>
              <w:tr2bl w:val="nil"/>
            </w:tcBorders>
            <w:shd w:val="clear" w:color="auto" w:fill="C0C0C0"/>
            <w:noWrap/>
            <w:textDirection w:val="lrTb"/>
            <w:vAlign w:val="bottom"/>
          </w:tcPr>
          <w:p w:rsidR="00AE49BA" w:rsidRPr="002F72E5" w:rsidP="00AE49BA">
            <w:pPr>
              <w:rPr>
                <w:rFonts w:ascii="Arial Narrow" w:hAnsi="Arial Narrow" w:cs="Arial"/>
                <w:b/>
                <w:bCs/>
                <w:sz w:val="20"/>
              </w:rPr>
            </w:pPr>
            <w:r w:rsidRPr="002F72E5">
              <w:rPr>
                <w:rFonts w:ascii="Arial Narrow" w:hAnsi="Arial Narrow" w:cs="Arial"/>
                <w:b/>
                <w:bCs/>
                <w:sz w:val="20"/>
              </w:rPr>
              <w:t>Výdavky na podporu železničnej dopravy spolu</w:t>
            </w:r>
          </w:p>
        </w:tc>
        <w:tc>
          <w:tcPr>
            <w:tcW w:w="1125" w:type="dxa"/>
            <w:tcBorders>
              <w:top w:val="nil"/>
              <w:left w:val="nil"/>
              <w:bottom w:val="single" w:sz="8"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393 95</w:t>
            </w:r>
            <w:r>
              <w:rPr>
                <w:rFonts w:ascii="Arial Narrow" w:hAnsi="Arial Narrow" w:cs="Arial"/>
                <w:b/>
                <w:sz w:val="20"/>
              </w:rPr>
              <w:t>7</w:t>
            </w:r>
          </w:p>
        </w:tc>
        <w:tc>
          <w:tcPr>
            <w:tcW w:w="1125" w:type="dxa"/>
            <w:tcBorders>
              <w:top w:val="nil"/>
              <w:left w:val="nil"/>
              <w:bottom w:val="single" w:sz="8"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4</w:t>
            </w:r>
            <w:r>
              <w:rPr>
                <w:rFonts w:ascii="Arial Narrow" w:hAnsi="Arial Narrow" w:cs="Arial"/>
                <w:b/>
                <w:sz w:val="20"/>
              </w:rPr>
              <w:t>33</w:t>
            </w:r>
            <w:r w:rsidRPr="002F72E5">
              <w:rPr>
                <w:rFonts w:ascii="Arial Narrow" w:hAnsi="Arial Narrow" w:cs="Arial"/>
                <w:b/>
                <w:sz w:val="20"/>
              </w:rPr>
              <w:t xml:space="preserve"> </w:t>
            </w:r>
            <w:r>
              <w:rPr>
                <w:rFonts w:ascii="Arial Narrow" w:hAnsi="Arial Narrow" w:cs="Arial"/>
                <w:b/>
                <w:sz w:val="20"/>
              </w:rPr>
              <w:t>734</w:t>
            </w:r>
          </w:p>
        </w:tc>
        <w:tc>
          <w:tcPr>
            <w:tcW w:w="1125" w:type="dxa"/>
            <w:tcBorders>
              <w:top w:val="nil"/>
              <w:left w:val="nil"/>
              <w:bottom w:val="single" w:sz="8" w:space="0" w:color="auto"/>
              <w:right w:val="single" w:sz="4"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699 444</w:t>
            </w:r>
          </w:p>
        </w:tc>
        <w:tc>
          <w:tcPr>
            <w:tcW w:w="1125"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9BA" w:rsidRPr="002F72E5" w:rsidP="00AE49BA">
            <w:pPr>
              <w:jc w:val="right"/>
              <w:rPr>
                <w:rFonts w:ascii="Arial Narrow" w:hAnsi="Arial Narrow" w:cs="Arial"/>
                <w:b/>
                <w:sz w:val="20"/>
              </w:rPr>
            </w:pPr>
            <w:r w:rsidRPr="002F72E5">
              <w:rPr>
                <w:rFonts w:ascii="Arial Narrow" w:hAnsi="Arial Narrow" w:cs="Arial"/>
                <w:b/>
                <w:sz w:val="20"/>
              </w:rPr>
              <w:t>756 261</w:t>
            </w:r>
          </w:p>
        </w:tc>
      </w:tr>
    </w:tbl>
    <w:p w:rsidR="00AE49BA" w:rsidRPr="002F72E5" w:rsidP="00AE49BA">
      <w:pPr>
        <w:jc w:val="both"/>
        <w:rPr>
          <w:rFonts w:ascii="Arial Narrow" w:hAnsi="Arial Narrow" w:cs="Times New Roman"/>
          <w:b/>
          <w:bCs/>
          <w:iCs/>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b/>
          <w:sz w:val="22"/>
          <w:szCs w:val="22"/>
        </w:rPr>
        <w:t xml:space="preserve">Na železničnú dopravu je v roku 2009 rozpočtovaných </w:t>
      </w:r>
      <w:r w:rsidRPr="002F72E5">
        <w:rPr>
          <w:rFonts w:ascii="Arial Narrow" w:hAnsi="Arial Narrow" w:cs="Times New Roman"/>
          <w:b/>
          <w:bCs/>
          <w:sz w:val="22"/>
          <w:szCs w:val="22"/>
        </w:rPr>
        <w:t>4</w:t>
      </w:r>
      <w:r>
        <w:rPr>
          <w:rFonts w:ascii="Arial Narrow" w:hAnsi="Arial Narrow" w:cs="Times New Roman"/>
          <w:b/>
          <w:bCs/>
          <w:sz w:val="22"/>
          <w:szCs w:val="22"/>
        </w:rPr>
        <w:t>34</w:t>
      </w:r>
      <w:r w:rsidRPr="002F72E5">
        <w:rPr>
          <w:rFonts w:ascii="Arial Narrow" w:hAnsi="Arial Narrow" w:cs="Times New Roman"/>
          <w:b/>
          <w:bCs/>
          <w:sz w:val="22"/>
          <w:szCs w:val="22"/>
        </w:rPr>
        <w:t xml:space="preserve"> mil. eur</w:t>
      </w:r>
      <w:r w:rsidRPr="002F72E5">
        <w:rPr>
          <w:rFonts w:ascii="Arial Narrow" w:hAnsi="Arial Narrow" w:cs="Times New Roman"/>
          <w:sz w:val="22"/>
          <w:szCs w:val="22"/>
        </w:rPr>
        <w:t xml:space="preserve">, </w:t>
      </w:r>
      <w:r w:rsidRPr="002F72E5">
        <w:rPr>
          <w:rFonts w:ascii="Arial Narrow" w:hAnsi="Arial Narrow" w:cs="Times New Roman"/>
          <w:b/>
          <w:sz w:val="22"/>
          <w:szCs w:val="22"/>
        </w:rPr>
        <w:t>čo v  porovnaní s r</w:t>
      </w:r>
      <w:r>
        <w:rPr>
          <w:rFonts w:ascii="Arial Narrow" w:hAnsi="Arial Narrow" w:cs="Times New Roman"/>
          <w:b/>
          <w:sz w:val="22"/>
          <w:szCs w:val="22"/>
        </w:rPr>
        <w:t>okom 2006 predstavuje nárast o 22</w:t>
      </w:r>
      <w:r w:rsidRPr="002F72E5">
        <w:rPr>
          <w:rFonts w:ascii="Arial Narrow" w:hAnsi="Arial Narrow" w:cs="Times New Roman"/>
          <w:b/>
          <w:sz w:val="22"/>
          <w:szCs w:val="22"/>
        </w:rPr>
        <w:t xml:space="preserve"> %</w:t>
      </w:r>
      <w:r w:rsidRPr="002F72E5">
        <w:rPr>
          <w:rFonts w:ascii="Arial Narrow" w:hAnsi="Arial Narrow" w:cs="Times New Roman"/>
          <w:sz w:val="22"/>
          <w:szCs w:val="22"/>
        </w:rPr>
        <w:t xml:space="preserve">. Uvedené výdavky sú rozpočtované na financovanie výkonov vo verejnom záujme </w:t>
      </w:r>
      <w:r>
        <w:rPr>
          <w:rFonts w:ascii="Arial Narrow" w:hAnsi="Arial Narrow" w:cs="Times New Roman"/>
          <w:sz w:val="22"/>
          <w:szCs w:val="22"/>
        </w:rPr>
        <w:t>v sume 166</w:t>
      </w:r>
      <w:r w:rsidRPr="002F72E5">
        <w:rPr>
          <w:rFonts w:ascii="Arial Narrow" w:hAnsi="Arial Narrow" w:cs="Times New Roman"/>
          <w:sz w:val="22"/>
          <w:szCs w:val="22"/>
        </w:rPr>
        <w:t xml:space="preserve"> mil. eur pre Železničnú spoločnosť, a.s. na osobnú dopravu a 1</w:t>
      </w:r>
      <w:r>
        <w:rPr>
          <w:rFonts w:ascii="Arial Narrow" w:hAnsi="Arial Narrow" w:cs="Times New Roman"/>
          <w:sz w:val="22"/>
          <w:szCs w:val="22"/>
        </w:rPr>
        <w:t>36</w:t>
      </w:r>
      <w:r w:rsidRPr="002F72E5">
        <w:rPr>
          <w:rFonts w:ascii="Arial Narrow" w:hAnsi="Arial Narrow" w:cs="Times New Roman"/>
          <w:sz w:val="22"/>
          <w:szCs w:val="22"/>
        </w:rPr>
        <w:t xml:space="preserve"> mil. eur pre Železnice SR na železničnú dopravnú cestu. 124 mil. eur je určených na rozvoj a modernizáciu železničných dopravných ciest, z toho 71,3 mil. eur je z prostriedkov štrukturálnych fondov a spolufinancovania zo štátneho rozpočtu a 53,1 mil. eur z prostriedkov samotného štátneho rozpočtu na národné projekty a 6,6 mil. eur smeruje na obnovu železničných mobilných prostriedkov.</w:t>
      </w:r>
    </w:p>
    <w:p w:rsidR="00AE49BA" w:rsidRPr="002F72E5" w:rsidP="00AE49BA">
      <w:pPr>
        <w:jc w:val="both"/>
        <w:rPr>
          <w:rFonts w:ascii="Arial Narrow" w:hAnsi="Arial Narrow" w:cs="Times New Roman"/>
          <w:bCs/>
          <w:iCs/>
          <w:sz w:val="22"/>
          <w:szCs w:val="22"/>
        </w:rPr>
      </w:pPr>
    </w:p>
    <w:p w:rsidR="00AE49BA" w:rsidRPr="002F72E5" w:rsidP="00AE49BA">
      <w:pPr>
        <w:jc w:val="both"/>
        <w:rPr>
          <w:rFonts w:ascii="Arial Narrow" w:hAnsi="Arial Narrow" w:cs="Times New Roman"/>
          <w:b/>
          <w:bCs/>
          <w:iCs/>
          <w:sz w:val="22"/>
          <w:szCs w:val="22"/>
        </w:rPr>
      </w:pPr>
      <w:r w:rsidRPr="002F72E5">
        <w:rPr>
          <w:rFonts w:ascii="Arial Narrow" w:hAnsi="Arial Narrow" w:cs="Times New Roman"/>
          <w:b/>
          <w:bCs/>
          <w:iCs/>
          <w:sz w:val="22"/>
          <w:szCs w:val="22"/>
        </w:rPr>
        <w:t>Letecká doprava a infraštruktúra</w:t>
      </w:r>
    </w:p>
    <w:p w:rsidR="00AE49BA" w:rsidRPr="002F72E5" w:rsidP="00AE49BA">
      <w:pPr>
        <w:jc w:val="both"/>
        <w:rPr>
          <w:rFonts w:ascii="Arial Narrow" w:hAnsi="Arial Narrow" w:cs="Times New Roman"/>
          <w:bCs/>
          <w:iCs/>
          <w:sz w:val="22"/>
          <w:szCs w:val="22"/>
        </w:rPr>
      </w:pPr>
    </w:p>
    <w:tbl>
      <w:tblPr>
        <w:tblW w:w="9194" w:type="dxa"/>
        <w:tblInd w:w="56" w:type="dxa"/>
        <w:tblCellMar>
          <w:left w:w="70" w:type="dxa"/>
          <w:right w:w="70" w:type="dxa"/>
        </w:tblCellMar>
      </w:tblPr>
      <w:tblGrid>
        <w:gridCol w:w="4694"/>
        <w:gridCol w:w="1125"/>
        <w:gridCol w:w="1125"/>
        <w:gridCol w:w="1125"/>
        <w:gridCol w:w="1125"/>
      </w:tblGrid>
      <w:tr>
        <w:tblPrEx>
          <w:tblW w:w="9194" w:type="dxa"/>
          <w:tblInd w:w="56" w:type="dxa"/>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2F72E5" w:rsidP="00AE49BA">
            <w:pPr>
              <w:rPr>
                <w:rFonts w:ascii="Arial Narrow" w:hAnsi="Arial Narrow" w:cs="Arial"/>
                <w:b/>
                <w:bCs/>
                <w:color w:val="FFFFFF"/>
                <w:sz w:val="20"/>
              </w:rPr>
            </w:pPr>
            <w:r w:rsidRPr="002F72E5">
              <w:rPr>
                <w:rFonts w:ascii="Arial Narrow" w:hAnsi="Arial Narrow" w:cs="Arial"/>
                <w:b/>
                <w:bCs/>
                <w:color w:val="FFFFFF"/>
                <w:sz w:val="20"/>
              </w:rPr>
              <w:t> (v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2F72E5" w:rsidP="00AE49BA">
            <w:pPr>
              <w:jc w:val="center"/>
              <w:rPr>
                <w:rFonts w:ascii="Arial Narrow" w:hAnsi="Arial Narrow" w:cs="Arial"/>
                <w:b/>
                <w:bCs/>
                <w:color w:val="FFFFFF"/>
                <w:sz w:val="20"/>
              </w:rPr>
            </w:pPr>
            <w:r w:rsidRPr="002F72E5">
              <w:rPr>
                <w:rFonts w:ascii="Arial Narrow" w:hAnsi="Arial Narrow" w:cs="Arial"/>
                <w:b/>
                <w:bCs/>
                <w:color w:val="FFFFFF"/>
                <w:sz w:val="20"/>
              </w:rPr>
              <w:t>2011</w:t>
            </w:r>
          </w:p>
        </w:tc>
      </w:tr>
      <w:tr>
        <w:tblPrEx>
          <w:tblW w:w="9194" w:type="dxa"/>
          <w:tblInd w:w="56" w:type="dxa"/>
          <w:tblCellMar>
            <w:left w:w="70" w:type="dxa"/>
            <w:right w:w="70" w:type="dxa"/>
          </w:tblCellMar>
        </w:tblPrEx>
        <w:trPr>
          <w:trHeight w:val="225"/>
        </w:trPr>
        <w:tc>
          <w:tcPr>
            <w:tcW w:w="4694" w:type="dxa"/>
            <w:tcBorders>
              <w:top w:val="single" w:sz="4" w:space="0" w:color="auto"/>
              <w:left w:val="single" w:sz="8" w:space="0" w:color="auto"/>
              <w:bottom w:val="single" w:sz="8" w:space="0" w:color="auto"/>
              <w:right w:val="single" w:sz="4" w:space="0" w:color="auto"/>
              <w:tl2br w:val="nil"/>
              <w:tr2bl w:val="nil"/>
            </w:tcBorders>
            <w:noWrap/>
            <w:textDirection w:val="lrTb"/>
            <w:vAlign w:val="bottom"/>
          </w:tcPr>
          <w:p w:rsidR="00AE49BA" w:rsidRPr="002F72E5" w:rsidP="00AE49BA">
            <w:pPr>
              <w:rPr>
                <w:rFonts w:ascii="Arial Narrow" w:hAnsi="Arial Narrow" w:cs="Arial"/>
                <w:bCs/>
                <w:sz w:val="20"/>
              </w:rPr>
            </w:pPr>
            <w:r w:rsidRPr="002F72E5">
              <w:rPr>
                <w:rFonts w:ascii="Arial Narrow" w:hAnsi="Arial Narrow" w:cs="Arial"/>
                <w:bCs/>
                <w:sz w:val="20"/>
              </w:rPr>
              <w:t>Výdavky na podporu leteckej dopravy a infraštruktúry</w:t>
            </w:r>
          </w:p>
        </w:tc>
        <w:tc>
          <w:tcPr>
            <w:tcW w:w="1125" w:type="dxa"/>
            <w:tcBorders>
              <w:top w:val="single" w:sz="4" w:space="0" w:color="auto"/>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3 345</w:t>
            </w:r>
          </w:p>
        </w:tc>
        <w:tc>
          <w:tcPr>
            <w:tcW w:w="1125" w:type="dxa"/>
            <w:tcBorders>
              <w:top w:val="single" w:sz="4" w:space="0" w:color="auto"/>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5 311</w:t>
            </w:r>
          </w:p>
        </w:tc>
        <w:tc>
          <w:tcPr>
            <w:tcW w:w="1125" w:type="dxa"/>
            <w:tcBorders>
              <w:top w:val="single" w:sz="4" w:space="0" w:color="auto"/>
              <w:left w:val="nil"/>
              <w:bottom w:val="single" w:sz="8" w:space="0" w:color="auto"/>
              <w:right w:val="single" w:sz="4"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5 311</w:t>
            </w:r>
          </w:p>
        </w:tc>
        <w:tc>
          <w:tcPr>
            <w:tcW w:w="1125" w:type="dxa"/>
            <w:tcBorders>
              <w:top w:val="single" w:sz="4" w:space="0" w:color="auto"/>
              <w:left w:val="nil"/>
              <w:bottom w:val="single" w:sz="8" w:space="0" w:color="auto"/>
              <w:right w:val="single" w:sz="8" w:space="0" w:color="auto"/>
              <w:tl2br w:val="nil"/>
              <w:tr2bl w:val="nil"/>
            </w:tcBorders>
            <w:noWrap/>
            <w:textDirection w:val="lrTb"/>
            <w:vAlign w:val="bottom"/>
          </w:tcPr>
          <w:p w:rsidR="00AE49BA" w:rsidRPr="002F72E5" w:rsidP="00AE49BA">
            <w:pPr>
              <w:jc w:val="right"/>
              <w:rPr>
                <w:rFonts w:ascii="Arial Narrow" w:hAnsi="Arial Narrow" w:cs="Arial"/>
                <w:bCs/>
                <w:sz w:val="20"/>
              </w:rPr>
            </w:pPr>
            <w:r w:rsidRPr="002F72E5">
              <w:rPr>
                <w:rFonts w:ascii="Arial Narrow" w:hAnsi="Arial Narrow" w:cs="Arial"/>
                <w:bCs/>
                <w:sz w:val="20"/>
              </w:rPr>
              <w:t>5 311</w:t>
            </w:r>
          </w:p>
        </w:tc>
      </w:tr>
    </w:tbl>
    <w:p w:rsidR="00AE49BA" w:rsidRPr="002F72E5" w:rsidP="00AE49BA">
      <w:pPr>
        <w:jc w:val="both"/>
        <w:rPr>
          <w:rFonts w:ascii="Arial Narrow" w:hAnsi="Arial Narrow" w:cs="Times New Roman"/>
          <w:bCs/>
          <w:iCs/>
          <w:sz w:val="22"/>
          <w:szCs w:val="22"/>
        </w:rPr>
      </w:pPr>
    </w:p>
    <w:p w:rsidR="00AE49BA" w:rsidRPr="002F72E5" w:rsidP="00AE49BA">
      <w:pPr>
        <w:ind w:firstLine="708"/>
        <w:jc w:val="both"/>
        <w:rPr>
          <w:rFonts w:ascii="Arial Narrow" w:hAnsi="Arial Narrow" w:cs="Times New Roman"/>
          <w:sz w:val="22"/>
          <w:szCs w:val="22"/>
        </w:rPr>
      </w:pPr>
      <w:r w:rsidRPr="002F72E5">
        <w:rPr>
          <w:rFonts w:ascii="Arial Narrow" w:hAnsi="Arial Narrow" w:cs="Times New Roman"/>
          <w:b/>
          <w:sz w:val="22"/>
          <w:szCs w:val="22"/>
        </w:rPr>
        <w:t>Na program letecká infraštruktúra je rozpočtovaných</w:t>
      </w:r>
      <w:r w:rsidRPr="002F72E5">
        <w:rPr>
          <w:rFonts w:ascii="Arial Narrow" w:hAnsi="Arial Narrow" w:cs="Times New Roman"/>
          <w:sz w:val="22"/>
          <w:szCs w:val="22"/>
        </w:rPr>
        <w:t xml:space="preserve"> </w:t>
      </w:r>
      <w:r w:rsidRPr="002F72E5">
        <w:rPr>
          <w:rFonts w:ascii="Arial Narrow" w:hAnsi="Arial Narrow" w:cs="Times New Roman"/>
          <w:b/>
          <w:sz w:val="22"/>
          <w:szCs w:val="22"/>
        </w:rPr>
        <w:t>5,31 mil. eur</w:t>
      </w:r>
      <w:r w:rsidRPr="002F72E5">
        <w:rPr>
          <w:rFonts w:ascii="Arial Narrow" w:hAnsi="Arial Narrow" w:cs="Times New Roman"/>
          <w:b/>
          <w:bCs/>
          <w:sz w:val="22"/>
          <w:szCs w:val="22"/>
        </w:rPr>
        <w:t xml:space="preserve">, </w:t>
      </w:r>
      <w:r w:rsidRPr="002F72E5">
        <w:rPr>
          <w:rFonts w:ascii="Arial Narrow" w:hAnsi="Arial Narrow" w:cs="Times New Roman"/>
          <w:bCs/>
          <w:sz w:val="22"/>
          <w:szCs w:val="22"/>
        </w:rPr>
        <w:t>čo v porovnaní s rokom 2006 predstavuje zvýšenie o 18 % a </w:t>
      </w:r>
      <w:r w:rsidRPr="002F72E5">
        <w:rPr>
          <w:rFonts w:ascii="Arial Narrow" w:hAnsi="Arial Narrow" w:cs="Times New Roman"/>
          <w:b/>
          <w:bCs/>
          <w:sz w:val="22"/>
          <w:szCs w:val="22"/>
        </w:rPr>
        <w:t>v porovnaní s rokom 2008 zvýšenie o 58,8 %.</w:t>
      </w:r>
      <w:r w:rsidRPr="002F72E5">
        <w:rPr>
          <w:rFonts w:ascii="Arial Narrow" w:hAnsi="Arial Narrow" w:cs="Times New Roman"/>
          <w:bCs/>
          <w:sz w:val="22"/>
          <w:szCs w:val="22"/>
        </w:rPr>
        <w:t xml:space="preserve"> Uvedené výdavky sú rozpočtované</w:t>
      </w:r>
      <w:r w:rsidRPr="002F72E5">
        <w:rPr>
          <w:rFonts w:ascii="Arial Narrow" w:hAnsi="Arial Narrow" w:cs="Times New Roman"/>
          <w:sz w:val="22"/>
          <w:szCs w:val="22"/>
        </w:rPr>
        <w:t xml:space="preserve"> na zabezpečenie poskytovania služieb   súvisiacich s odletmi a pristátiami lietadiel pri vykonávaní letov, ktoré sú oslobodené od odplát za pristátia a odplát za použitie letiska, na plnenie záväzných štandardov bezpečnosti prevádzky letiskovej infraštruktúry, bezpečnostnej ochrany letísk a správy, údržby a zhodnocovania letiskovej infraštruktúry a   na realizáciu výkonu  osobnej kontroly a kontroly prepravovaných osôb zúčastnených na leteckej doprave.</w:t>
      </w:r>
    </w:p>
    <w:p w:rsidR="00AE49BA" w:rsidP="00AE49BA">
      <w:pPr>
        <w:pStyle w:val="BodyText"/>
        <w:spacing w:after="0"/>
        <w:ind w:firstLine="708"/>
        <w:jc w:val="both"/>
        <w:rPr>
          <w:rFonts w:ascii="Arial Narrow" w:hAnsi="Arial Narrow" w:cs="Times New Roman"/>
          <w:sz w:val="22"/>
          <w:szCs w:val="22"/>
        </w:rPr>
      </w:pPr>
    </w:p>
    <w:p w:rsidR="00AE49BA" w:rsidRPr="001618F5" w:rsidP="00AE49BA">
      <w:pPr>
        <w:pBdr>
          <w:bottom w:val="single" w:sz="6" w:space="1" w:color="auto"/>
        </w:pBdr>
        <w:jc w:val="both"/>
        <w:rPr>
          <w:rFonts w:ascii="Arial Narrow" w:hAnsi="Arial Narrow" w:cs="Arial"/>
          <w:b/>
          <w:bCs/>
          <w:kern w:val="32"/>
          <w:sz w:val="22"/>
          <w:szCs w:val="22"/>
        </w:rPr>
      </w:pPr>
      <w:bookmarkEnd w:id="55"/>
      <w:bookmarkEnd w:id="56"/>
      <w:bookmarkEnd w:id="57"/>
      <w:bookmarkEnd w:id="58"/>
      <w:r w:rsidRPr="001618F5">
        <w:rPr>
          <w:rFonts w:ascii="Arial Narrow" w:hAnsi="Arial Narrow" w:cs="Arial"/>
          <w:b/>
          <w:bCs/>
          <w:kern w:val="32"/>
          <w:sz w:val="22"/>
          <w:szCs w:val="22"/>
        </w:rPr>
        <w:t>Hospodárstvo</w:t>
      </w:r>
    </w:p>
    <w:p w:rsidR="00AE49BA" w:rsidRPr="00B00EBC" w:rsidP="00AE49BA">
      <w:pPr>
        <w:jc w:val="both"/>
        <w:outlineLvl w:val="0"/>
        <w:rPr>
          <w:rFonts w:ascii="Arial Narrow" w:hAnsi="Arial Narrow" w:cs="Arial"/>
          <w:bCs/>
          <w:kern w:val="32"/>
          <w:sz w:val="22"/>
          <w:szCs w:val="22"/>
        </w:rPr>
      </w:pPr>
    </w:p>
    <w:p w:rsidR="00AE49BA" w:rsidRPr="0004120D" w:rsidP="00AE49BA">
      <w:pPr>
        <w:ind w:firstLine="708"/>
        <w:jc w:val="both"/>
        <w:rPr>
          <w:rFonts w:ascii="Arial Narrow" w:hAnsi="Arial Narrow" w:cs="Arial"/>
          <w:bCs/>
          <w:kern w:val="32"/>
          <w:sz w:val="22"/>
          <w:szCs w:val="22"/>
        </w:rPr>
      </w:pPr>
      <w:r w:rsidRPr="0004120D">
        <w:rPr>
          <w:rFonts w:ascii="Arial Narrow" w:hAnsi="Arial Narrow" w:cs="Arial"/>
          <w:bCs/>
          <w:kern w:val="32"/>
          <w:sz w:val="22"/>
          <w:szCs w:val="22"/>
        </w:rPr>
        <w:t xml:space="preserve">Výdavky v oblasti hospodárstva predstavujú na rok 2009 sumu </w:t>
      </w:r>
      <w:r w:rsidRPr="0004120D">
        <w:rPr>
          <w:rFonts w:ascii="Arial Narrow" w:hAnsi="Arial Narrow" w:cs="Arial"/>
          <w:b/>
          <w:bCs/>
          <w:kern w:val="32"/>
          <w:sz w:val="22"/>
          <w:szCs w:val="22"/>
        </w:rPr>
        <w:t>309 mil. eur</w:t>
      </w:r>
      <w:r w:rsidRPr="0004120D">
        <w:rPr>
          <w:rFonts w:ascii="Arial Narrow" w:hAnsi="Arial Narrow" w:cs="Arial"/>
          <w:bCs/>
          <w:kern w:val="32"/>
          <w:sz w:val="22"/>
          <w:szCs w:val="22"/>
        </w:rPr>
        <w:t>. V porovnaní s rokom 2006 výdavky klesajú o 15,1 % a v porovnaní s rokom 2008 rastú o 1,6 %. Celkový vývoj v tejto oblasti závisí od náročnosti schválených investičných stimulov v jednotlivých rokoch. Štruktúra výdavkov pre oblasť hospodárstva je uvedená v nasledovnej tabuľke.</w:t>
      </w:r>
    </w:p>
    <w:p w:rsidR="00AE49BA" w:rsidRPr="0004120D" w:rsidP="00AE49BA">
      <w:pPr>
        <w:jc w:val="both"/>
        <w:rPr>
          <w:rFonts w:ascii="Arial" w:hAnsi="Arial" w:cs="Arial"/>
          <w:bCs/>
          <w:kern w:val="32"/>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80"/>
        <w:gridCol w:w="1125"/>
        <w:gridCol w:w="1125"/>
        <w:gridCol w:w="1125"/>
        <w:gridCol w:w="1125"/>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rPr>
                <w:rFonts w:ascii="Arial Narrow" w:hAnsi="Arial Narrow" w:cs="Arial"/>
                <w:b/>
                <w:bCs/>
                <w:color w:val="FFFFFF"/>
                <w:sz w:val="20"/>
              </w:rPr>
            </w:pPr>
            <w:r w:rsidRPr="0004120D">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2011</w:t>
            </w:r>
          </w:p>
        </w:tc>
      </w:tr>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rPr>
                <w:rFonts w:ascii="Arial Narrow" w:hAnsi="Arial Narrow" w:cs="Arial"/>
                <w:b/>
                <w:bCs/>
                <w:sz w:val="20"/>
              </w:rPr>
            </w:pPr>
            <w:r w:rsidRPr="0004120D">
              <w:rPr>
                <w:rFonts w:ascii="Arial Narrow" w:hAnsi="Arial Narrow" w:cs="Arial"/>
                <w:b/>
                <w:bCs/>
                <w:sz w:val="20"/>
              </w:rPr>
              <w:t>Oblasť hospodárstva spolu</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bCs/>
                <w:sz w:val="20"/>
              </w:rPr>
            </w:pPr>
            <w:r w:rsidRPr="0004120D">
              <w:rPr>
                <w:rFonts w:ascii="Arial Narrow" w:hAnsi="Arial Narrow" w:cs="Arial"/>
                <w:b/>
                <w:bCs/>
                <w:sz w:val="20"/>
              </w:rPr>
              <w:t>304 357</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bCs/>
                <w:sz w:val="20"/>
              </w:rPr>
            </w:pPr>
            <w:r w:rsidRPr="0004120D">
              <w:rPr>
                <w:rFonts w:ascii="Arial Narrow" w:hAnsi="Arial Narrow" w:cs="Arial"/>
                <w:b/>
                <w:bCs/>
                <w:sz w:val="20"/>
              </w:rPr>
              <w:t>309 348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bCs/>
                <w:sz w:val="20"/>
              </w:rPr>
            </w:pPr>
            <w:r w:rsidRPr="0004120D">
              <w:rPr>
                <w:rFonts w:ascii="Arial Narrow" w:hAnsi="Arial Narrow" w:cs="Arial"/>
                <w:b/>
                <w:bCs/>
                <w:sz w:val="20"/>
              </w:rPr>
              <w:t>335 245</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bCs/>
                <w:sz w:val="20"/>
              </w:rPr>
            </w:pPr>
            <w:r w:rsidRPr="0004120D">
              <w:rPr>
                <w:rFonts w:ascii="Arial Narrow" w:hAnsi="Arial Narrow" w:cs="Arial"/>
                <w:b/>
                <w:bCs/>
                <w:sz w:val="20"/>
              </w:rPr>
              <w:t>302 302</w:t>
            </w:r>
          </w:p>
        </w:tc>
      </w:tr>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rPr>
                <w:rFonts w:ascii="Arial Narrow" w:hAnsi="Arial Narrow" w:cs="Arial"/>
                <w:sz w:val="20"/>
              </w:rPr>
            </w:pPr>
            <w:r w:rsidRPr="0004120D">
              <w:rPr>
                <w:rFonts w:ascii="Arial Narrow" w:hAnsi="Arial Narrow" w:cs="Arial"/>
                <w:sz w:val="20"/>
              </w:rPr>
              <w:t>Rozvoj priemyslu a podpora podnikania</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192 924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218 329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240 407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204 598</w:t>
            </w:r>
          </w:p>
        </w:tc>
      </w:tr>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rPr>
                <w:rFonts w:ascii="Arial Narrow" w:hAnsi="Arial Narrow" w:cs="Arial"/>
                <w:sz w:val="20"/>
              </w:rPr>
            </w:pPr>
            <w:r w:rsidRPr="0004120D">
              <w:rPr>
                <w:rFonts w:ascii="Arial Narrow" w:hAnsi="Arial Narrow" w:cs="Arial"/>
                <w:sz w:val="20"/>
              </w:rPr>
              <w:t>Štátne hmotné rezervy</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21 259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21 703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22 160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22 592</w:t>
            </w:r>
          </w:p>
        </w:tc>
      </w:tr>
      <w:tr>
        <w:tblPrEx>
          <w:tblW w:w="9180" w:type="dxa"/>
          <w:tblInd w:w="70" w:type="dxa"/>
          <w:tblCellMar>
            <w:left w:w="70" w:type="dxa"/>
            <w:right w:w="70" w:type="dxa"/>
          </w:tblCellMar>
        </w:tblPrEx>
        <w:trPr>
          <w:trHeight w:val="240"/>
        </w:trPr>
        <w:tc>
          <w:tcPr>
            <w:tcW w:w="46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rPr>
                <w:rFonts w:ascii="Arial Narrow" w:hAnsi="Arial Narrow" w:cs="Arial"/>
                <w:sz w:val="20"/>
              </w:rPr>
            </w:pPr>
            <w:r w:rsidRPr="0004120D">
              <w:rPr>
                <w:rFonts w:ascii="Arial Narrow" w:hAnsi="Arial Narrow" w:cs="Arial"/>
                <w:sz w:val="20"/>
              </w:rPr>
              <w:t>Inštitucionálna podpora hospodárstva</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90 174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69 316</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72 678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75 112</w:t>
            </w:r>
          </w:p>
        </w:tc>
      </w:tr>
    </w:tbl>
    <w:p w:rsidR="00AE49BA" w:rsidRPr="0004120D" w:rsidP="00AE49BA">
      <w:pPr>
        <w:jc w:val="both"/>
        <w:rPr>
          <w:rFonts w:ascii="Arial" w:hAnsi="Arial" w:cs="Arial"/>
          <w:sz w:val="20"/>
        </w:rPr>
      </w:pPr>
    </w:p>
    <w:p w:rsidR="00AE49BA" w:rsidRPr="0004120D" w:rsidP="00AE49BA">
      <w:pPr>
        <w:jc w:val="both"/>
        <w:rPr>
          <w:rFonts w:ascii="Arial Narrow" w:hAnsi="Arial Narrow" w:cs="Arial"/>
          <w:b/>
          <w:bCs/>
          <w:iCs/>
          <w:sz w:val="22"/>
          <w:szCs w:val="22"/>
        </w:rPr>
      </w:pPr>
      <w:r w:rsidRPr="0004120D">
        <w:rPr>
          <w:rFonts w:ascii="Arial Narrow" w:hAnsi="Arial Narrow" w:cs="Arial"/>
          <w:b/>
          <w:bCs/>
          <w:iCs/>
          <w:sz w:val="22"/>
          <w:szCs w:val="22"/>
        </w:rPr>
        <w:t>Rozvoj priemyslu a podpora podnikania</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 xml:space="preserve">Na rozvoj priemyslu a podporu podnikania smerujú prostriedky v sume </w:t>
      </w:r>
      <w:r w:rsidRPr="0004120D">
        <w:rPr>
          <w:rFonts w:ascii="Arial Narrow" w:hAnsi="Arial Narrow" w:cs="Arial"/>
          <w:b/>
          <w:sz w:val="22"/>
          <w:szCs w:val="22"/>
        </w:rPr>
        <w:t xml:space="preserve">218  </w:t>
      </w:r>
      <w:r w:rsidRPr="0004120D">
        <w:rPr>
          <w:rFonts w:ascii="Arial Narrow" w:hAnsi="Arial Narrow" w:cs="Arial"/>
          <w:b/>
          <w:bCs/>
          <w:sz w:val="22"/>
          <w:szCs w:val="22"/>
        </w:rPr>
        <w:t>mil. eur</w:t>
      </w:r>
      <w:r w:rsidRPr="0004120D">
        <w:rPr>
          <w:rFonts w:ascii="Arial Narrow" w:hAnsi="Arial Narrow" w:cs="Arial"/>
          <w:sz w:val="22"/>
          <w:szCs w:val="22"/>
        </w:rPr>
        <w:t>, čo v porovnaní s rokom 2006 predstavuje pokles o 18,8 % a oproti roku 2008 nárast o 13,2 %. Rozdielnu úroveň výdavkov v roku 2009 oproti rokom 2006 až 2008 ovplyvňuje predovšetkým skutočnosť, že v predchádzajúcich rokoch bola zo strany štátu realizovaná podpora významných investícií v projektoch spoločnosti KIA a Hyundai a podpora projektu Samsung. Úroveň výdavkov v tejto oblasti ovplyvňuje aj rozpočtovanie výdavkov EÚ a spolufinancovania v rámci operačných programov.</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b/>
          <w:bCs/>
          <w:i/>
          <w:iCs/>
          <w:sz w:val="22"/>
          <w:szCs w:val="22"/>
        </w:rPr>
      </w:pPr>
      <w:r w:rsidRPr="0004120D">
        <w:rPr>
          <w:rFonts w:ascii="Arial Narrow" w:hAnsi="Arial Narrow" w:cs="Arial"/>
          <w:bCs/>
          <w:iCs/>
          <w:sz w:val="22"/>
          <w:szCs w:val="22"/>
        </w:rPr>
        <w:t xml:space="preserve">Na </w:t>
      </w:r>
      <w:r w:rsidRPr="0004120D">
        <w:rPr>
          <w:rFonts w:ascii="Arial Narrow" w:hAnsi="Arial Narrow" w:cs="Arial"/>
          <w:iCs/>
          <w:sz w:val="22"/>
          <w:szCs w:val="22"/>
        </w:rPr>
        <w:t xml:space="preserve">podporu </w:t>
      </w:r>
      <w:r w:rsidRPr="0004120D">
        <w:rPr>
          <w:rFonts w:ascii="Arial Narrow" w:hAnsi="Arial Narrow" w:cs="Arial"/>
          <w:b/>
          <w:iCs/>
          <w:sz w:val="22"/>
          <w:szCs w:val="22"/>
        </w:rPr>
        <w:t>inovácií</w:t>
      </w:r>
      <w:r w:rsidRPr="0004120D">
        <w:rPr>
          <w:rFonts w:ascii="Arial Narrow" w:hAnsi="Arial Narrow" w:cs="Arial"/>
          <w:iCs/>
          <w:sz w:val="22"/>
          <w:szCs w:val="22"/>
        </w:rPr>
        <w:t xml:space="preserve"> </w:t>
      </w:r>
      <w:r w:rsidRPr="0004120D">
        <w:rPr>
          <w:rFonts w:ascii="Arial Narrow" w:hAnsi="Arial Narrow" w:cs="Arial"/>
          <w:sz w:val="22"/>
          <w:szCs w:val="22"/>
        </w:rPr>
        <w:t xml:space="preserve">sú </w:t>
      </w:r>
      <w:r w:rsidRPr="0004120D">
        <w:rPr>
          <w:rFonts w:ascii="Arial Narrow" w:hAnsi="Arial Narrow" w:cs="Arial"/>
          <w:iCs/>
          <w:sz w:val="22"/>
          <w:szCs w:val="22"/>
        </w:rPr>
        <w:t>zo zdrojov EÚ a spolufinancovania zo štátneho rozpočtu v rámci Operačného programu Konkurencieschopnosť a hospodársky rast (OP KaHR)</w:t>
      </w:r>
      <w:r w:rsidRPr="0004120D">
        <w:rPr>
          <w:rFonts w:ascii="Arial Narrow" w:hAnsi="Arial Narrow" w:cs="Arial"/>
          <w:sz w:val="22"/>
          <w:szCs w:val="22"/>
        </w:rPr>
        <w:t xml:space="preserve"> </w:t>
      </w:r>
      <w:r w:rsidRPr="0004120D">
        <w:rPr>
          <w:rFonts w:ascii="Arial Narrow" w:hAnsi="Arial Narrow" w:cs="Arial"/>
          <w:bCs/>
          <w:iCs/>
          <w:sz w:val="22"/>
          <w:szCs w:val="22"/>
        </w:rPr>
        <w:t xml:space="preserve">určené výdavky </w:t>
      </w:r>
      <w:r w:rsidRPr="0004120D">
        <w:rPr>
          <w:rFonts w:ascii="Arial Narrow" w:hAnsi="Arial Narrow" w:cs="Arial"/>
          <w:iCs/>
          <w:sz w:val="22"/>
          <w:szCs w:val="22"/>
        </w:rPr>
        <w:t xml:space="preserve">v sume </w:t>
      </w:r>
      <w:r w:rsidRPr="0004120D">
        <w:rPr>
          <w:rFonts w:ascii="Arial Narrow" w:hAnsi="Arial Narrow" w:cs="Arial"/>
          <w:b/>
          <w:iCs/>
          <w:sz w:val="22"/>
          <w:szCs w:val="22"/>
        </w:rPr>
        <w:t>67,6 mil. eur</w:t>
      </w:r>
      <w:r w:rsidRPr="0004120D">
        <w:rPr>
          <w:rFonts w:ascii="Arial Narrow" w:hAnsi="Arial Narrow" w:cs="Arial"/>
          <w:iCs/>
          <w:sz w:val="22"/>
          <w:szCs w:val="22"/>
        </w:rPr>
        <w:t xml:space="preserve">. </w:t>
      </w:r>
      <w:r w:rsidRPr="0004120D">
        <w:rPr>
          <w:rFonts w:ascii="Arial Narrow" w:hAnsi="Arial Narrow" w:cs="Arial"/>
          <w:sz w:val="22"/>
          <w:szCs w:val="22"/>
        </w:rPr>
        <w:t xml:space="preserve">Hlavným účelom podpory podnikania v oblasti inovácií a aplikovaného výskumu, ktorý patrí medzi prioritné oblasti Lisabonského procesu, je zvýšenie konkurencieschopnosti priemyslu podporou zavádzania inovácií a technologických transferov, ako aj tvorby pracovných miest prostredníctvom rozvoja podnikania. Výdavky v tejto oblasti sú určené aj na účasť slovenských výrobcov na veľtrhoch, výstavách a obchodných </w:t>
      </w:r>
      <w:r w:rsidRPr="0004120D">
        <w:rPr>
          <w:rFonts w:ascii="Arial Narrow" w:hAnsi="Arial Narrow" w:cs="Arial"/>
          <w:iCs/>
          <w:sz w:val="22"/>
          <w:szCs w:val="22"/>
        </w:rPr>
        <w:t xml:space="preserve">misiách.  Finančné prostriedky budú poskytované aj na implementáciu najlepších postupov a výrobných metód svetovej úrovne do nových a existujúcich spoločností napr. zavádzanie systémov manažérstva kvality, ochranu duševného vlastníctva, priemyselného dizajnu. </w:t>
      </w:r>
    </w:p>
    <w:p w:rsidR="00AE49BA" w:rsidRPr="0004120D" w:rsidP="00AE49BA">
      <w:pPr>
        <w:jc w:val="both"/>
        <w:rPr>
          <w:rFonts w:ascii="Arial Narrow" w:hAnsi="Arial Narrow" w:cs="Arial"/>
          <w:iCs/>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 xml:space="preserve">Na podporu v oblasti </w:t>
      </w:r>
      <w:r w:rsidRPr="0004120D">
        <w:rPr>
          <w:rFonts w:ascii="Arial Narrow" w:hAnsi="Arial Narrow" w:cs="Arial"/>
          <w:b/>
          <w:sz w:val="22"/>
          <w:szCs w:val="22"/>
        </w:rPr>
        <w:t>energetiky</w:t>
      </w:r>
      <w:r w:rsidRPr="0004120D">
        <w:rPr>
          <w:rFonts w:ascii="Arial Narrow" w:hAnsi="Arial Narrow" w:cs="Arial"/>
          <w:sz w:val="22"/>
          <w:szCs w:val="22"/>
        </w:rPr>
        <w:t xml:space="preserve"> sa rozpočtujú finančné prostriedky EÚ a spolufinancovania v rámci OP KaHR vo výške </w:t>
      </w:r>
      <w:r w:rsidRPr="0004120D">
        <w:rPr>
          <w:rFonts w:ascii="Arial Narrow" w:hAnsi="Arial Narrow" w:cs="Arial"/>
          <w:b/>
          <w:sz w:val="22"/>
          <w:szCs w:val="22"/>
        </w:rPr>
        <w:t>35,2 mil. eur</w:t>
      </w:r>
      <w:r w:rsidRPr="0004120D">
        <w:rPr>
          <w:rFonts w:ascii="Arial Narrow" w:hAnsi="Arial Narrow" w:cs="Arial"/>
          <w:sz w:val="22"/>
          <w:szCs w:val="22"/>
        </w:rPr>
        <w:t>. Tieto prostriedky sú určené na podporu projektov využívajúcich progresívne úsporné technológie na zásobovanie energiou a zariadenia s vyššou účinnosťou využitia energie s minimálnym dopadom na životné prostredie. Finančné prostriedky sú smerované aj na projekty zabezpečujúce zlepšenie tepelno-technických charakteristík budov a vybavenie zariadení meracími a regulačnými systémami. Podporované budú aj projekty na využívanie nových technologických zariadení na výrobu elektrickej energie a tepla, projekty na využívanie odpadového tepla z výroby elektrickej energie pri súčasnom zlepšení environmentálnych aspektov sektoru priemyslu, ako aj projekty na zníženie strát modernizáciou zariadení slúžiacich na rozvod energetických médií. Zdroje budú smerovať aj na projekty využívajúce obnoviteľné zdroje energie najmä biomasu, geotermálnu energiu, budovanie malých vodných elektrární a energetické využitie komunálneho odpadu. Finančné prostriedky budú použité aj na podporu verejného sektora pri budovaní a modernizácii verejného osvetlenia v mestách a obciach, ako aj informovanie verejnosti o efektívnom využívaní energie a obnoviteľných zdrojov energie.</w:t>
      </w:r>
    </w:p>
    <w:p w:rsidR="00AE49BA" w:rsidRPr="0004120D" w:rsidP="00AE49BA">
      <w:pPr>
        <w:jc w:val="both"/>
        <w:rPr>
          <w:rFonts w:ascii="Arial Narrow" w:hAnsi="Arial Narrow" w:cs="Arial"/>
          <w:i/>
          <w:iCs/>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b/>
          <w:sz w:val="22"/>
          <w:szCs w:val="22"/>
        </w:rPr>
        <w:t>Cestovný ruch</w:t>
      </w:r>
      <w:r w:rsidRPr="0004120D">
        <w:rPr>
          <w:rFonts w:ascii="Arial Narrow" w:hAnsi="Arial Narrow" w:cs="Arial"/>
          <w:sz w:val="22"/>
          <w:szCs w:val="22"/>
        </w:rPr>
        <w:t xml:space="preserve"> je podporený celkovou sumou </w:t>
      </w:r>
      <w:r w:rsidRPr="0004120D">
        <w:rPr>
          <w:rFonts w:ascii="Arial Narrow" w:hAnsi="Arial Narrow" w:cs="Arial"/>
          <w:b/>
          <w:bCs/>
          <w:sz w:val="22"/>
          <w:szCs w:val="22"/>
        </w:rPr>
        <w:t>32,9 mil. eur.</w:t>
      </w:r>
      <w:r w:rsidRPr="0004120D">
        <w:rPr>
          <w:rFonts w:ascii="Arial Narrow" w:hAnsi="Arial Narrow" w:cs="Arial"/>
          <w:sz w:val="22"/>
          <w:szCs w:val="22"/>
        </w:rPr>
        <w:t xml:space="preserve"> Podpora v tejto oblasti je zameraná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Premetom podpory je aj rozvoj informačných služieb cestovného ruchu – pokračovanie v tvorbe Národného jednotného informačného systému cestovného ruchu (NUTIS), zber informácií do NUTIS-u, vytváranie a činnosť turisticko-informačných kancelárií. V rámci podpory cestovného ruchu je rozpočtovaný aj transfer zo štátneho rozpočtu pre príspevkovú organizáciu Slovenská agentúra pre cestovný ruch</w:t>
      </w:r>
      <w:r w:rsidRPr="0004120D">
        <w:rPr>
          <w:rFonts w:ascii="Arial Narrow" w:hAnsi="Arial Narrow" w:cs="Arial"/>
          <w:b/>
          <w:bCs/>
          <w:sz w:val="22"/>
          <w:szCs w:val="22"/>
        </w:rPr>
        <w:t>.</w:t>
      </w:r>
      <w:r w:rsidRPr="0004120D">
        <w:rPr>
          <w:rFonts w:ascii="Arial Narrow" w:hAnsi="Arial Narrow" w:cs="Arial"/>
          <w:sz w:val="22"/>
          <w:szCs w:val="22"/>
        </w:rPr>
        <w:t xml:space="preserve"> </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iCs/>
          <w:sz w:val="22"/>
          <w:szCs w:val="22"/>
        </w:rPr>
      </w:pPr>
      <w:r w:rsidRPr="0004120D">
        <w:rPr>
          <w:rFonts w:ascii="Arial Narrow" w:hAnsi="Arial Narrow" w:cs="Arial"/>
          <w:iCs/>
          <w:sz w:val="22"/>
          <w:szCs w:val="22"/>
        </w:rPr>
        <w:t xml:space="preserve">Na podporu </w:t>
      </w:r>
      <w:r w:rsidRPr="0004120D">
        <w:rPr>
          <w:rFonts w:ascii="Arial Narrow" w:hAnsi="Arial Narrow" w:cs="Arial"/>
          <w:b/>
          <w:iCs/>
          <w:sz w:val="22"/>
          <w:szCs w:val="22"/>
        </w:rPr>
        <w:t>investičných projektov</w:t>
      </w:r>
      <w:r w:rsidRPr="0004120D">
        <w:rPr>
          <w:rFonts w:ascii="Arial Narrow" w:hAnsi="Arial Narrow" w:cs="Arial"/>
          <w:iCs/>
          <w:sz w:val="22"/>
          <w:szCs w:val="22"/>
        </w:rPr>
        <w:t xml:space="preserve"> sú určené finančné prostriedky v sume </w:t>
      </w:r>
      <w:r w:rsidRPr="0004120D">
        <w:rPr>
          <w:rFonts w:ascii="Arial Narrow" w:hAnsi="Arial Narrow" w:cs="Arial"/>
          <w:b/>
          <w:iCs/>
          <w:sz w:val="22"/>
          <w:szCs w:val="22"/>
        </w:rPr>
        <w:t>50,5 mil. eur.</w:t>
      </w:r>
      <w:r w:rsidRPr="0004120D">
        <w:rPr>
          <w:rFonts w:ascii="Arial Narrow" w:hAnsi="Arial Narrow" w:cs="Arial"/>
          <w:iCs/>
          <w:sz w:val="22"/>
          <w:szCs w:val="22"/>
        </w:rPr>
        <w:t xml:space="preserve"> Z uvedenej sumy sa na podporu projektu spoločnosti Samsung Electronics LCD Business na vybudovanie moderného výrobného závodu s prevádzkou montážnej linky LCD modulov v Trnave – Voderadoch rozpočtujú prostriedky vo výške 10,8 mil. eur. Finančné prostriedky vo výške 39,7 mil. eur sú určené na podporu investičných projektov spoločností SONY Slovakia, s.r.o, T-System Slovakia s.r.o., Dell s.r.o., Johnson Controls Trenčín s.r.o., Power One s.r.o., ON Semiconductor a.s. Bratislava, ON Semiconductor a.s. Piešťany a Muehlbauer Technologies s.r.o. a ďalších novozačínaných projektov.</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iCs/>
          <w:sz w:val="22"/>
          <w:szCs w:val="22"/>
        </w:rPr>
        <w:t xml:space="preserve">Na </w:t>
      </w:r>
      <w:r w:rsidRPr="0004120D">
        <w:rPr>
          <w:rFonts w:ascii="Arial Narrow" w:hAnsi="Arial Narrow" w:cs="Arial"/>
          <w:b/>
          <w:iCs/>
          <w:sz w:val="22"/>
          <w:szCs w:val="22"/>
        </w:rPr>
        <w:t>podporu podnikania</w:t>
      </w:r>
      <w:r w:rsidRPr="0004120D">
        <w:rPr>
          <w:rFonts w:ascii="Arial Narrow" w:hAnsi="Arial Narrow" w:cs="Arial"/>
          <w:iCs/>
          <w:sz w:val="22"/>
          <w:szCs w:val="22"/>
        </w:rPr>
        <w:t xml:space="preserve"> sú rozpočtované prostriedky vo výške </w:t>
      </w:r>
      <w:r w:rsidRPr="0004120D">
        <w:rPr>
          <w:rFonts w:ascii="Arial Narrow" w:hAnsi="Arial Narrow" w:cs="Arial"/>
          <w:b/>
          <w:iCs/>
          <w:sz w:val="22"/>
          <w:szCs w:val="22"/>
        </w:rPr>
        <w:t>25,3 mil. eur</w:t>
      </w:r>
      <w:r w:rsidRPr="0004120D">
        <w:rPr>
          <w:rFonts w:ascii="Arial Narrow" w:hAnsi="Arial Narrow" w:cs="Arial"/>
          <w:iCs/>
          <w:sz w:val="22"/>
          <w:szCs w:val="22"/>
        </w:rPr>
        <w:t>. Tieto zdroje sú určené na</w:t>
      </w:r>
      <w:r w:rsidRPr="0004120D">
        <w:rPr>
          <w:rFonts w:ascii="Arial Narrow" w:hAnsi="Arial Narrow" w:cs="Arial"/>
          <w:sz w:val="22"/>
          <w:szCs w:val="22"/>
        </w:rPr>
        <w:t xml:space="preserve"> výstavbu a revitalizáciu infraštruktúry hnedých priemyselných parkov, budovanie infraštruktúry zelených priemyselných parkov s veľkým socio-ekonomickým dopadom pre región, rekonštrukciu alebo výstavbu budov, technologických priestorov vrátane sietí, ako aj realizáciu projektov pre ochranu spotrebiteľa. Finančné prostriedky smerujú aj na financovanie podporných aktivít pre malé a stredné podnikanie realizované prostredníctvom Národnej agentúry pre rozvoj malého a stredného podnikania vrátane jej prevádzky.</w:t>
      </w:r>
    </w:p>
    <w:p w:rsidR="00AE49BA" w:rsidRPr="0004120D" w:rsidP="00AE49BA">
      <w:pPr>
        <w:jc w:val="both"/>
        <w:rPr>
          <w:rFonts w:ascii="Arial Narrow" w:hAnsi="Arial Narrow" w:cs="Arial"/>
          <w:b/>
          <w:bCs/>
          <w:i/>
          <w:iCs/>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 xml:space="preserve">Ďalšie výdavky v sume </w:t>
      </w:r>
      <w:r w:rsidRPr="0004120D">
        <w:rPr>
          <w:rFonts w:ascii="Arial Narrow" w:hAnsi="Arial Narrow" w:cs="Arial"/>
          <w:b/>
          <w:sz w:val="22"/>
          <w:szCs w:val="22"/>
        </w:rPr>
        <w:t>6,8 mil. eur</w:t>
      </w:r>
      <w:r w:rsidRPr="0004120D">
        <w:rPr>
          <w:rFonts w:ascii="Arial Narrow" w:hAnsi="Arial Narrow" w:cs="Arial"/>
          <w:sz w:val="22"/>
          <w:szCs w:val="22"/>
        </w:rPr>
        <w:t xml:space="preserve"> sú určené pre Národný jadrový fond na vyraďovanie jadrových zariadení a na nakladanie s vyhoretým jadrovým palivom a rádioaktívnymi odpadmi na úhradu nákladov, vynaložených na nakladanie s jadrovým materiálom alebo rádioaktívnymi odpadmi, ktorých pôvodca nie je známy, ďalej na administráciu príspevkovej organizácie SARIO, na spolufinancovanie programov Interreg IVC a Interract II a pre uhoľné a rudné baníctvo. Medziročný pokles výdavkov na sociálne náklady uhoľného baníctva spôsobuje pokles počtu oprávnených osôb, poberajúcich  príspevky v zmysle osobitných predpisov, výdavky na útlm v Bani Dolina a.s. Veľký Krtíš rastú v nadväznosti na vládou schválené doťaženie otvorených zásob.</w:t>
      </w:r>
    </w:p>
    <w:p w:rsidR="00AE49BA" w:rsidRPr="0004120D" w:rsidP="00AE49BA">
      <w:pPr>
        <w:jc w:val="both"/>
        <w:rPr>
          <w:rFonts w:ascii="Arial" w:hAnsi="Arial" w:cs="Arial"/>
          <w:b/>
          <w:bCs/>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6300"/>
        <w:gridCol w:w="1440"/>
        <w:gridCol w:w="1440"/>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04120D" w:rsidP="00AE49BA">
            <w:pPr>
              <w:jc w:val="both"/>
              <w:rPr>
                <w:rFonts w:ascii="Arial Narrow" w:hAnsi="Arial Narrow" w:cs="Arial"/>
                <w:b/>
                <w:bCs/>
                <w:color w:val="FFFFFF"/>
                <w:sz w:val="20"/>
              </w:rPr>
            </w:pPr>
            <w:r w:rsidRPr="0004120D">
              <w:rPr>
                <w:rFonts w:ascii="Arial Narrow" w:hAnsi="Arial Narrow" w:cs="Arial"/>
                <w:b/>
                <w:bCs/>
                <w:color w:val="FFFFFF"/>
                <w:sz w:val="20"/>
              </w:rPr>
              <w:t> (v tis. eur)</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2008</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04120D" w:rsidP="00AE49BA">
            <w:pPr>
              <w:jc w:val="center"/>
              <w:rPr>
                <w:rFonts w:ascii="Arial Narrow" w:hAnsi="Arial Narrow" w:cs="Arial"/>
                <w:b/>
                <w:bCs/>
                <w:color w:val="FFFFFF"/>
                <w:sz w:val="20"/>
              </w:rPr>
            </w:pPr>
            <w:r w:rsidRPr="0004120D">
              <w:rPr>
                <w:rFonts w:ascii="Arial Narrow" w:hAnsi="Arial Narrow" w:cs="Arial"/>
                <w:b/>
                <w:bCs/>
                <w:color w:val="FFFFFF"/>
                <w:sz w:val="20"/>
              </w:rPr>
              <w:t>2009</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sz w:val="20"/>
              </w:rPr>
            </w:pPr>
            <w:r w:rsidRPr="0004120D">
              <w:rPr>
                <w:rFonts w:ascii="Arial Narrow" w:hAnsi="Arial Narrow" w:cs="Arial"/>
                <w:sz w:val="20"/>
              </w:rPr>
              <w:t>Sociálne náklady  NPE - uhoľné baníctvo</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249</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108</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sz w:val="20"/>
              </w:rPr>
            </w:pPr>
            <w:r w:rsidRPr="0004120D">
              <w:rPr>
                <w:rFonts w:ascii="Arial Narrow" w:hAnsi="Arial Narrow" w:cs="Arial"/>
                <w:sz w:val="20"/>
              </w:rPr>
              <w:t>Útlm v Bani Dolina a.s. V. Krtíš</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365</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499</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sz w:val="20"/>
              </w:rPr>
            </w:pPr>
            <w:r w:rsidRPr="0004120D">
              <w:rPr>
                <w:rFonts w:ascii="Arial Narrow" w:hAnsi="Arial Narrow" w:cs="Arial"/>
                <w:sz w:val="20"/>
              </w:rPr>
              <w:t>Deputátne  uhlie - uhoľné baníctvo</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451</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445</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b/>
                <w:bCs/>
                <w:sz w:val="20"/>
              </w:rPr>
            </w:pPr>
            <w:r w:rsidRPr="0004120D">
              <w:rPr>
                <w:rFonts w:ascii="Arial Narrow" w:hAnsi="Arial Narrow" w:cs="Arial"/>
                <w:b/>
                <w:bCs/>
                <w:sz w:val="20"/>
              </w:rPr>
              <w:t>Uhoľné baníctvo spolu</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1 065</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1 052</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sz w:val="20"/>
              </w:rPr>
            </w:pPr>
            <w:r w:rsidRPr="0004120D">
              <w:rPr>
                <w:rFonts w:ascii="Arial Narrow" w:hAnsi="Arial Narrow" w:cs="Arial"/>
                <w:sz w:val="20"/>
              </w:rPr>
              <w:t>Technické práce na útlm rudného baníctva</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2 921</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2 755</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sz w:val="20"/>
              </w:rPr>
            </w:pPr>
            <w:r w:rsidRPr="0004120D">
              <w:rPr>
                <w:rFonts w:ascii="Arial Narrow" w:hAnsi="Arial Narrow" w:cs="Arial"/>
                <w:sz w:val="20"/>
              </w:rPr>
              <w:t xml:space="preserve">Sociálne náklady  NPE - rudné baníctvo </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332</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sz w:val="20"/>
              </w:rPr>
            </w:pPr>
            <w:r w:rsidRPr="0004120D">
              <w:rPr>
                <w:rFonts w:ascii="Arial Narrow" w:hAnsi="Arial Narrow" w:cs="Arial"/>
                <w:sz w:val="20"/>
              </w:rPr>
              <w:t>332</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both"/>
              <w:rPr>
                <w:rFonts w:ascii="Arial Narrow" w:hAnsi="Arial Narrow" w:cs="Arial"/>
                <w:b/>
                <w:bCs/>
                <w:sz w:val="20"/>
              </w:rPr>
            </w:pPr>
            <w:r w:rsidRPr="0004120D">
              <w:rPr>
                <w:rFonts w:ascii="Arial Narrow" w:hAnsi="Arial Narrow" w:cs="Arial"/>
                <w:b/>
                <w:bCs/>
                <w:sz w:val="20"/>
              </w:rPr>
              <w:t>Rudné baníctvo spolu</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3 253</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3 087</w:t>
            </w:r>
          </w:p>
        </w:tc>
      </w:tr>
      <w:tr>
        <w:tblPrEx>
          <w:tblW w:w="9180" w:type="dxa"/>
          <w:tblInd w:w="70" w:type="dxa"/>
          <w:tblCellMar>
            <w:left w:w="70" w:type="dxa"/>
            <w:right w:w="70" w:type="dxa"/>
          </w:tblCellMar>
        </w:tblPrEx>
        <w:trPr>
          <w:trHeight w:val="225"/>
        </w:trPr>
        <w:tc>
          <w:tcPr>
            <w:tcW w:w="63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both"/>
              <w:rPr>
                <w:rFonts w:ascii="Arial Narrow" w:hAnsi="Arial Narrow" w:cs="Arial"/>
                <w:b/>
                <w:bCs/>
                <w:sz w:val="20"/>
              </w:rPr>
            </w:pPr>
            <w:r w:rsidRPr="0004120D">
              <w:rPr>
                <w:rFonts w:ascii="Arial Narrow" w:hAnsi="Arial Narrow" w:cs="Arial"/>
                <w:b/>
                <w:bCs/>
                <w:sz w:val="20"/>
              </w:rPr>
              <w:t>Spolu podpora uhoľného a rudného baníctva</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4 318</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04120D" w:rsidP="00AE49BA">
            <w:pPr>
              <w:jc w:val="right"/>
              <w:rPr>
                <w:rFonts w:ascii="Arial Narrow" w:hAnsi="Arial Narrow" w:cs="Arial"/>
                <w:b/>
                <w:sz w:val="20"/>
              </w:rPr>
            </w:pPr>
            <w:r w:rsidRPr="0004120D">
              <w:rPr>
                <w:rFonts w:ascii="Arial Narrow" w:hAnsi="Arial Narrow" w:cs="Arial"/>
                <w:b/>
                <w:sz w:val="20"/>
              </w:rPr>
              <w:t>4 139</w:t>
            </w:r>
          </w:p>
        </w:tc>
      </w:tr>
    </w:tbl>
    <w:p w:rsidR="00AE49BA" w:rsidRPr="0004120D" w:rsidP="00AE49BA">
      <w:pPr>
        <w:jc w:val="both"/>
        <w:rPr>
          <w:rFonts w:ascii="Arial Narrow" w:hAnsi="Arial Narrow" w:cs="Arial"/>
          <w:sz w:val="22"/>
          <w:szCs w:val="22"/>
        </w:rPr>
      </w:pPr>
    </w:p>
    <w:p w:rsidR="00AE49BA" w:rsidP="00AE49BA">
      <w:pPr>
        <w:jc w:val="both"/>
        <w:rPr>
          <w:rFonts w:ascii="Arial Narrow" w:hAnsi="Arial Narrow" w:cs="Arial"/>
          <w:b/>
          <w:sz w:val="22"/>
          <w:szCs w:val="22"/>
        </w:rPr>
      </w:pPr>
    </w:p>
    <w:p w:rsidR="00AE49BA" w:rsidP="00AE49BA">
      <w:pPr>
        <w:jc w:val="both"/>
        <w:rPr>
          <w:rFonts w:ascii="Arial Narrow" w:hAnsi="Arial Narrow" w:cs="Arial"/>
          <w:b/>
          <w:sz w:val="22"/>
          <w:szCs w:val="22"/>
        </w:rPr>
      </w:pPr>
    </w:p>
    <w:p w:rsidR="00AE49BA" w:rsidP="00AE49BA">
      <w:pPr>
        <w:jc w:val="both"/>
        <w:rPr>
          <w:rFonts w:ascii="Arial Narrow" w:hAnsi="Arial Narrow" w:cs="Arial"/>
          <w:b/>
          <w:sz w:val="22"/>
          <w:szCs w:val="22"/>
        </w:rPr>
      </w:pPr>
    </w:p>
    <w:p w:rsidR="00AE49BA" w:rsidRPr="0004120D" w:rsidP="00AE49BA">
      <w:pPr>
        <w:jc w:val="both"/>
        <w:rPr>
          <w:rFonts w:ascii="Arial Narrow" w:hAnsi="Arial Narrow" w:cs="Arial"/>
          <w:b/>
          <w:sz w:val="22"/>
          <w:szCs w:val="22"/>
        </w:rPr>
      </w:pPr>
      <w:r w:rsidRPr="0004120D">
        <w:rPr>
          <w:rFonts w:ascii="Arial Narrow" w:hAnsi="Arial Narrow" w:cs="Arial"/>
          <w:b/>
          <w:sz w:val="22"/>
          <w:szCs w:val="22"/>
        </w:rPr>
        <w:t>Štátne hmotné rezervy</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 xml:space="preserve">V rámci výdavkov na </w:t>
      </w:r>
      <w:r w:rsidRPr="0004120D">
        <w:rPr>
          <w:rFonts w:ascii="Arial Narrow" w:hAnsi="Arial Narrow" w:cs="Arial"/>
          <w:b/>
          <w:sz w:val="22"/>
          <w:szCs w:val="22"/>
        </w:rPr>
        <w:t>štátne hmotné rezervy</w:t>
      </w:r>
      <w:r w:rsidRPr="0004120D">
        <w:rPr>
          <w:rFonts w:ascii="Arial Narrow" w:hAnsi="Arial Narrow" w:cs="Arial"/>
          <w:sz w:val="22"/>
          <w:szCs w:val="22"/>
        </w:rPr>
        <w:t xml:space="preserve"> sa v roku 2009 zabezpečujú úlohy v hospodárení hmotných rezerv, mobilizačných rezerv a pohotovostných zásob. V oblasti hmotných rezerv sa prioritne zabezpečujú úlohy súvisiace s núdzovými zásobami ropy a ropných výrobkov v zmysle Smernice Európskej únie č. 98/1993 EEC na zabezpečenie 90 dňovej spotreby. V oblasti  mobilizačných rezerv sú vytvorené podmienky pre riešenie krízových situácií pre potreby ozbrojených síl a ekonomiky a u pohotovostných zásob pre pomoc obyvateľstvu pri riešení krízových situácií a na poskytovanie humanitárnej pomoci. V medzirezortnom programe Podpora obrany sa zabezpečujú úlohy v oblasti mobilizačných rezerv v zmysle požiadaviek ozbrojených síl a v programe Hospodárska mobilizácia sú vytvorené podmienky pre zabezpečenie nevyhnutných potrieb pre riešenie krízových situácií. </w:t>
      </w:r>
    </w:p>
    <w:p w:rsidR="00AE49BA" w:rsidRPr="0004120D" w:rsidP="00AE49BA">
      <w:pPr>
        <w:jc w:val="both"/>
        <w:rPr>
          <w:rFonts w:ascii="Arial Narrow" w:hAnsi="Arial Narrow" w:cs="Arial"/>
          <w:sz w:val="22"/>
          <w:szCs w:val="22"/>
        </w:rPr>
      </w:pPr>
    </w:p>
    <w:p w:rsidR="00AE49BA" w:rsidRPr="0004120D" w:rsidP="00AE49BA">
      <w:pPr>
        <w:jc w:val="both"/>
        <w:rPr>
          <w:rFonts w:ascii="Arial Narrow" w:hAnsi="Arial Narrow" w:cs="Arial"/>
          <w:b/>
          <w:sz w:val="22"/>
          <w:szCs w:val="22"/>
        </w:rPr>
      </w:pPr>
      <w:r w:rsidRPr="0004120D">
        <w:rPr>
          <w:rFonts w:ascii="Arial Narrow" w:hAnsi="Arial Narrow" w:cs="Arial"/>
          <w:b/>
          <w:sz w:val="22"/>
          <w:szCs w:val="22"/>
        </w:rPr>
        <w:t>Inštitucionálna podpora hospodárstva</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Na inštitucionálnu podporu</w:t>
      </w:r>
      <w:r w:rsidRPr="0004120D">
        <w:rPr>
          <w:rFonts w:ascii="Arial Narrow" w:hAnsi="Arial Narrow" w:cs="Arial"/>
          <w:b/>
          <w:sz w:val="22"/>
          <w:szCs w:val="22"/>
        </w:rPr>
        <w:t xml:space="preserve"> Ministerstva hospodárstva</w:t>
      </w:r>
      <w:r w:rsidRPr="0004120D">
        <w:rPr>
          <w:rFonts w:ascii="Arial Narrow" w:hAnsi="Arial Narrow" w:cs="Arial"/>
          <w:sz w:val="22"/>
          <w:szCs w:val="22"/>
        </w:rPr>
        <w:t xml:space="preserve"> </w:t>
      </w:r>
      <w:r w:rsidRPr="0004120D">
        <w:rPr>
          <w:rFonts w:ascii="Arial Narrow" w:hAnsi="Arial Narrow" w:cs="Arial"/>
          <w:b/>
          <w:sz w:val="22"/>
          <w:szCs w:val="22"/>
        </w:rPr>
        <w:t>SR</w:t>
      </w:r>
      <w:r w:rsidRPr="0004120D">
        <w:rPr>
          <w:rFonts w:ascii="Arial Narrow" w:hAnsi="Arial Narrow" w:cs="Arial"/>
          <w:sz w:val="22"/>
          <w:szCs w:val="22"/>
        </w:rPr>
        <w:t xml:space="preserve"> sa v roku 2009 rozpočtuje suma </w:t>
      </w:r>
      <w:r w:rsidRPr="0004120D">
        <w:rPr>
          <w:rFonts w:ascii="Arial Narrow" w:hAnsi="Arial Narrow" w:cs="Arial"/>
          <w:b/>
          <w:bCs/>
          <w:sz w:val="22"/>
          <w:szCs w:val="22"/>
        </w:rPr>
        <w:t>50,5 mil. eur</w:t>
      </w:r>
      <w:r w:rsidRPr="0004120D">
        <w:rPr>
          <w:rFonts w:ascii="Arial Narrow" w:hAnsi="Arial Narrow" w:cs="Arial"/>
          <w:bCs/>
          <w:sz w:val="22"/>
          <w:szCs w:val="22"/>
        </w:rPr>
        <w:t>. V porovnaní s rokom 2006 rastú výdavky na tento účel o 8,3 % a v porovnaní s rokom 2008 klesajú o 30,3 %.</w:t>
      </w:r>
      <w:r w:rsidRPr="0004120D">
        <w:rPr>
          <w:rFonts w:ascii="Arial Narrow" w:hAnsi="Arial Narrow" w:cs="Arial"/>
          <w:b/>
          <w:bCs/>
          <w:sz w:val="22"/>
          <w:szCs w:val="22"/>
        </w:rPr>
        <w:t xml:space="preserve"> </w:t>
      </w:r>
      <w:r w:rsidRPr="0004120D">
        <w:rPr>
          <w:rFonts w:ascii="Arial Narrow" w:hAnsi="Arial Narrow" w:cs="Arial"/>
          <w:bCs/>
          <w:sz w:val="22"/>
          <w:szCs w:val="22"/>
        </w:rPr>
        <w:t>Medziročný pokles výdavkov v roku 2009 oproti roku 2008 je spôsobený rozpočtovaním všetkých výdavkov EÚ a spolufinancovania zo štátneho rozpočtu na 2. programové obdobie v roku 2008 v tejto oblasti, v roku 2009 sa tieto výdavky rozpočtujú podľa ich vecného smerovania.</w:t>
      </w:r>
      <w:r w:rsidRPr="0004120D">
        <w:rPr>
          <w:rFonts w:ascii="Arial Narrow" w:hAnsi="Arial Narrow" w:cs="Arial"/>
          <w:b/>
          <w:bCs/>
          <w:sz w:val="22"/>
          <w:szCs w:val="22"/>
        </w:rPr>
        <w:t xml:space="preserve"> </w:t>
      </w:r>
      <w:r w:rsidRPr="0004120D">
        <w:rPr>
          <w:rFonts w:ascii="Arial Narrow" w:hAnsi="Arial Narrow" w:cs="Arial"/>
          <w:sz w:val="22"/>
          <w:szCs w:val="22"/>
        </w:rPr>
        <w:t xml:space="preserve">Výdavky sú určené predovšetkým na zabezpečenie plnenia úloh rozpočtových organizácií a príspevkovej organizácie rezortu, pre občianske združenia na ochranu práv spotrebiteľa, Európske spotrebiteľské centrum, ako aj plnenie úloh medzirezortných programov. </w:t>
      </w:r>
    </w:p>
    <w:p w:rsidR="00AE49BA" w:rsidRPr="0004120D" w:rsidP="00AE49BA">
      <w:pPr>
        <w:jc w:val="both"/>
        <w:rPr>
          <w:rFonts w:ascii="Arial Narrow" w:hAnsi="Arial Narrow" w:cs="Arial"/>
          <w:b/>
          <w:bCs/>
          <w:sz w:val="22"/>
          <w:szCs w:val="22"/>
        </w:rPr>
      </w:pPr>
    </w:p>
    <w:p w:rsidR="00AE49BA" w:rsidRPr="0004120D" w:rsidP="00AE49BA">
      <w:pPr>
        <w:ind w:firstLine="708"/>
        <w:jc w:val="both"/>
        <w:rPr>
          <w:rFonts w:ascii="Arial Narrow" w:hAnsi="Arial Narrow" w:cs="Arial"/>
          <w:sz w:val="22"/>
          <w:szCs w:val="22"/>
        </w:rPr>
      </w:pPr>
      <w:r w:rsidRPr="0004120D">
        <w:rPr>
          <w:rFonts w:ascii="Arial Narrow" w:hAnsi="Arial Narrow" w:cs="Arial"/>
          <w:sz w:val="22"/>
          <w:szCs w:val="22"/>
        </w:rPr>
        <w:t xml:space="preserve">Rozpočtové prostriedky </w:t>
      </w:r>
      <w:r w:rsidRPr="0004120D">
        <w:rPr>
          <w:rFonts w:ascii="Arial Narrow" w:hAnsi="Arial Narrow" w:cs="Arial"/>
          <w:b/>
          <w:sz w:val="22"/>
          <w:szCs w:val="22"/>
        </w:rPr>
        <w:t>Úradu jadrového dozoru SR</w:t>
      </w:r>
      <w:r w:rsidRPr="0004120D">
        <w:rPr>
          <w:rFonts w:ascii="Arial Narrow" w:hAnsi="Arial Narrow" w:cs="Arial"/>
          <w:sz w:val="22"/>
          <w:szCs w:val="22"/>
        </w:rPr>
        <w:t xml:space="preserve"> na rok 2009 predstavujú sumu </w:t>
      </w:r>
      <w:r w:rsidRPr="0004120D">
        <w:rPr>
          <w:rFonts w:ascii="Arial Narrow" w:hAnsi="Arial Narrow" w:cs="Arial"/>
          <w:b/>
          <w:sz w:val="22"/>
          <w:szCs w:val="22"/>
        </w:rPr>
        <w:t>5,20 mil. eur</w:t>
      </w:r>
      <w:r w:rsidRPr="0004120D">
        <w:rPr>
          <w:rFonts w:ascii="Arial Narrow" w:hAnsi="Arial Narrow" w:cs="Arial"/>
          <w:sz w:val="22"/>
          <w:szCs w:val="22"/>
        </w:rPr>
        <w:t>, v porovnaní s rokom 2006 finančné prostriedky rastú o 103,4 %, v porovnaní s rokom 2008 rastú o 3,8 %. Nárast zdrojov vplýva z aplikácie modelu alternatívneho financovania ÚJD SR čiastočne z iných zdrojov ako zo štátneho rozpočtu, ktorý sa premietol do príjmov aj výdavkov tejto kapitoly. Výdavky sú určené na plnenie úloh rezortu najmä v oblasti zabezpečovania výkonu dozoru nad jadrovou bezpečnosťou.</w:t>
      </w:r>
    </w:p>
    <w:p w:rsidR="00AE49BA" w:rsidRPr="0004120D" w:rsidP="00AE49BA">
      <w:pPr>
        <w:jc w:val="both"/>
        <w:rPr>
          <w:rFonts w:ascii="Arial Narrow" w:hAnsi="Arial Narrow" w:cs="Arial"/>
          <w:sz w:val="22"/>
          <w:szCs w:val="22"/>
        </w:rPr>
      </w:pPr>
    </w:p>
    <w:p w:rsidR="00AE49BA" w:rsidRPr="0004120D" w:rsidP="00AE49BA">
      <w:pPr>
        <w:ind w:firstLine="708"/>
        <w:jc w:val="both"/>
        <w:rPr>
          <w:rFonts w:ascii="Arial Narrow" w:hAnsi="Arial Narrow" w:cs="Arial Narrow"/>
          <w:sz w:val="22"/>
          <w:szCs w:val="22"/>
        </w:rPr>
      </w:pPr>
      <w:bookmarkStart w:id="59" w:name="_Toc108849140"/>
      <w:r w:rsidRPr="0004120D">
        <w:rPr>
          <w:rFonts w:ascii="Arial Narrow" w:hAnsi="Arial Narrow" w:cs="Times New Roman"/>
          <w:bCs/>
          <w:sz w:val="22"/>
          <w:szCs w:val="22"/>
        </w:rPr>
        <w:t xml:space="preserve">Výdavky </w:t>
      </w:r>
      <w:r w:rsidRPr="0004120D">
        <w:rPr>
          <w:rFonts w:ascii="Arial Narrow" w:hAnsi="Arial Narrow" w:cs="Times New Roman"/>
          <w:b/>
          <w:bCs/>
          <w:sz w:val="22"/>
          <w:szCs w:val="22"/>
        </w:rPr>
        <w:t>Úradu priemyselného vlastníctva SR</w:t>
      </w:r>
      <w:r w:rsidRPr="0004120D">
        <w:rPr>
          <w:rFonts w:ascii="Arial Narrow" w:hAnsi="Arial Narrow" w:cs="Times New Roman"/>
          <w:bCs/>
          <w:sz w:val="22"/>
          <w:szCs w:val="22"/>
        </w:rPr>
        <w:t xml:space="preserve"> sa rozpočtujú v roku 2009 v sume </w:t>
      </w:r>
      <w:r w:rsidRPr="0004120D">
        <w:rPr>
          <w:rFonts w:ascii="Arial Narrow" w:hAnsi="Arial Narrow" w:cs="Times New Roman"/>
          <w:b/>
          <w:sz w:val="22"/>
          <w:szCs w:val="22"/>
        </w:rPr>
        <w:t>3,44 mil. eur</w:t>
      </w:r>
      <w:r w:rsidRPr="0004120D">
        <w:rPr>
          <w:rFonts w:ascii="Arial Narrow" w:hAnsi="Arial Narrow" w:cs="Times New Roman"/>
          <w:b/>
          <w:bCs/>
          <w:sz w:val="22"/>
          <w:szCs w:val="22"/>
        </w:rPr>
        <w:t>.</w:t>
      </w:r>
      <w:r w:rsidRPr="0004120D">
        <w:rPr>
          <w:rFonts w:ascii="Arial Narrow" w:hAnsi="Arial Narrow" w:cs="Times New Roman"/>
          <w:bCs/>
          <w:sz w:val="22"/>
          <w:szCs w:val="22"/>
        </w:rPr>
        <w:t xml:space="preserve"> V</w:t>
      </w:r>
      <w:r w:rsidRPr="0004120D">
        <w:rPr>
          <w:rFonts w:ascii="Arial Narrow" w:hAnsi="Arial Narrow" w:cs="Arial Narrow"/>
          <w:sz w:val="22"/>
          <w:szCs w:val="22"/>
        </w:rPr>
        <w:t xml:space="preserve"> porovnaní s rokom 2006 rastú výdavky o 22,5 % a v porovnaní s rokom 2008 o 6,1 %. </w:t>
      </w:r>
      <w:r w:rsidRPr="0004120D">
        <w:rPr>
          <w:rFonts w:ascii="Arial Narrow" w:hAnsi="Arial Narrow" w:cs="Courier"/>
          <w:color w:val="000000"/>
          <w:sz w:val="22"/>
          <w:szCs w:val="22"/>
        </w:rPr>
        <w:t>Úrad priemyselného vlastníctva SR vykonáva štátnu správu v oblasti ochrany vynálezov, úžitkových vzorov, topografií polovodičových výrobkov, dizajnov, ochranných známok, označení pôvodu výrobkov a zemepisných označení výrobkov. Úrad tiež spracováva, udržiava a sprístupňuje ústredný fond priemyselno-právnej literatúry, dokumentácie a dostupných informačných zdrojov a poskytuje verejnosti informácie a informačné služby z oblasti priemyselného vlastníctva.</w:t>
      </w:r>
    </w:p>
    <w:p w:rsidR="00AE49BA" w:rsidRPr="0004120D" w:rsidP="00AE49BA">
      <w:pPr>
        <w:jc w:val="both"/>
        <w:rPr>
          <w:rFonts w:ascii="Arial Narrow" w:hAnsi="Arial Narrow" w:cs="Arial"/>
          <w:b/>
          <w:bCs/>
          <w:sz w:val="22"/>
          <w:szCs w:val="22"/>
        </w:rPr>
      </w:pPr>
      <w:bookmarkEnd w:id="59"/>
    </w:p>
    <w:p w:rsidR="00AE49BA" w:rsidRPr="0004120D" w:rsidP="00AE49BA">
      <w:pPr>
        <w:ind w:firstLine="708"/>
        <w:jc w:val="both"/>
        <w:rPr>
          <w:rFonts w:ascii="Arial Narrow" w:hAnsi="Arial Narrow" w:cs="Times New Roman"/>
          <w:b/>
          <w:sz w:val="22"/>
          <w:szCs w:val="22"/>
        </w:rPr>
      </w:pPr>
      <w:r w:rsidRPr="0004120D">
        <w:rPr>
          <w:rFonts w:ascii="Arial Narrow" w:hAnsi="Arial Narrow" w:cs="Arial"/>
          <w:sz w:val="22"/>
          <w:szCs w:val="22"/>
        </w:rPr>
        <w:t>V </w:t>
      </w:r>
      <w:r w:rsidRPr="0004120D">
        <w:rPr>
          <w:rFonts w:ascii="Arial Narrow" w:hAnsi="Arial Narrow" w:cs="Arial"/>
          <w:b/>
          <w:sz w:val="22"/>
          <w:szCs w:val="22"/>
        </w:rPr>
        <w:t>Úrade pre normalizáciu, metrológiu a skúšobníctvo SR</w:t>
      </w:r>
      <w:r w:rsidRPr="0004120D">
        <w:rPr>
          <w:rFonts w:ascii="Arial Narrow" w:hAnsi="Arial Narrow" w:cs="Arial"/>
          <w:sz w:val="22"/>
          <w:szCs w:val="22"/>
        </w:rPr>
        <w:t xml:space="preserve"> sú na rok 2009 rozpočtované finančné prostriedky v celkovej sume </w:t>
      </w:r>
      <w:r w:rsidRPr="0004120D">
        <w:rPr>
          <w:rFonts w:ascii="Arial Narrow" w:hAnsi="Arial Narrow" w:cs="Arial"/>
          <w:b/>
          <w:sz w:val="22"/>
          <w:szCs w:val="22"/>
        </w:rPr>
        <w:t>7,68 mil. eur</w:t>
      </w:r>
      <w:r w:rsidRPr="0004120D">
        <w:rPr>
          <w:rFonts w:ascii="Arial Narrow" w:hAnsi="Arial Narrow" w:cs="Arial"/>
          <w:sz w:val="22"/>
          <w:szCs w:val="22"/>
        </w:rPr>
        <w:t xml:space="preserve">, čo v porovnaní s výdavkami v roku 2006 predstavuje pokles o 59,9 %, ktorý je spôsobený rozpočtovaním výdavkov na Cyklotrónové centrum SR (ďalej CC SR) v roku 2006 v sume </w:t>
        <w:br/>
        <w:t xml:space="preserve">11,9 mil. eur. Výdavky kapitoly na rok 2009 oproti roku 2008 zaznamenávajú nárast o 9,5 %.  Zdroje kapitoly na rok 2009 sú smerované na zabezpečenie úloh ústredného orgánu a rozpočtovej a príspevkových organizácií rezortu v oblasti štátnej politiky technickej normalizácie, metrológie, skúšobníctva, akreditácie a kvality. Finančné prostriedky v sume 498 tis. eur sú rozpočtované v súlade s materiálom schváleným uznesením č. 242 zo dňa </w:t>
        <w:br/>
        <w:t>16. apríla 2008 k Správe o nových závažných skutočnostiach súvisiacich s projektom CC SR a priebehu plnenia úloh vyplývajúcich z uznesení vlády SR prijatých k tomuto projektu a sú určené na posilnenie personálnych kapacít potrebných na realizáciu a koordináciu úloh súvisiacich s CC SR a stabilizáciu zamestnancov úradu.</w:t>
      </w:r>
    </w:p>
    <w:p w:rsidR="00AE49BA" w:rsidRPr="0004120D" w:rsidP="00AE49BA">
      <w:pPr>
        <w:jc w:val="both"/>
        <w:rPr>
          <w:rFonts w:ascii="Arial" w:hAnsi="Arial" w:cs="Arial"/>
          <w:sz w:val="20"/>
        </w:rPr>
      </w:pPr>
      <w:r w:rsidRPr="0004120D">
        <w:rPr>
          <w:rFonts w:ascii="Arial" w:hAnsi="Arial" w:cs="Arial"/>
          <w:sz w:val="20"/>
        </w:rPr>
        <w:t xml:space="preserve"> </w:t>
      </w:r>
    </w:p>
    <w:p w:rsidR="00AE49BA" w:rsidRPr="00FD5ACF" w:rsidP="00AE49BA">
      <w:pPr>
        <w:ind w:firstLine="708"/>
        <w:jc w:val="both"/>
        <w:rPr>
          <w:rFonts w:ascii="Arial Narrow" w:hAnsi="Arial Narrow" w:cs="Arial Narrow"/>
          <w:sz w:val="22"/>
          <w:szCs w:val="22"/>
        </w:rPr>
      </w:pPr>
      <w:r w:rsidRPr="0004120D">
        <w:rPr>
          <w:rFonts w:ascii="Arial Narrow" w:hAnsi="Arial Narrow" w:cs="Times New Roman"/>
          <w:bCs/>
          <w:sz w:val="22"/>
          <w:szCs w:val="22"/>
        </w:rPr>
        <w:t xml:space="preserve">Výdavky </w:t>
      </w:r>
      <w:r w:rsidRPr="0004120D">
        <w:rPr>
          <w:rFonts w:ascii="Arial Narrow" w:hAnsi="Arial Narrow" w:cs="Times New Roman"/>
          <w:b/>
          <w:bCs/>
          <w:sz w:val="22"/>
          <w:szCs w:val="22"/>
        </w:rPr>
        <w:t>Protimonopolného úradu SR</w:t>
      </w:r>
      <w:r w:rsidRPr="0004120D">
        <w:rPr>
          <w:rFonts w:ascii="Arial Narrow" w:hAnsi="Arial Narrow" w:cs="Times New Roman"/>
          <w:bCs/>
          <w:sz w:val="22"/>
          <w:szCs w:val="22"/>
        </w:rPr>
        <w:t xml:space="preserve"> sa v roku 2009 rozpočtujú v sume </w:t>
      </w:r>
      <w:r w:rsidRPr="0004120D">
        <w:rPr>
          <w:rFonts w:ascii="Arial Narrow" w:hAnsi="Arial Narrow" w:cs="Times New Roman"/>
          <w:b/>
          <w:bCs/>
          <w:sz w:val="22"/>
          <w:szCs w:val="22"/>
        </w:rPr>
        <w:t>2,49</w:t>
      </w:r>
      <w:r w:rsidRPr="0004120D">
        <w:rPr>
          <w:rFonts w:ascii="Arial Narrow" w:hAnsi="Arial Narrow" w:cs="Times New Roman"/>
          <w:b/>
          <w:sz w:val="22"/>
          <w:szCs w:val="22"/>
        </w:rPr>
        <w:t xml:space="preserve"> mil. eur</w:t>
      </w:r>
      <w:r w:rsidRPr="0004120D">
        <w:rPr>
          <w:rFonts w:ascii="Arial Narrow" w:hAnsi="Arial Narrow" w:cs="Times New Roman"/>
          <w:bCs/>
          <w:sz w:val="22"/>
          <w:szCs w:val="22"/>
        </w:rPr>
        <w:t>. V</w:t>
      </w:r>
      <w:r w:rsidRPr="0004120D">
        <w:rPr>
          <w:rFonts w:ascii="Arial Narrow" w:hAnsi="Arial Narrow" w:cs="Arial Narrow"/>
          <w:sz w:val="22"/>
          <w:szCs w:val="22"/>
        </w:rPr>
        <w:t xml:space="preserve"> porovnaní s rokom 2006 rastú výdavky o 33,9 % a v porovnaní s rokom 2008 o 2,9 %. </w:t>
      </w:r>
      <w:r w:rsidRPr="0004120D">
        <w:rPr>
          <w:rFonts w:ascii="Arial Narrow" w:hAnsi="Arial Narrow" w:cs="Arial"/>
          <w:color w:val="000000"/>
          <w:sz w:val="22"/>
          <w:szCs w:val="22"/>
        </w:rPr>
        <w:t>Hlavnou náplňou činnosti úradu je ochrana hospodárskej súťaže. Cieľom ochrany hospodárskej súťaže je chrániť a napomáhať rozvíjaniu konkurenčných podmienok. Konkurenčná politika je aj nástrojom na vytvorenie atraktívneho prostredia pre investície a pre rast pracovných miest, preto pôsobí na zabezpečenie dlhodobo udržateľného rastu a konkurencieschopnosti ekonomiky. Hospodárska súťaž je nástroj na riešenie trhových zlyhaní, ktoré vyplývajú z nedostatku konkurencie. Korekcie, ktoré vykonáva úrad vychádzajú z kompetencií, ktoré mu zveril zákonodarca</w:t>
      </w:r>
      <w:hyperlink r:id="rId9" w:history="1">
        <w:r w:rsidRPr="0004120D">
          <w:rPr>
            <w:rFonts w:ascii="Arial Narrow" w:hAnsi="Arial Narrow" w:cs="Arial"/>
            <w:sz w:val="22"/>
          </w:rPr>
          <w:t xml:space="preserve"> </w:t>
        </w:r>
        <w:r w:rsidRPr="0004120D">
          <w:rPr>
            <w:rFonts w:ascii="Arial Narrow" w:hAnsi="Arial Narrow" w:cs="Arial"/>
            <w:bCs/>
            <w:sz w:val="22"/>
          </w:rPr>
          <w:t>v zákone č. 136/2001 Z.z. o ochrane hospodárskej súťaže</w:t>
        </w:r>
        <w:r w:rsidRPr="0004120D">
          <w:rPr>
            <w:rFonts w:ascii="Arial Narrow" w:hAnsi="Arial Narrow" w:cs="Arial"/>
            <w:sz w:val="22"/>
          </w:rPr>
          <w:t>.</w:t>
        </w:r>
      </w:hyperlink>
      <w:r w:rsidRPr="0004120D">
        <w:rPr>
          <w:rFonts w:ascii="Arial Narrow" w:hAnsi="Arial Narrow" w:cs="Arial"/>
          <w:sz w:val="22"/>
          <w:szCs w:val="22"/>
        </w:rPr>
        <w:t xml:space="preserve"> Ide o činnosti spojené s </w:t>
      </w:r>
      <w:r w:rsidRPr="0004120D">
        <w:rPr>
          <w:rFonts w:ascii="Arial Narrow" w:hAnsi="Arial Narrow" w:cs="Arial"/>
          <w:color w:val="000000"/>
          <w:sz w:val="22"/>
          <w:szCs w:val="22"/>
        </w:rPr>
        <w:t>povoľovaním spájania podnikateľov, čím sa snaží zabrániť deformácii alebo k úplnému vylúčeniu konkurencie. Dôležitou úlohou úradu je aj predchádzať zneužívaniu dominantného postavenia alebo zabrániť dohodám obmedzujúcim súťaž.</w:t>
      </w:r>
    </w:p>
    <w:p w:rsidR="00AE49BA" w:rsidRPr="0004120D" w:rsidP="00AE49BA">
      <w:pPr>
        <w:rPr>
          <w:rFonts w:ascii="Arial Narrow" w:hAnsi="Arial Narrow" w:cs="Times New Roman"/>
          <w:sz w:val="22"/>
          <w:szCs w:val="22"/>
        </w:rPr>
      </w:pPr>
    </w:p>
    <w:p w:rsidR="00AE49BA" w:rsidRPr="0004120D" w:rsidP="00AE49BA">
      <w:pPr>
        <w:jc w:val="both"/>
        <w:rPr>
          <w:rFonts w:ascii="Arial Narrow" w:hAnsi="Arial Narrow" w:cs="Times New Roman"/>
          <w:sz w:val="22"/>
          <w:szCs w:val="22"/>
        </w:rPr>
      </w:pPr>
    </w:p>
    <w:p w:rsidR="00AE49BA" w:rsidRPr="001F18E9" w:rsidP="00AE49BA">
      <w:pPr>
        <w:pBdr>
          <w:bottom w:val="single" w:sz="6" w:space="1" w:color="auto"/>
        </w:pBdr>
        <w:rPr>
          <w:rFonts w:ascii="Arial Narrow" w:hAnsi="Arial Narrow" w:cs="Arial Narrow"/>
          <w:b/>
          <w:bCs/>
          <w:sz w:val="22"/>
          <w:szCs w:val="22"/>
        </w:rPr>
      </w:pPr>
      <w:r w:rsidRPr="001F18E9">
        <w:rPr>
          <w:rFonts w:ascii="Arial Narrow" w:hAnsi="Arial Narrow" w:cs="Arial Narrow"/>
          <w:b/>
          <w:bCs/>
          <w:sz w:val="22"/>
          <w:szCs w:val="22"/>
        </w:rPr>
        <w:t>Pôdohospodárstvo</w:t>
      </w:r>
      <w:r>
        <w:rPr>
          <w:rFonts w:ascii="Arial Narrow" w:hAnsi="Arial Narrow" w:cs="Arial Narrow"/>
          <w:b/>
          <w:bCs/>
          <w:sz w:val="22"/>
          <w:szCs w:val="22"/>
        </w:rPr>
        <w:t xml:space="preserve"> a životné prostredie</w:t>
      </w:r>
    </w:p>
    <w:p w:rsidR="00AE49BA" w:rsidP="00AE49BA">
      <w:pPr>
        <w:jc w:val="both"/>
        <w:rPr>
          <w:rFonts w:ascii="Arial Narrow" w:hAnsi="Arial Narrow" w:cs="Arial Narrow"/>
          <w:sz w:val="22"/>
          <w:szCs w:val="22"/>
        </w:rPr>
      </w:pPr>
    </w:p>
    <w:p w:rsidR="00AE49BA" w:rsidRPr="002F3DFD" w:rsidP="00AE49BA">
      <w:pPr>
        <w:jc w:val="both"/>
        <w:rPr>
          <w:rFonts w:ascii="Arial Narrow" w:hAnsi="Arial Narrow" w:cs="Arial Narrow"/>
          <w:b/>
          <w:sz w:val="22"/>
          <w:szCs w:val="22"/>
        </w:rPr>
      </w:pPr>
      <w:r w:rsidRPr="002F3DFD">
        <w:rPr>
          <w:rFonts w:ascii="Arial Narrow" w:hAnsi="Arial Narrow" w:cs="Arial Narrow"/>
          <w:b/>
          <w:sz w:val="22"/>
          <w:szCs w:val="22"/>
        </w:rPr>
        <w:t>Pôdohospodárstvo</w:t>
      </w:r>
    </w:p>
    <w:p w:rsidR="00AE49BA" w:rsidP="00AE49BA">
      <w:pPr>
        <w:jc w:val="both"/>
        <w:rPr>
          <w:rFonts w:ascii="Arial Narrow" w:hAnsi="Arial Narrow" w:cs="Arial Narrow"/>
          <w:sz w:val="22"/>
          <w:szCs w:val="22"/>
        </w:rPr>
      </w:pPr>
    </w:p>
    <w:p w:rsidR="00AE49BA" w:rsidRPr="0061616E" w:rsidP="00AE49BA">
      <w:pPr>
        <w:ind w:firstLine="708"/>
        <w:jc w:val="both"/>
        <w:rPr>
          <w:rFonts w:ascii="Arial Narrow" w:hAnsi="Arial Narrow" w:cs="Arial Narrow"/>
          <w:sz w:val="22"/>
          <w:szCs w:val="22"/>
        </w:rPr>
      </w:pPr>
      <w:r>
        <w:rPr>
          <w:rFonts w:ascii="Arial Narrow" w:hAnsi="Arial Narrow" w:cs="Arial Narrow"/>
          <w:sz w:val="22"/>
          <w:szCs w:val="22"/>
        </w:rPr>
        <w:t>Vyváženosť a trvalá udržateľnosť poľnohospodárstva, potravinárstva a lesného hospodárstva je jednou z priorít vlády SR. V</w:t>
      </w:r>
      <w:r w:rsidRPr="0061616E">
        <w:rPr>
          <w:rFonts w:ascii="Arial Narrow" w:hAnsi="Arial Narrow" w:cs="Arial Narrow"/>
          <w:sz w:val="22"/>
          <w:szCs w:val="22"/>
        </w:rPr>
        <w:t xml:space="preserve">stupom SR do EÚ v máji 2004 sa v plnej miere začala aj  na Slovensku uplatňovať spoločná poľnohospodárska politika, ktorá je jednou zo spoločných politík v rámci </w:t>
      </w:r>
      <w:r>
        <w:rPr>
          <w:rFonts w:ascii="Arial Narrow" w:hAnsi="Arial Narrow" w:cs="Arial Narrow"/>
          <w:sz w:val="22"/>
          <w:szCs w:val="22"/>
        </w:rPr>
        <w:t>EÚ.</w:t>
      </w:r>
    </w:p>
    <w:p w:rsidR="00AE49BA" w:rsidP="00AE49BA">
      <w:pPr>
        <w:jc w:val="both"/>
        <w:rPr>
          <w:rFonts w:ascii="Arial Narrow" w:hAnsi="Arial Narrow" w:cs="Arial Narrow"/>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Zdroje oblasti pôdohospodárstvo celkom, v tom:</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965 642</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highlight w:val="lightGray"/>
              </w:rPr>
            </w:pPr>
            <w:r w:rsidRPr="00EF219E">
              <w:rPr>
                <w:rFonts w:ascii="Arial Narrow" w:hAnsi="Arial Narrow" w:cs="Arial"/>
                <w:b/>
                <w:bCs/>
                <w:sz w:val="20"/>
                <w:highlight w:val="lightGray"/>
              </w:rPr>
              <w:t>949 512</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highlight w:val="lightGray"/>
              </w:rPr>
            </w:pPr>
            <w:r w:rsidRPr="00EF219E">
              <w:rPr>
                <w:rFonts w:ascii="Arial Narrow" w:hAnsi="Arial Narrow" w:cs="Arial"/>
                <w:b/>
                <w:bCs/>
                <w:sz w:val="20"/>
                <w:highlight w:val="lightGray"/>
              </w:rPr>
              <w:t>843 875</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859 270</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štátny rozpočet</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118 638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164 912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124 522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128 079</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 xml:space="preserve">zdroje EÚ </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621 871</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533 258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591 943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607 678</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225 133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251 342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127 410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123 513</w:t>
            </w:r>
          </w:p>
        </w:tc>
      </w:tr>
    </w:tbl>
    <w:p w:rsidR="00AE49BA" w:rsidRPr="00DD3C26" w:rsidP="00AE49BA">
      <w:pPr>
        <w:rPr>
          <w:rFonts w:ascii="Arial Narrow" w:hAnsi="Arial Narrow" w:cs="Times New Roman"/>
          <w:sz w:val="22"/>
          <w:szCs w:val="22"/>
        </w:rPr>
      </w:pPr>
    </w:p>
    <w:p w:rsidR="00AE49BA" w:rsidP="00AE49BA">
      <w:pPr>
        <w:ind w:firstLine="708"/>
        <w:jc w:val="both"/>
        <w:rPr>
          <w:rFonts w:ascii="Arial Narrow" w:hAnsi="Arial Narrow" w:cs="Arial Narrow"/>
          <w:sz w:val="22"/>
          <w:szCs w:val="22"/>
        </w:rPr>
      </w:pPr>
      <w:r w:rsidRPr="0061616E">
        <w:rPr>
          <w:rFonts w:ascii="Arial Narrow" w:hAnsi="Arial Narrow" w:cs="Arial Narrow"/>
          <w:sz w:val="22"/>
          <w:szCs w:val="22"/>
        </w:rPr>
        <w:t>Podnikatelia v poľnohospodárstve sa riadia predpismi jednotnými pre všetkých členov EÚ a sú podporova</w:t>
      </w:r>
      <w:r>
        <w:rPr>
          <w:rFonts w:ascii="Arial Narrow" w:hAnsi="Arial Narrow" w:cs="Arial Narrow"/>
          <w:sz w:val="22"/>
          <w:szCs w:val="22"/>
        </w:rPr>
        <w:t>ní finančnými zdrojmi z európsky</w:t>
      </w:r>
      <w:r w:rsidRPr="0061616E">
        <w:rPr>
          <w:rFonts w:ascii="Arial Narrow" w:hAnsi="Arial Narrow" w:cs="Arial Narrow"/>
          <w:sz w:val="22"/>
          <w:szCs w:val="22"/>
        </w:rPr>
        <w:t xml:space="preserve">ch fondov. Okrem </w:t>
      </w:r>
      <w:r w:rsidRPr="009220F7">
        <w:rPr>
          <w:rFonts w:ascii="Arial Narrow" w:hAnsi="Arial Narrow" w:cs="Arial Narrow"/>
          <w:sz w:val="22"/>
          <w:szCs w:val="22"/>
        </w:rPr>
        <w:t xml:space="preserve">finančných zdrojov európskeho rozpočtu môže každá krajina podporovať poľnohospodárstvo podľa presne určených spoločných pravidiel aj z národného rozpočtu. Pôdohospodárstvo bude mať v roku 2009 k dispozícii zdroje v objeme </w:t>
      </w:r>
      <w:r>
        <w:rPr>
          <w:rFonts w:ascii="Arial Narrow" w:hAnsi="Arial Narrow" w:cs="Arial Narrow"/>
          <w:b/>
          <w:bCs/>
          <w:sz w:val="22"/>
          <w:szCs w:val="22"/>
        </w:rPr>
        <w:t>950</w:t>
      </w:r>
      <w:r w:rsidRPr="009220F7">
        <w:rPr>
          <w:rFonts w:ascii="Arial Narrow" w:hAnsi="Arial Narrow" w:cs="Arial Narrow"/>
          <w:b/>
          <w:bCs/>
          <w:sz w:val="22"/>
          <w:szCs w:val="22"/>
        </w:rPr>
        <w:t xml:space="preserve"> mil. eur</w:t>
      </w:r>
      <w:r w:rsidRPr="009220F7">
        <w:rPr>
          <w:rFonts w:ascii="Arial Narrow" w:hAnsi="Arial Narrow" w:cs="Arial Narrow"/>
          <w:b/>
          <w:sz w:val="22"/>
          <w:szCs w:val="22"/>
        </w:rPr>
        <w:t>.</w:t>
      </w:r>
      <w:r w:rsidRPr="009220F7">
        <w:rPr>
          <w:rFonts w:ascii="Arial Narrow" w:hAnsi="Arial Narrow" w:cs="Arial Narrow"/>
          <w:sz w:val="22"/>
          <w:szCs w:val="22"/>
        </w:rPr>
        <w:t xml:space="preserve"> V porovnaní s rokom 2006 to znamená  nárast o</w:t>
      </w:r>
      <w:r>
        <w:rPr>
          <w:rFonts w:ascii="Arial Narrow" w:hAnsi="Arial Narrow" w:cs="Arial Narrow"/>
          <w:sz w:val="22"/>
          <w:szCs w:val="22"/>
        </w:rPr>
        <w:t> 34,0</w:t>
      </w:r>
      <w:r w:rsidRPr="009220F7">
        <w:rPr>
          <w:rFonts w:ascii="Arial Narrow" w:hAnsi="Arial Narrow" w:cs="Arial Narrow"/>
          <w:sz w:val="22"/>
          <w:szCs w:val="22"/>
        </w:rPr>
        <w:t xml:space="preserve"> %</w:t>
      </w:r>
      <w:r>
        <w:rPr>
          <w:rFonts w:ascii="Arial Narrow" w:hAnsi="Arial Narrow" w:cs="Arial Narrow"/>
          <w:sz w:val="22"/>
          <w:szCs w:val="22"/>
        </w:rPr>
        <w:t xml:space="preserve">. </w:t>
      </w:r>
    </w:p>
    <w:p w:rsidR="00AE49BA" w:rsidRPr="00153E46" w:rsidP="00AE49BA">
      <w:pPr>
        <w:jc w:val="both"/>
        <w:rPr>
          <w:rFonts w:ascii="Arial Narrow" w:hAnsi="Arial Narrow" w:cs="Arial Narrow"/>
          <w:sz w:val="22"/>
          <w:szCs w:val="22"/>
        </w:rPr>
      </w:pPr>
    </w:p>
    <w:p w:rsidR="00AE49BA" w:rsidRPr="002F3DFD" w:rsidP="00AE49BA">
      <w:pPr>
        <w:jc w:val="both"/>
        <w:rPr>
          <w:rFonts w:ascii="Arial Narrow" w:hAnsi="Arial Narrow" w:cs="Arial Narrow"/>
          <w:i/>
          <w:sz w:val="22"/>
          <w:szCs w:val="22"/>
        </w:rPr>
      </w:pPr>
      <w:r w:rsidRPr="009220F7">
        <w:rPr>
          <w:rFonts w:ascii="Arial Narrow" w:hAnsi="Arial Narrow" w:cs="Arial Narrow"/>
          <w:i/>
          <w:sz w:val="22"/>
          <w:szCs w:val="22"/>
        </w:rPr>
        <w:t>Priame platby</w:t>
      </w:r>
    </w:p>
    <w:p w:rsidR="00AE49BA" w:rsidRPr="00DD3C26" w:rsidP="00AE49BA">
      <w:pPr>
        <w:jc w:val="both"/>
        <w:rPr>
          <w:rFonts w:ascii="Arial Narrow" w:hAnsi="Arial Narrow" w:cs="Arial Narrow"/>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25"/>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EF219E" w:rsidP="00AE49BA">
            <w:pPr>
              <w:rPr>
                <w:rFonts w:ascii="Arial Narrow" w:hAnsi="Arial Narrow" w:cs="Arial"/>
                <w:b/>
                <w:bCs/>
                <w:sz w:val="20"/>
                <w:highlight w:val="lightGray"/>
              </w:rPr>
            </w:pPr>
            <w:r w:rsidRPr="00EF219E">
              <w:rPr>
                <w:rFonts w:ascii="Arial Narrow" w:hAnsi="Arial Narrow" w:cs="Arial"/>
                <w:b/>
                <w:bCs/>
                <w:sz w:val="20"/>
                <w:highlight w:val="lightGray"/>
              </w:rPr>
              <w:t>Priame platby celkom, v tom:</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sz w:val="20"/>
              </w:rPr>
            </w:pPr>
            <w:r w:rsidRPr="00EF219E">
              <w:rPr>
                <w:rFonts w:ascii="Arial Narrow" w:hAnsi="Arial Narrow" w:cs="Arial"/>
                <w:b/>
                <w:sz w:val="20"/>
              </w:rPr>
              <w:t>335 077</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sz w:val="20"/>
              </w:rPr>
            </w:pPr>
            <w:r w:rsidRPr="00EF219E">
              <w:rPr>
                <w:rFonts w:ascii="Arial Narrow" w:hAnsi="Arial Narrow" w:cs="Arial"/>
                <w:b/>
                <w:sz w:val="20"/>
                <w:highlight w:val="lightGray"/>
              </w:rPr>
              <w:t>394 502</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sz w:val="20"/>
              </w:rPr>
            </w:pPr>
            <w:r w:rsidRPr="00EF219E">
              <w:rPr>
                <w:rFonts w:ascii="Arial Narrow" w:hAnsi="Arial Narrow" w:cs="Arial"/>
                <w:b/>
                <w:sz w:val="20"/>
              </w:rPr>
              <w:t>307 072</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sz w:val="20"/>
              </w:rPr>
            </w:pPr>
            <w:r w:rsidRPr="00EF219E">
              <w:rPr>
                <w:rFonts w:ascii="Arial Narrow" w:hAnsi="Arial Narrow" w:cs="Arial"/>
                <w:b/>
                <w:sz w:val="20"/>
              </w:rPr>
              <w:t>347 274</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prostriedky EÚ</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213 836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224 974</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266 887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307 073</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7 930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41 913</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40 185</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40 201</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národná vyrovnávacia platba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113 311</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 xml:space="preserve">127 615 </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0</w:t>
            </w:r>
          </w:p>
        </w:tc>
      </w:tr>
    </w:tbl>
    <w:p w:rsidR="00AE49BA" w:rsidRPr="00835182" w:rsidP="00AE49BA">
      <w:pPr>
        <w:jc w:val="both"/>
        <w:rPr>
          <w:rFonts w:ascii="Arial" w:hAnsi="Arial" w:cs="Arial"/>
          <w:sz w:val="16"/>
          <w:szCs w:val="16"/>
        </w:rPr>
      </w:pPr>
      <w:r w:rsidRPr="00835182">
        <w:rPr>
          <w:rFonts w:ascii="Arial" w:hAnsi="Arial" w:cs="Arial"/>
          <w:sz w:val="16"/>
          <w:szCs w:val="16"/>
        </w:rPr>
        <w:t>* spolufinancovanie predstavuje medziročný nárast pohľadávky voči EÚ</w:t>
      </w:r>
    </w:p>
    <w:p w:rsidR="00AE49BA" w:rsidP="00AE49BA">
      <w:pPr>
        <w:jc w:val="both"/>
        <w:rPr>
          <w:rFonts w:ascii="Arial Narrow" w:hAnsi="Arial Narrow" w:cs="Times New Roman"/>
          <w:sz w:val="22"/>
          <w:szCs w:val="22"/>
        </w:rPr>
      </w:pPr>
    </w:p>
    <w:p w:rsidR="00AE49BA" w:rsidRPr="0097777D" w:rsidP="00AE49BA">
      <w:pPr>
        <w:ind w:firstLine="708"/>
        <w:jc w:val="both"/>
        <w:rPr>
          <w:rFonts w:ascii="Arial Narrow" w:hAnsi="Arial Narrow" w:cs="Times New Roman"/>
          <w:sz w:val="22"/>
          <w:szCs w:val="22"/>
        </w:rPr>
      </w:pPr>
      <w:r>
        <w:rPr>
          <w:rFonts w:ascii="Arial Narrow" w:hAnsi="Arial Narrow" w:cs="Arial Narrow"/>
          <w:sz w:val="22"/>
          <w:szCs w:val="22"/>
        </w:rPr>
        <w:t xml:space="preserve">Priame platby predstavujú dotácie na zachovanie poľnohospodárskej produkcie podľa vopred stanovených výrobných kvót. </w:t>
      </w:r>
      <w:r>
        <w:rPr>
          <w:rFonts w:ascii="Arial Narrow" w:hAnsi="Arial Narrow" w:cs="Times New Roman"/>
          <w:sz w:val="22"/>
          <w:szCs w:val="22"/>
        </w:rPr>
        <w:t xml:space="preserve">Stabilizujú príjmy farmárov, zlepšujú konkurenčnú pozíciu farmárov, zabraňujú negatívnemu </w:t>
      </w:r>
      <w:r w:rsidRPr="009220F7">
        <w:rPr>
          <w:rFonts w:ascii="Arial Narrow" w:hAnsi="Arial Narrow" w:cs="Times New Roman"/>
          <w:sz w:val="22"/>
          <w:szCs w:val="22"/>
        </w:rPr>
        <w:t xml:space="preserve">vplyvu cezhraničnej dotačnej konkurencii z okolitých krajín, rozvíjajú odvetvia tvoriace pridanú hodnotu na území SR a revitalizujú živočíšnu výrobu. Okrem iného zmenšujú rozdiely v konkurencieschopnosti vidieckych regiónov, zvyšujú kvalitu života na vidieku cez zamestnanosť, vzdelávanie, poradenské aktivity a podporujú diverzifikáciu ekonomických aktivít prostredníctvom opatrení zameraných na poľnohospodársky sektor, ale aj na ďalšie vidiecke otázky (napr. na kvalitatívne novú orientáciu produkcie, obnovu dedín a pod.). </w:t>
      </w:r>
      <w:r w:rsidRPr="009220F7">
        <w:rPr>
          <w:rFonts w:ascii="Arial Narrow" w:hAnsi="Arial Narrow" w:cs="Arial Narrow"/>
          <w:sz w:val="22"/>
          <w:szCs w:val="22"/>
        </w:rPr>
        <w:t xml:space="preserve">V roku 2009 predstavujú úroveň 90 % priemeru krajín EÚ 15. </w:t>
      </w:r>
      <w:r w:rsidRPr="009220F7">
        <w:rPr>
          <w:rFonts w:ascii="Arial Narrow" w:hAnsi="Arial Narrow" w:cs="Arial Narrow"/>
          <w:b/>
          <w:sz w:val="22"/>
          <w:szCs w:val="22"/>
        </w:rPr>
        <w:t>Priame platby sú v porovnaní s rokom 2006 o 57,2 % vyššie a v porovnaní s rokom 2008 vyššie o 17,7 %.</w:t>
      </w:r>
      <w:r w:rsidRPr="00F04C5B">
        <w:rPr>
          <w:rFonts w:ascii="Arial Narrow" w:hAnsi="Arial Narrow" w:cs="Arial Narrow"/>
          <w:b/>
          <w:sz w:val="22"/>
          <w:szCs w:val="22"/>
        </w:rPr>
        <w:t xml:space="preserve"> </w:t>
      </w:r>
    </w:p>
    <w:p w:rsidR="00AE49BA" w:rsidRPr="005D702C" w:rsidP="00AE49BA">
      <w:pPr>
        <w:jc w:val="both"/>
        <w:rPr>
          <w:rFonts w:ascii="Arial Narrow" w:hAnsi="Arial Narrow" w:cs="Times New Roman"/>
          <w:sz w:val="22"/>
          <w:szCs w:val="22"/>
        </w:rPr>
      </w:pPr>
    </w:p>
    <w:p w:rsidR="00AE49BA" w:rsidRPr="002F3DFD" w:rsidP="00AE49BA">
      <w:pPr>
        <w:jc w:val="both"/>
        <w:rPr>
          <w:rFonts w:ascii="Arial Narrow" w:hAnsi="Arial Narrow" w:cs="Arial Narrow"/>
          <w:i/>
          <w:sz w:val="22"/>
          <w:szCs w:val="22"/>
        </w:rPr>
      </w:pPr>
      <w:r w:rsidRPr="002F3DFD">
        <w:rPr>
          <w:rFonts w:ascii="Arial Narrow" w:hAnsi="Arial Narrow" w:cs="Arial Narrow"/>
          <w:i/>
          <w:sz w:val="22"/>
          <w:szCs w:val="22"/>
        </w:rPr>
        <w:t>Rozvoj vidieka</w:t>
      </w:r>
    </w:p>
    <w:p w:rsidR="00AE49BA" w:rsidRPr="00DD3C26" w:rsidP="00AE49BA">
      <w:pPr>
        <w:jc w:val="both"/>
        <w:rPr>
          <w:rFonts w:ascii="Arial Narrow" w:hAnsi="Arial Narrow" w:cs="Arial Narrow"/>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Rozvoj vidieka celkom, v tom:</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471 889</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352 615</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376 583</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353 121</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prostriedky EÚ</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369 653</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272 558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291 235</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271 825</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102 236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80 057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85 348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81 296</w:t>
            </w:r>
          </w:p>
        </w:tc>
      </w:tr>
    </w:tbl>
    <w:p w:rsidR="00AE49BA" w:rsidP="00AE49BA">
      <w:pPr>
        <w:jc w:val="both"/>
        <w:rPr>
          <w:rFonts w:ascii="Arial Narrow" w:hAnsi="Arial Narrow" w:cs="Arial Narrow"/>
          <w:b/>
          <w:sz w:val="22"/>
          <w:szCs w:val="22"/>
        </w:rPr>
      </w:pPr>
    </w:p>
    <w:p w:rsidR="00AE49BA" w:rsidP="00AE49BA">
      <w:pPr>
        <w:ind w:firstLine="708"/>
        <w:jc w:val="both"/>
        <w:rPr>
          <w:rFonts w:ascii="Arial Narrow" w:hAnsi="Arial Narrow" w:cs="Arial Narrow"/>
          <w:sz w:val="22"/>
          <w:szCs w:val="22"/>
        </w:rPr>
      </w:pPr>
      <w:r w:rsidRPr="00D743BE">
        <w:rPr>
          <w:rFonts w:ascii="Arial Narrow" w:hAnsi="Arial Narrow" w:cs="Arial Narrow"/>
          <w:sz w:val="22"/>
          <w:szCs w:val="22"/>
        </w:rPr>
        <w:t>V novom programovom období 2007 – 2013 sa rozvoj vidieka podporuje z Európskeho poľnohospodárskeho fondu pre rozvoj vidieka, čím sa zabezpečuje vyššia konkurencieschopnosť poľnohospodárstva, potravinárstva a lesného hospodárstva, lepší stav životného prostredia a krajiny, kvalitnejší život vo vidieckych oblastiach a diverzifikácia vidieckeho hospodárstva. Výdavky na rozvoj vidieka sú oproti roku 2006 o 19,6 % vyššie a oproti roku 2008 nižšie o 25,3 %. Výška týchto výdavkov je v plnej miere ovplyvňovaná</w:t>
      </w:r>
      <w:r>
        <w:rPr>
          <w:rFonts w:ascii="Arial Narrow" w:hAnsi="Arial Narrow" w:cs="Arial Narrow"/>
          <w:sz w:val="22"/>
          <w:szCs w:val="22"/>
        </w:rPr>
        <w:t xml:space="preserve"> alokáciou výdavkov EÚ a spolufinancovania v rámci 2. programového obdobia na roky 2007 až 2013.</w:t>
      </w:r>
    </w:p>
    <w:p w:rsidR="00AE49BA" w:rsidRPr="002F3DFD" w:rsidP="00AE49BA">
      <w:pPr>
        <w:jc w:val="both"/>
        <w:rPr>
          <w:rFonts w:ascii="Arial Narrow" w:hAnsi="Arial Narrow" w:cs="Arial Narrow"/>
          <w:i/>
          <w:sz w:val="22"/>
          <w:szCs w:val="22"/>
        </w:rPr>
      </w:pPr>
      <w:r w:rsidRPr="002F3DFD">
        <w:rPr>
          <w:rFonts w:ascii="Arial Narrow" w:hAnsi="Arial Narrow" w:cs="Arial Narrow"/>
          <w:i/>
          <w:sz w:val="22"/>
          <w:szCs w:val="22"/>
        </w:rPr>
        <w:t>Rybné hospodárstvo</w:t>
      </w:r>
    </w:p>
    <w:p w:rsidR="00AE49BA" w:rsidRPr="00DD3C26" w:rsidP="00AE49BA">
      <w:pPr>
        <w:jc w:val="both"/>
        <w:rPr>
          <w:rFonts w:ascii="Arial Narrow" w:hAnsi="Arial Narrow" w:cs="Arial Narrow"/>
          <w:sz w:val="22"/>
          <w:szCs w:val="22"/>
        </w:rPr>
      </w:pPr>
    </w:p>
    <w:tbl>
      <w:tblPr>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Rybné hospodárstvo celkom, v tom:</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1 035</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2 524</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3 256</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3 739</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prostriedky EÚ</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707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1 816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2 369</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2 738</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328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709</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887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1 001</w:t>
            </w:r>
          </w:p>
        </w:tc>
      </w:tr>
    </w:tbl>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Arial Narrow"/>
          <w:sz w:val="22"/>
          <w:szCs w:val="22"/>
        </w:rPr>
      </w:pPr>
      <w:r>
        <w:rPr>
          <w:rFonts w:ascii="Arial Narrow" w:hAnsi="Arial Narrow" w:cs="Arial Narrow"/>
          <w:sz w:val="22"/>
          <w:szCs w:val="22"/>
        </w:rPr>
        <w:t>Výdavky na podporu, ktorou sa zabezpečuje modernizácia, inovácie a reštrukturalizácie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oproti roku 2006 vyššie o 286,7 % a oproti roku 2008 vyššie o 143,8 %.</w:t>
      </w:r>
    </w:p>
    <w:p w:rsidR="00AE49BA" w:rsidP="00AE49BA">
      <w:pPr>
        <w:jc w:val="both"/>
        <w:rPr>
          <w:rFonts w:ascii="Arial Narrow" w:hAnsi="Arial Narrow" w:cs="Arial Narrow"/>
          <w:sz w:val="22"/>
          <w:szCs w:val="22"/>
        </w:rPr>
      </w:pPr>
    </w:p>
    <w:p w:rsidR="00AE49BA" w:rsidRPr="002F3DFD" w:rsidP="00AE49BA">
      <w:pPr>
        <w:jc w:val="both"/>
        <w:rPr>
          <w:rFonts w:ascii="Arial Narrow" w:hAnsi="Arial Narrow" w:cs="Arial Narrow"/>
          <w:i/>
          <w:sz w:val="22"/>
          <w:szCs w:val="22"/>
        </w:rPr>
      </w:pPr>
      <w:r w:rsidRPr="002F3DFD">
        <w:rPr>
          <w:rFonts w:ascii="Arial Narrow" w:hAnsi="Arial Narrow" w:cs="Arial Narrow"/>
          <w:i/>
          <w:sz w:val="22"/>
          <w:szCs w:val="22"/>
        </w:rPr>
        <w:t>Trhovo-orientované výdavky</w:t>
      </w:r>
    </w:p>
    <w:p w:rsidR="00AE49BA" w:rsidRPr="0097777D" w:rsidP="00AE49BA">
      <w:pPr>
        <w:jc w:val="both"/>
        <w:rPr>
          <w:rFonts w:ascii="Arial Narrow" w:hAnsi="Arial Narrow" w:cs="Arial Narrow"/>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l2br w:val="nil"/>
              <w:tr2bl w:val="nil"/>
            </w:tcBorders>
            <w:shd w:val="clear" w:color="auto" w:fill="C0C0C0"/>
            <w:noWrap/>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Trhovo-orientované výdavky celkom, v tom:</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39 003</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34 958</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32 442</w:t>
            </w:r>
          </w:p>
        </w:tc>
        <w:tc>
          <w:tcPr>
            <w:tcW w:w="1125" w:type="dxa"/>
            <w:tcBorders>
              <w:top w:val="single" w:sz="4" w:space="0" w:color="auto"/>
              <w:left w:val="nil"/>
              <w:bottom w:val="single" w:sz="4" w:space="0" w:color="auto"/>
              <w:right w:val="single" w:sz="4"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27 057</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prostriedky EÚ</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37 675</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33 910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31 452</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26 042</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1 328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1 048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990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1 015</w:t>
            </w:r>
          </w:p>
        </w:tc>
      </w:tr>
    </w:tbl>
    <w:p w:rsidR="00AE49BA" w:rsidP="00AE49BA">
      <w:pPr>
        <w:jc w:val="both"/>
        <w:rPr>
          <w:rFonts w:ascii="Arial Narrow" w:hAnsi="Arial Narrow" w:cs="Arial Narrow"/>
          <w:sz w:val="22"/>
          <w:szCs w:val="22"/>
        </w:rPr>
      </w:pPr>
    </w:p>
    <w:p w:rsidR="00AE49BA" w:rsidRPr="006E4045" w:rsidP="00AE49BA">
      <w:pPr>
        <w:ind w:firstLine="708"/>
        <w:jc w:val="both"/>
        <w:rPr>
          <w:rFonts w:ascii="Arial Narrow" w:hAnsi="Arial Narrow" w:cs="Arial Narrow"/>
          <w:sz w:val="22"/>
          <w:szCs w:val="22"/>
        </w:rPr>
      </w:pPr>
      <w:r w:rsidRPr="00D743BE">
        <w:rPr>
          <w:rFonts w:ascii="Arial Narrow" w:hAnsi="Arial Narrow" w:cs="Arial Narrow"/>
          <w:sz w:val="22"/>
          <w:szCs w:val="22"/>
        </w:rPr>
        <w:t>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organizácii trhu v rámci EÚ ako sú výrobné náhrady, podpory v sektore ovocia a zeleniny, špecifické opatrenia vo vinohradníckom sektore (napr. reštrukturalizácia a konverzia vinohradov a ďalšie opatrenia), podpora spotreby školského mlieka a mliečnych výrobkov</w:t>
      </w:r>
      <w:r>
        <w:rPr>
          <w:rFonts w:ascii="Arial Narrow" w:hAnsi="Arial Narrow" w:cs="Arial Narrow"/>
          <w:sz w:val="22"/>
          <w:szCs w:val="22"/>
        </w:rPr>
        <w:t xml:space="preserve"> </w:t>
      </w:r>
      <w:r w:rsidRPr="00D743BE">
        <w:rPr>
          <w:rFonts w:ascii="Arial Narrow" w:hAnsi="Arial Narrow" w:cs="Arial Narrow"/>
          <w:sz w:val="22"/>
          <w:szCs w:val="22"/>
        </w:rPr>
        <w:t>a ďalšie opatrenia. Výdavky na trhovo-orientované výdavky sú oproti roku 2006 nižšie o 7,2 %  a oproti roku 2008 nižšie o 10,4 %. Výška týchto výdavkov je v plnej miere ovplyvňovaná alokáciou výdavkov EÚ a spolufinancovania v rámci 2. programového obdobia na roky 2007 až 2013.</w:t>
      </w:r>
    </w:p>
    <w:p w:rsidR="00AE49BA" w:rsidP="00AE49BA">
      <w:pPr>
        <w:jc w:val="both"/>
        <w:rPr>
          <w:rFonts w:ascii="Arial Narrow" w:hAnsi="Arial Narrow" w:cs="Arial Narrow"/>
          <w:sz w:val="22"/>
          <w:szCs w:val="22"/>
        </w:rPr>
      </w:pPr>
    </w:p>
    <w:p w:rsidR="00AE49BA" w:rsidRPr="002F3DFD" w:rsidP="00AE49BA">
      <w:pPr>
        <w:jc w:val="both"/>
        <w:rPr>
          <w:rFonts w:ascii="Arial Narrow" w:hAnsi="Arial Narrow" w:cs="Arial Narrow"/>
          <w:i/>
          <w:sz w:val="22"/>
          <w:szCs w:val="22"/>
        </w:rPr>
      </w:pPr>
      <w:r w:rsidRPr="002F3DFD">
        <w:rPr>
          <w:rFonts w:ascii="Arial Narrow" w:hAnsi="Arial Narrow" w:cs="Arial Narrow"/>
          <w:i/>
          <w:sz w:val="22"/>
          <w:szCs w:val="22"/>
        </w:rPr>
        <w:t>Štátna pomoc</w:t>
      </w:r>
    </w:p>
    <w:p w:rsidR="00AE49BA" w:rsidRPr="0097777D" w:rsidP="00AE49BA">
      <w:pPr>
        <w:jc w:val="both"/>
        <w:rPr>
          <w:rFonts w:ascii="Arial Narrow" w:hAnsi="Arial Narrow" w:cs="Arial Narrow"/>
          <w:sz w:val="22"/>
          <w:szCs w:val="22"/>
        </w:rPr>
      </w:pPr>
    </w:p>
    <w:tbl>
      <w:tblPr>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bCs/>
                <w:sz w:val="20"/>
              </w:rPr>
            </w:pPr>
            <w:r w:rsidRPr="00EF219E">
              <w:rPr>
                <w:rFonts w:ascii="Arial Narrow" w:hAnsi="Arial Narrow" w:cs="Arial"/>
                <w:bCs/>
                <w:sz w:val="20"/>
              </w:rPr>
              <w:t>Štátna pomoc</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12 879</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37 875</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11 950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12 614</w:t>
            </w:r>
          </w:p>
        </w:tc>
      </w:tr>
    </w:tbl>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Times New Roman"/>
          <w:color w:val="000000"/>
          <w:sz w:val="22"/>
          <w:szCs w:val="22"/>
        </w:rPr>
      </w:pPr>
      <w:r w:rsidRPr="006C21E7">
        <w:rPr>
          <w:rFonts w:ascii="Arial Narrow" w:hAnsi="Arial Narrow" w:cs="Arial Narrow"/>
          <w:sz w:val="22"/>
          <w:szCs w:val="22"/>
        </w:rPr>
        <w:t xml:space="preserve">EÚ umožňuje poskytovať podnikateľským subjektom v pôdohospodárstve </w:t>
      </w:r>
      <w:r w:rsidRPr="00CB7DB0">
        <w:rPr>
          <w:rFonts w:ascii="Arial Narrow" w:hAnsi="Arial Narrow" w:cs="Arial Narrow"/>
          <w:b/>
          <w:sz w:val="22"/>
          <w:szCs w:val="22"/>
        </w:rPr>
        <w:t>štátnu pomoc</w:t>
      </w:r>
      <w:r w:rsidRPr="006C21E7">
        <w:rPr>
          <w:rFonts w:ascii="Arial Narrow" w:hAnsi="Arial Narrow" w:cs="Arial Narrow"/>
          <w:sz w:val="22"/>
          <w:szCs w:val="22"/>
        </w:rPr>
        <w:t xml:space="preserve"> z vlastných zdrojov členského štátu v súlade s pravidlami EÚ o štátnej pomoci</w:t>
      </w:r>
      <w:r>
        <w:rPr>
          <w:rFonts w:ascii="Arial Narrow" w:hAnsi="Arial Narrow" w:cs="Arial Narrow"/>
          <w:sz w:val="22"/>
          <w:szCs w:val="22"/>
        </w:rPr>
        <w:t>. Podporuje sa účasť</w:t>
      </w:r>
      <w:r w:rsidRPr="006C21E7">
        <w:rPr>
          <w:rFonts w:ascii="Arial Narrow" w:hAnsi="Arial Narrow" w:cs="Arial Narrow"/>
          <w:sz w:val="22"/>
          <w:szCs w:val="22"/>
        </w:rPr>
        <w:t xml:space="preserve"> prvovýrobcov na výstavách, založenie a vedenie plemennej knih</w:t>
      </w:r>
      <w:r>
        <w:rPr>
          <w:rFonts w:ascii="Arial Narrow" w:hAnsi="Arial Narrow" w:cs="Arial Narrow"/>
          <w:sz w:val="22"/>
          <w:szCs w:val="22"/>
        </w:rPr>
        <w:t>y alebo plemenárskej evidencie, rozvoj včelárstva, kompenzácia</w:t>
      </w:r>
      <w:r w:rsidRPr="006C21E7">
        <w:rPr>
          <w:rFonts w:ascii="Arial Narrow" w:hAnsi="Arial Narrow" w:cs="Arial Narrow"/>
          <w:sz w:val="22"/>
          <w:szCs w:val="22"/>
        </w:rPr>
        <w:t xml:space="preserve"> škôd spôsobených</w:t>
      </w:r>
      <w:r>
        <w:rPr>
          <w:rFonts w:ascii="Arial Narrow" w:hAnsi="Arial Narrow" w:cs="Arial Narrow"/>
          <w:sz w:val="22"/>
          <w:szCs w:val="22"/>
        </w:rPr>
        <w:t xml:space="preserve"> živelnými pohromami, </w:t>
      </w:r>
      <w:r w:rsidRPr="006C21E7">
        <w:rPr>
          <w:rFonts w:ascii="Arial Narrow" w:hAnsi="Arial Narrow" w:cs="Arial Narrow"/>
          <w:sz w:val="22"/>
          <w:szCs w:val="22"/>
        </w:rPr>
        <w:t>zvýšenie kvality p</w:t>
      </w:r>
      <w:r>
        <w:rPr>
          <w:rFonts w:ascii="Arial Narrow" w:hAnsi="Arial Narrow" w:cs="Arial Narrow"/>
          <w:sz w:val="22"/>
          <w:szCs w:val="22"/>
        </w:rPr>
        <w:t xml:space="preserve">oľnohospodárskych produktov, pestovanie a ochrana lesov, podpora rybnikárstva, </w:t>
      </w:r>
      <w:r w:rsidRPr="006C21E7">
        <w:rPr>
          <w:rFonts w:ascii="Arial Narrow" w:hAnsi="Arial Narrow" w:cs="Arial Narrow"/>
          <w:sz w:val="22"/>
          <w:szCs w:val="22"/>
        </w:rPr>
        <w:t>karanténne opatrenie plodín a pod.</w:t>
      </w:r>
      <w:r>
        <w:rPr>
          <w:rFonts w:ascii="Arial Narrow" w:hAnsi="Arial Narrow" w:cs="Times New Roman"/>
          <w:color w:val="000000"/>
          <w:sz w:val="22"/>
          <w:szCs w:val="22"/>
        </w:rPr>
        <w:t xml:space="preserve"> </w:t>
      </w:r>
    </w:p>
    <w:p w:rsidR="00AE49BA" w:rsidP="00AE49BA">
      <w:pPr>
        <w:jc w:val="both"/>
        <w:rPr>
          <w:rFonts w:ascii="Arial Narrow" w:hAnsi="Arial Narrow" w:cs="Arial Narrow"/>
          <w:sz w:val="22"/>
          <w:szCs w:val="22"/>
        </w:rPr>
      </w:pPr>
    </w:p>
    <w:p w:rsidR="00AE49BA" w:rsidRPr="002F3DFD" w:rsidP="00AE49BA">
      <w:pPr>
        <w:jc w:val="both"/>
        <w:rPr>
          <w:rFonts w:ascii="Arial Narrow" w:hAnsi="Arial Narrow" w:cs="Arial Narrow"/>
          <w:i/>
          <w:sz w:val="22"/>
          <w:szCs w:val="22"/>
        </w:rPr>
      </w:pPr>
      <w:r w:rsidRPr="002F3DFD">
        <w:rPr>
          <w:rFonts w:ascii="Arial Narrow" w:hAnsi="Arial Narrow" w:cs="Arial Narrow"/>
          <w:i/>
          <w:sz w:val="22"/>
          <w:szCs w:val="22"/>
        </w:rPr>
        <w:t>Inštitucionálna podpora pôdohospodárstva a ostatné výdavky</w:t>
      </w:r>
    </w:p>
    <w:p w:rsidR="00AE49BA" w:rsidRPr="0097777D" w:rsidP="00AE49BA">
      <w:pPr>
        <w:jc w:val="both"/>
        <w:rPr>
          <w:rFonts w:ascii="Arial Narrow" w:hAnsi="Arial Narrow" w:cs="Arial Narrow"/>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EF219E" w:rsidP="00AE49BA">
            <w:pPr>
              <w:rPr>
                <w:rFonts w:ascii="Arial Narrow" w:hAnsi="Arial Narrow" w:cs="Arial"/>
                <w:bCs/>
                <w:sz w:val="20"/>
              </w:rPr>
            </w:pPr>
            <w:r w:rsidRPr="00EF219E">
              <w:rPr>
                <w:rFonts w:ascii="Arial Narrow" w:hAnsi="Arial Narrow" w:cs="Arial"/>
                <w:bCs/>
                <w:sz w:val="20"/>
              </w:rPr>
              <w:t xml:space="preserve">Inštitucionálna podpora pôdohospodárstva </w:t>
            </w:r>
          </w:p>
        </w:tc>
        <w:tc>
          <w:tcPr>
            <w:tcW w:w="1125" w:type="dxa"/>
            <w:tcBorders>
              <w:top w:val="nil"/>
              <w:left w:val="nil"/>
              <w:bottom w:val="single" w:sz="4" w:space="0" w:color="auto"/>
              <w:right w:val="single" w:sz="4" w:space="0" w:color="auto"/>
              <w:tl2br w:val="nil"/>
              <w:tr2bl w:val="nil"/>
            </w:tcBorders>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105 759</w:t>
            </w:r>
          </w:p>
        </w:tc>
        <w:tc>
          <w:tcPr>
            <w:tcW w:w="1125" w:type="dxa"/>
            <w:tcBorders>
              <w:top w:val="nil"/>
              <w:left w:val="nil"/>
              <w:bottom w:val="single" w:sz="4" w:space="0" w:color="auto"/>
              <w:right w:val="single" w:sz="4" w:space="0" w:color="auto"/>
              <w:tl2br w:val="nil"/>
              <w:tr2bl w:val="nil"/>
            </w:tcBorders>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127 037</w:t>
            </w:r>
          </w:p>
        </w:tc>
        <w:tc>
          <w:tcPr>
            <w:tcW w:w="1125" w:type="dxa"/>
            <w:tcBorders>
              <w:top w:val="nil"/>
              <w:left w:val="nil"/>
              <w:bottom w:val="single" w:sz="4" w:space="0" w:color="auto"/>
              <w:right w:val="single" w:sz="4" w:space="0" w:color="auto"/>
              <w:tl2br w:val="nil"/>
              <w:tr2bl w:val="nil"/>
            </w:tcBorders>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112 572</w:t>
            </w:r>
          </w:p>
        </w:tc>
        <w:tc>
          <w:tcPr>
            <w:tcW w:w="1125" w:type="dxa"/>
            <w:tcBorders>
              <w:top w:val="nil"/>
              <w:left w:val="nil"/>
              <w:bottom w:val="single" w:sz="4" w:space="0" w:color="auto"/>
              <w:right w:val="single" w:sz="4" w:space="0" w:color="auto"/>
              <w:tl2br w:val="nil"/>
              <w:tr2bl w:val="nil"/>
            </w:tcBorders>
            <w:textDirection w:val="lrTb"/>
            <w:vAlign w:val="center"/>
          </w:tcPr>
          <w:p w:rsidR="00AE49BA" w:rsidRPr="00EF219E" w:rsidP="00AE49BA">
            <w:pPr>
              <w:jc w:val="right"/>
              <w:rPr>
                <w:rFonts w:ascii="Arial Narrow" w:hAnsi="Arial Narrow" w:cs="Arial"/>
                <w:sz w:val="20"/>
              </w:rPr>
            </w:pPr>
            <w:r w:rsidRPr="00EF219E">
              <w:rPr>
                <w:rFonts w:ascii="Arial Narrow" w:hAnsi="Arial Narrow" w:cs="Arial"/>
                <w:sz w:val="20"/>
              </w:rPr>
              <w:t>115 465</w:t>
            </w:r>
          </w:p>
        </w:tc>
      </w:tr>
    </w:tbl>
    <w:p w:rsidR="00AE49BA" w:rsidRPr="0097777D" w:rsidP="00AE49BA">
      <w:pPr>
        <w:jc w:val="both"/>
        <w:rPr>
          <w:rFonts w:ascii="Arial Narrow" w:hAnsi="Arial Narrow" w:cs="Arial"/>
          <w:sz w:val="22"/>
          <w:szCs w:val="22"/>
        </w:rPr>
      </w:pPr>
    </w:p>
    <w:p w:rsidR="00AE49BA" w:rsidRPr="00D71078" w:rsidP="00AE49BA">
      <w:pPr>
        <w:ind w:firstLine="708"/>
        <w:jc w:val="both"/>
        <w:rPr>
          <w:rFonts w:ascii="Arial" w:hAnsi="Arial" w:cs="Arial"/>
          <w:sz w:val="16"/>
          <w:szCs w:val="16"/>
        </w:rPr>
      </w:pPr>
      <w:r w:rsidRPr="00571A99">
        <w:rPr>
          <w:rFonts w:ascii="Arial Narrow" w:hAnsi="Arial Narrow" w:cs="Arial"/>
          <w:sz w:val="22"/>
          <w:szCs w:val="22"/>
        </w:rPr>
        <w:t>Celkové výdavky na inštitucionálnu podporu pôdohospodárstva</w:t>
      </w:r>
      <w:r>
        <w:rPr>
          <w:rFonts w:ascii="Arial Narrow" w:hAnsi="Arial Narrow" w:cs="Arial"/>
          <w:sz w:val="22"/>
          <w:szCs w:val="22"/>
        </w:rPr>
        <w:t xml:space="preserve">, t. j. výdavky </w:t>
      </w:r>
      <w:r w:rsidRPr="00B00EBC">
        <w:rPr>
          <w:rFonts w:ascii="Arial Narrow" w:hAnsi="Arial Narrow" w:cs="Arial"/>
          <w:sz w:val="22"/>
          <w:szCs w:val="22"/>
        </w:rPr>
        <w:t>na zabezpeč</w:t>
      </w:r>
      <w:r>
        <w:rPr>
          <w:rFonts w:ascii="Arial Narrow" w:hAnsi="Arial Narrow" w:cs="Arial"/>
          <w:sz w:val="22"/>
          <w:szCs w:val="22"/>
        </w:rPr>
        <w:t>enie plnenia úloh rozpočtových a príspevkových organizácií</w:t>
      </w:r>
      <w:r w:rsidRPr="00B00EBC">
        <w:rPr>
          <w:rFonts w:ascii="Arial Narrow" w:hAnsi="Arial Narrow" w:cs="Arial"/>
          <w:sz w:val="22"/>
          <w:szCs w:val="22"/>
        </w:rPr>
        <w:t xml:space="preserve"> rezortu</w:t>
      </w:r>
      <w:r>
        <w:rPr>
          <w:rFonts w:ascii="Arial Narrow" w:hAnsi="Arial Narrow" w:cs="Arial"/>
          <w:sz w:val="22"/>
          <w:szCs w:val="22"/>
        </w:rPr>
        <w:t xml:space="preserve"> a </w:t>
      </w:r>
      <w:r w:rsidRPr="00571A99">
        <w:rPr>
          <w:rFonts w:ascii="Arial Narrow" w:hAnsi="Arial Narrow" w:cs="Arial"/>
          <w:sz w:val="22"/>
          <w:szCs w:val="22"/>
        </w:rPr>
        <w:t xml:space="preserve">ďalšie výdavky ako sú </w:t>
      </w:r>
      <w:r>
        <w:rPr>
          <w:rFonts w:ascii="Arial Narrow" w:hAnsi="Arial Narrow" w:cs="Arial Narrow"/>
          <w:sz w:val="22"/>
          <w:szCs w:val="22"/>
        </w:rPr>
        <w:t xml:space="preserve">napr. </w:t>
      </w:r>
      <w:r w:rsidRPr="00571A99">
        <w:rPr>
          <w:rFonts w:ascii="Arial Narrow" w:hAnsi="Arial Narrow" w:cs="Arial Narrow"/>
          <w:sz w:val="22"/>
          <w:szCs w:val="22"/>
        </w:rPr>
        <w:t>pozemkové úpravy, vyhotoveni</w:t>
      </w:r>
      <w:r>
        <w:rPr>
          <w:rFonts w:ascii="Arial Narrow" w:hAnsi="Arial Narrow" w:cs="Arial Narrow"/>
          <w:sz w:val="22"/>
          <w:szCs w:val="22"/>
        </w:rPr>
        <w:t xml:space="preserve">e lesných hospodárskych plánov, eradikácia chorôb, kontrola BSE, štatistický informačný systém, verejnoprospešné aktivity rozvoja vidieka, špecifické činnosti v lesnom hospodárstve, potravinový dozor </w:t>
      </w:r>
      <w:r w:rsidRPr="00571A99">
        <w:rPr>
          <w:rFonts w:ascii="Arial Narrow" w:hAnsi="Arial Narrow" w:cs="Arial Narrow"/>
          <w:sz w:val="22"/>
          <w:szCs w:val="22"/>
        </w:rPr>
        <w:t>a</w:t>
      </w:r>
      <w:r>
        <w:rPr>
          <w:rFonts w:ascii="Arial Narrow" w:hAnsi="Arial Narrow" w:cs="Arial Narrow"/>
          <w:sz w:val="22"/>
          <w:szCs w:val="22"/>
        </w:rPr>
        <w:t> iné rastú v porovnaní s rokom 2006 o 14,4 % a v porovnaní s rokom 2008 rastú o 20,1 %.</w:t>
      </w:r>
    </w:p>
    <w:p w:rsidR="00AE49BA" w:rsidRPr="009452AD" w:rsidP="00AE49BA">
      <w:pPr>
        <w:jc w:val="both"/>
        <w:rPr>
          <w:rFonts w:ascii="Arial Narrow" w:hAnsi="Arial Narrow" w:cs="Times New Roman"/>
          <w:sz w:val="22"/>
        </w:rPr>
      </w:pPr>
    </w:p>
    <w:p w:rsidR="00791FA9" w:rsidP="00AE49BA">
      <w:pPr>
        <w:jc w:val="both"/>
        <w:rPr>
          <w:rFonts w:ascii="Arial Narrow" w:hAnsi="Arial Narrow" w:cs="Arial Narrow"/>
          <w:b/>
          <w:bCs/>
          <w:kern w:val="32"/>
          <w:sz w:val="22"/>
          <w:szCs w:val="22"/>
        </w:rPr>
      </w:pPr>
      <w:bookmarkStart w:id="60" w:name="_Toc179838193"/>
      <w:bookmarkStart w:id="61" w:name="_Toc109723537"/>
      <w:bookmarkStart w:id="62" w:name="_Toc116693974"/>
    </w:p>
    <w:p w:rsidR="00791FA9" w:rsidP="00AE49BA">
      <w:pPr>
        <w:jc w:val="both"/>
        <w:rPr>
          <w:rFonts w:ascii="Arial Narrow" w:hAnsi="Arial Narrow" w:cs="Arial Narrow"/>
          <w:b/>
          <w:bCs/>
          <w:kern w:val="32"/>
          <w:sz w:val="22"/>
          <w:szCs w:val="22"/>
        </w:rPr>
      </w:pPr>
    </w:p>
    <w:p w:rsidR="00791FA9" w:rsidP="00AE49BA">
      <w:pPr>
        <w:jc w:val="both"/>
        <w:rPr>
          <w:rFonts w:ascii="Arial Narrow" w:hAnsi="Arial Narrow" w:cs="Arial Narrow"/>
          <w:b/>
          <w:bCs/>
          <w:kern w:val="32"/>
          <w:sz w:val="22"/>
          <w:szCs w:val="22"/>
        </w:rPr>
      </w:pPr>
    </w:p>
    <w:p w:rsidR="00AE49BA" w:rsidRPr="009452AD" w:rsidP="00AE49BA">
      <w:pPr>
        <w:jc w:val="both"/>
        <w:rPr>
          <w:rFonts w:ascii="Arial Narrow" w:hAnsi="Arial Narrow" w:cs="Arial Narrow"/>
          <w:b/>
          <w:bCs/>
          <w:kern w:val="32"/>
          <w:sz w:val="22"/>
          <w:szCs w:val="22"/>
        </w:rPr>
      </w:pPr>
      <w:r w:rsidRPr="009452AD">
        <w:rPr>
          <w:rFonts w:ascii="Arial Narrow" w:hAnsi="Arial Narrow" w:cs="Arial Narrow"/>
          <w:b/>
          <w:bCs/>
          <w:kern w:val="32"/>
          <w:sz w:val="22"/>
          <w:szCs w:val="22"/>
        </w:rPr>
        <w:t>Úrad geodézie, kartografie a katastra SR</w:t>
      </w:r>
      <w:bookmarkEnd w:id="60"/>
      <w:bookmarkEnd w:id="61"/>
      <w:bookmarkEnd w:id="62"/>
    </w:p>
    <w:p w:rsidR="00AE49BA" w:rsidRPr="009452AD" w:rsidP="00AE49BA">
      <w:pPr>
        <w:jc w:val="both"/>
        <w:outlineLvl w:val="0"/>
        <w:rPr>
          <w:rFonts w:ascii="Arial Narrow" w:hAnsi="Arial Narrow" w:cs="Arial Narrow"/>
          <w:b/>
          <w:bCs/>
          <w:kern w:val="32"/>
          <w:sz w:val="22"/>
          <w:szCs w:val="22"/>
        </w:rPr>
      </w:pPr>
    </w:p>
    <w:p w:rsidR="00AE49BA" w:rsidRPr="009452AD" w:rsidP="00AE49BA">
      <w:pPr>
        <w:tabs>
          <w:tab w:val="left" w:pos="0"/>
        </w:tabs>
        <w:jc w:val="both"/>
        <w:rPr>
          <w:rFonts w:ascii="Arial Narrow" w:hAnsi="Arial Narrow" w:cs="Arial Narrow"/>
          <w:sz w:val="22"/>
          <w:szCs w:val="22"/>
        </w:rPr>
      </w:pPr>
      <w:r w:rsidRPr="009452AD">
        <w:rPr>
          <w:rFonts w:ascii="Arial Narrow" w:hAnsi="Arial Narrow" w:cs="Times New Roman"/>
          <w:sz w:val="22"/>
          <w:szCs w:val="22"/>
        </w:rPr>
        <w:tab/>
        <w:t>Na spravovanie, aktualizáciu a obnovu katastrálneho operátu, prácu na projekte „Usporiadanie registrov obnovenej evidencie pozemkov“ (ROEP), údržbu, modernizáciu a rozvoj geodetických základov, tvorbu základnej bázy údajov pre geografické informačné systémy, tvorbu a obnovu štátnych mapových diel a Edičného plánu ÚGKK SR, budovanie Automatizovaného informačného systému geodézie, kartografie a katastra, medzinárodnú spoluprácu a európsku integráciu a výskumné úlohy sú rozpočtované prostriedky v </w:t>
      </w:r>
      <w:r w:rsidRPr="009452AD">
        <w:rPr>
          <w:rFonts w:ascii="Arial Narrow" w:hAnsi="Arial Narrow" w:cs="Arial Narrow"/>
          <w:sz w:val="22"/>
          <w:szCs w:val="22"/>
        </w:rPr>
        <w:t xml:space="preserve">objeme </w:t>
      </w:r>
      <w:r>
        <w:rPr>
          <w:rFonts w:ascii="Arial Narrow" w:hAnsi="Arial Narrow" w:cs="Arial Narrow"/>
          <w:b/>
          <w:bCs/>
          <w:sz w:val="22"/>
          <w:szCs w:val="22"/>
        </w:rPr>
        <w:t>41,8</w:t>
      </w:r>
      <w:r w:rsidRPr="009452AD">
        <w:rPr>
          <w:rFonts w:ascii="Arial Narrow" w:hAnsi="Arial Narrow" w:cs="Arial Narrow"/>
          <w:b/>
          <w:bCs/>
          <w:sz w:val="22"/>
          <w:szCs w:val="22"/>
        </w:rPr>
        <w:t xml:space="preserve"> mil. eur.</w:t>
      </w:r>
    </w:p>
    <w:p w:rsidR="00AE49BA" w:rsidRPr="009452AD" w:rsidP="00AE49BA">
      <w:pPr>
        <w:tabs>
          <w:tab w:val="left" w:pos="0"/>
        </w:tabs>
        <w:jc w:val="both"/>
        <w:rPr>
          <w:rFonts w:ascii="Arial Narrow" w:hAnsi="Arial Narrow" w:cs="Arial Narrow"/>
          <w:sz w:val="22"/>
          <w:szCs w:val="22"/>
        </w:rPr>
      </w:pPr>
    </w:p>
    <w:p w:rsidR="00AE49BA" w:rsidRPr="006D1E4E" w:rsidP="00AE49BA">
      <w:pPr>
        <w:jc w:val="both"/>
        <w:rPr>
          <w:rFonts w:ascii="Arial Narrow" w:hAnsi="Arial Narrow" w:cs="Times New Roman"/>
          <w:b/>
          <w:sz w:val="22"/>
          <w:szCs w:val="22"/>
        </w:rPr>
      </w:pPr>
      <w:r w:rsidRPr="00D75EC5">
        <w:rPr>
          <w:rFonts w:ascii="Arial Narrow" w:hAnsi="Arial Narrow" w:cs="Times New Roman"/>
          <w:b/>
          <w:sz w:val="22"/>
          <w:szCs w:val="22"/>
        </w:rPr>
        <w:t>Životné prostredie</w:t>
      </w:r>
    </w:p>
    <w:p w:rsidR="00AE49BA" w:rsidRPr="003D69D2" w:rsidP="00AE49BA">
      <w:pPr>
        <w:jc w:val="both"/>
        <w:rPr>
          <w:rFonts w:ascii="Arial Narrow" w:hAnsi="Arial Narrow" w:cs="Times New Roman"/>
          <w:color w:val="FF0000"/>
          <w:sz w:val="22"/>
          <w:szCs w:val="22"/>
        </w:rPr>
      </w:pPr>
    </w:p>
    <w:p w:rsidR="00AE49BA" w:rsidP="00AE49BA">
      <w:pPr>
        <w:ind w:firstLine="708"/>
        <w:jc w:val="both"/>
        <w:rPr>
          <w:rFonts w:ascii="Arial Narrow" w:hAnsi="Arial Narrow" w:cs="Times New Roman"/>
          <w:sz w:val="22"/>
          <w:szCs w:val="22"/>
        </w:rPr>
      </w:pPr>
      <w:r w:rsidRPr="006D1E4E">
        <w:rPr>
          <w:rFonts w:ascii="Arial Narrow" w:hAnsi="Arial Narrow" w:cs="Times New Roman"/>
          <w:sz w:val="22"/>
          <w:szCs w:val="22"/>
        </w:rPr>
        <w:t xml:space="preserve">Verejné výdavky v oblasti životného prostredia sú financované z rôznych zdrojov, pričom </w:t>
      </w:r>
      <w:r w:rsidRPr="006D1E4E">
        <w:rPr>
          <w:rFonts w:ascii="Arial Narrow" w:hAnsi="Arial Narrow" w:cs="Times New Roman"/>
          <w:b/>
          <w:sz w:val="22"/>
          <w:szCs w:val="22"/>
        </w:rPr>
        <w:t>podstatný podiel</w:t>
      </w:r>
      <w:r w:rsidRPr="006D1E4E">
        <w:rPr>
          <w:rFonts w:ascii="Arial Narrow" w:hAnsi="Arial Narrow" w:cs="Times New Roman"/>
          <w:sz w:val="22"/>
          <w:szCs w:val="22"/>
        </w:rPr>
        <w:t xml:space="preserve"> týchto </w:t>
      </w:r>
      <w:r w:rsidRPr="006D1E4E">
        <w:rPr>
          <w:rFonts w:ascii="Arial Narrow" w:hAnsi="Arial Narrow" w:cs="Times New Roman"/>
          <w:b/>
          <w:sz w:val="22"/>
          <w:szCs w:val="22"/>
        </w:rPr>
        <w:t>výdavkov tvoria zdroje EÚ spolu s príslušným spolufinancovaním zo štátneho rozpočtu</w:t>
      </w:r>
      <w:r w:rsidRPr="006D1E4E">
        <w:rPr>
          <w:rFonts w:ascii="Arial Narrow" w:hAnsi="Arial Narrow" w:cs="Times New Roman"/>
          <w:sz w:val="22"/>
          <w:szCs w:val="22"/>
        </w:rPr>
        <w:t xml:space="preserve">, ktoré sú projektovo viazané </w:t>
      </w:r>
      <w:r w:rsidRPr="006D1E4E">
        <w:rPr>
          <w:rFonts w:ascii="Arial Narrow" w:hAnsi="Arial Narrow" w:cs="Times New Roman"/>
          <w:b/>
          <w:sz w:val="22"/>
          <w:szCs w:val="22"/>
        </w:rPr>
        <w:t>a vlastné zdroje kapitoly Ministerstvo životného prostredia SR</w:t>
      </w:r>
      <w:r w:rsidRPr="006D1E4E">
        <w:rPr>
          <w:rFonts w:ascii="Arial Narrow" w:hAnsi="Arial Narrow" w:cs="Times New Roman"/>
          <w:sz w:val="22"/>
          <w:szCs w:val="22"/>
        </w:rPr>
        <w:t xml:space="preserve">. Ďalšie prostriedky na financovanie opatrení v životnom prostredí sú v roku 2009 vyčlenené v rámci programu ISPA, Prechodného fondu, programu nadnárodnej spolupráce Interreg, programov európskej územnej spolupráce, z rozpočtu Environmentálneho fondu, z prostriedkov Ministerstva pôdohospodárstva SR a Ministerstva hospodárstva SR. </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4"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666E08" w:rsidP="00AE49BA">
            <w:pPr>
              <w:rPr>
                <w:rFonts w:ascii="Arial Narrow" w:hAnsi="Arial Narrow" w:cs="Arial"/>
                <w:b/>
                <w:bCs/>
                <w:sz w:val="20"/>
              </w:rPr>
            </w:pPr>
            <w:r w:rsidRPr="00666E08">
              <w:rPr>
                <w:rFonts w:ascii="Arial Narrow" w:hAnsi="Arial Narrow" w:cs="Arial"/>
                <w:b/>
                <w:bCs/>
                <w:sz w:val="20"/>
              </w:rPr>
              <w:t>Zdroje smerujúce do oblasti životného prostredia</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666E08" w:rsidP="00AE49BA">
            <w:pPr>
              <w:jc w:val="right"/>
              <w:rPr>
                <w:rFonts w:ascii="Arial Narrow" w:hAnsi="Arial Narrow" w:cs="Arial"/>
                <w:b/>
                <w:bCs/>
                <w:sz w:val="20"/>
              </w:rPr>
            </w:pPr>
            <w:r w:rsidRPr="00666E08">
              <w:rPr>
                <w:rFonts w:ascii="Arial Narrow" w:hAnsi="Arial Narrow" w:cs="Arial"/>
                <w:b/>
                <w:bCs/>
                <w:sz w:val="20"/>
              </w:rPr>
              <w:t>387 274</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666E08" w:rsidP="00AE49BA">
            <w:pPr>
              <w:jc w:val="right"/>
              <w:rPr>
                <w:rFonts w:ascii="Arial Narrow" w:hAnsi="Arial Narrow" w:cs="Arial"/>
                <w:b/>
                <w:bCs/>
                <w:sz w:val="20"/>
              </w:rPr>
            </w:pPr>
            <w:r w:rsidRPr="00666E08">
              <w:rPr>
                <w:rFonts w:ascii="Arial Narrow" w:hAnsi="Arial Narrow" w:cs="Arial"/>
                <w:b/>
                <w:bCs/>
                <w:sz w:val="20"/>
              </w:rPr>
              <w:t>251 602</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666E08" w:rsidP="00AE49BA">
            <w:pPr>
              <w:jc w:val="right"/>
              <w:rPr>
                <w:rFonts w:ascii="Arial Narrow" w:hAnsi="Arial Narrow" w:cs="Arial"/>
                <w:b/>
                <w:bCs/>
                <w:sz w:val="20"/>
              </w:rPr>
            </w:pPr>
            <w:r w:rsidRPr="00666E08">
              <w:rPr>
                <w:rFonts w:ascii="Arial Narrow" w:hAnsi="Arial Narrow" w:cs="Arial"/>
                <w:b/>
                <w:bCs/>
                <w:sz w:val="20"/>
              </w:rPr>
              <w:t>336 223</w:t>
            </w:r>
          </w:p>
        </w:tc>
        <w:tc>
          <w:tcPr>
            <w:tcW w:w="1125" w:type="dxa"/>
            <w:tcBorders>
              <w:top w:val="nil"/>
              <w:left w:val="nil"/>
              <w:bottom w:val="single" w:sz="4" w:space="0" w:color="auto"/>
              <w:right w:val="single" w:sz="4" w:space="0" w:color="auto"/>
              <w:tl2br w:val="nil"/>
              <w:tr2bl w:val="nil"/>
            </w:tcBorders>
            <w:shd w:val="clear" w:color="auto" w:fill="C0C0C0"/>
            <w:textDirection w:val="lrTb"/>
            <w:vAlign w:val="bottom"/>
          </w:tcPr>
          <w:p w:rsidR="00AE49BA" w:rsidRPr="00666E08" w:rsidP="00AE49BA">
            <w:pPr>
              <w:jc w:val="right"/>
              <w:rPr>
                <w:rFonts w:ascii="Arial Narrow" w:hAnsi="Arial Narrow" w:cs="Arial"/>
                <w:b/>
                <w:bCs/>
                <w:sz w:val="20"/>
              </w:rPr>
            </w:pPr>
            <w:r w:rsidRPr="00666E08">
              <w:rPr>
                <w:rFonts w:ascii="Arial Narrow" w:hAnsi="Arial Narrow" w:cs="Arial"/>
                <w:b/>
                <w:bCs/>
                <w:sz w:val="20"/>
              </w:rPr>
              <w:t>389 946</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štátny rozpočet</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64 552</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63 304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120 093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124 568</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 xml:space="preserve">zdroje EÚ </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128 490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31 583</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107 308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167 627</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spolufinancovanie zo ŠR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29 947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20 708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32 457</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30 896</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rPr>
                <w:rFonts w:ascii="Arial Narrow" w:hAnsi="Arial Narrow" w:cs="Arial"/>
                <w:sz w:val="20"/>
              </w:rPr>
            </w:pPr>
            <w:r>
              <w:rPr>
                <w:rFonts w:ascii="Arial Narrow" w:hAnsi="Arial Narrow" w:cs="Arial"/>
                <w:sz w:val="20"/>
              </w:rPr>
              <w:t>iné zahraničné zdroje*</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107 311</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67 740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28 881</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12 519</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666E08" w:rsidP="00AE49BA">
            <w:pPr>
              <w:rPr>
                <w:rFonts w:ascii="Arial Narrow" w:hAnsi="Arial Narrow" w:cs="Arial"/>
                <w:sz w:val="20"/>
              </w:rPr>
            </w:pPr>
            <w:r w:rsidRPr="00666E08">
              <w:rPr>
                <w:rFonts w:ascii="Arial Narrow" w:hAnsi="Arial Narrow" w:cs="Arial"/>
                <w:sz w:val="20"/>
              </w:rPr>
              <w:t>Environmentálny fond</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42 365</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44 688</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37 560</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49 913</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l2br w:val="nil"/>
              <w:tr2bl w:val="nil"/>
            </w:tcBorders>
            <w:noWrap/>
            <w:textDirection w:val="lrTb"/>
            <w:vAlign w:val="bottom"/>
          </w:tcPr>
          <w:p w:rsidR="00AE49BA" w:rsidRPr="00666E08" w:rsidP="00AE49BA">
            <w:pPr>
              <w:rPr>
                <w:rFonts w:ascii="Arial Narrow" w:hAnsi="Arial Narrow" w:cs="Arial"/>
                <w:sz w:val="20"/>
              </w:rPr>
            </w:pPr>
            <w:r w:rsidRPr="00666E08">
              <w:rPr>
                <w:rFonts w:ascii="Arial Narrow" w:hAnsi="Arial Narrow" w:cs="Arial"/>
                <w:sz w:val="20"/>
              </w:rPr>
              <w:t>zdroje MP SR a MH SR</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14 609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23 579</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9 924</w:t>
            </w:r>
          </w:p>
        </w:tc>
        <w:tc>
          <w:tcPr>
            <w:tcW w:w="1125" w:type="dxa"/>
            <w:tcBorders>
              <w:top w:val="nil"/>
              <w:left w:val="nil"/>
              <w:bottom w:val="single" w:sz="4" w:space="0" w:color="auto"/>
              <w:right w:val="single" w:sz="4" w:space="0" w:color="auto"/>
              <w:tl2br w:val="nil"/>
              <w:tr2bl w:val="nil"/>
            </w:tcBorders>
            <w:noWrap/>
            <w:textDirection w:val="lrTb"/>
            <w:vAlign w:val="bottom"/>
          </w:tcPr>
          <w:p w:rsidR="00AE49BA" w:rsidRPr="00666E08" w:rsidP="00AE49BA">
            <w:pPr>
              <w:jc w:val="right"/>
              <w:rPr>
                <w:rFonts w:ascii="Arial Narrow" w:hAnsi="Arial Narrow" w:cs="Arial"/>
                <w:sz w:val="20"/>
              </w:rPr>
            </w:pPr>
            <w:r w:rsidRPr="00666E08">
              <w:rPr>
                <w:rFonts w:ascii="Arial Narrow" w:hAnsi="Arial Narrow" w:cs="Arial"/>
                <w:sz w:val="20"/>
              </w:rPr>
              <w:t>4 423</w:t>
            </w:r>
          </w:p>
        </w:tc>
      </w:tr>
    </w:tbl>
    <w:p w:rsidR="00AE49BA" w:rsidRPr="00D75EC5" w:rsidP="00AE49BA">
      <w:pPr>
        <w:jc w:val="both"/>
        <w:rPr>
          <w:rFonts w:ascii="Arial Narrow" w:hAnsi="Arial Narrow" w:cs="Times New Roman"/>
          <w:sz w:val="16"/>
          <w:szCs w:val="16"/>
        </w:rPr>
      </w:pPr>
      <w:r>
        <w:rPr>
          <w:rFonts w:ascii="Arial Narrow" w:hAnsi="Arial Narrow" w:cs="Times New Roman"/>
          <w:sz w:val="16"/>
          <w:szCs w:val="16"/>
        </w:rPr>
        <w:t xml:space="preserve">* </w:t>
      </w:r>
      <w:r w:rsidRPr="00D75EC5">
        <w:rPr>
          <w:rFonts w:ascii="Arial Narrow" w:hAnsi="Arial Narrow" w:cs="Times New Roman"/>
          <w:sz w:val="16"/>
          <w:szCs w:val="16"/>
        </w:rPr>
        <w:t>zdroje ISPA, PHARE, PF, EHP, NFM, Interreg, ETC</w:t>
      </w:r>
      <w:r>
        <w:rPr>
          <w:rFonts w:ascii="Arial Narrow" w:hAnsi="Arial Narrow" w:cs="Times New Roman"/>
          <w:sz w:val="16"/>
          <w:szCs w:val="16"/>
        </w:rPr>
        <w:t xml:space="preserve"> vrátane spolufinancovania</w:t>
      </w:r>
    </w:p>
    <w:p w:rsidR="00AE49BA" w:rsidP="00AE49BA">
      <w:pPr>
        <w:ind w:firstLine="708"/>
        <w:jc w:val="both"/>
        <w:rPr>
          <w:rFonts w:ascii="Arial Narrow" w:hAnsi="Arial Narrow" w:cs="Times New Roman"/>
          <w:sz w:val="22"/>
          <w:szCs w:val="22"/>
        </w:rPr>
      </w:pPr>
    </w:p>
    <w:p w:rsidR="00AE49BA" w:rsidRPr="006D1E4E" w:rsidP="00AE49BA">
      <w:pPr>
        <w:ind w:firstLine="708"/>
        <w:jc w:val="both"/>
        <w:rPr>
          <w:rFonts w:ascii="Arial Narrow" w:hAnsi="Arial Narrow" w:cs="Times New Roman"/>
          <w:sz w:val="22"/>
          <w:szCs w:val="22"/>
        </w:rPr>
      </w:pPr>
      <w:r w:rsidRPr="006D1E4E">
        <w:rPr>
          <w:rFonts w:ascii="Arial Narrow" w:hAnsi="Arial Narrow" w:cs="Times New Roman"/>
          <w:sz w:val="22"/>
          <w:szCs w:val="22"/>
        </w:rPr>
        <w:t>Celková výška verejných výdavkov smerujúcich v roku 2009 do životného prostredia  predstavuje sum</w:t>
      </w:r>
      <w:r>
        <w:rPr>
          <w:rFonts w:ascii="Arial Narrow" w:hAnsi="Arial Narrow" w:cs="Times New Roman"/>
          <w:sz w:val="22"/>
          <w:szCs w:val="22"/>
        </w:rPr>
        <w:t>u v celkovej výške 390 mil. eur. V porovnaní s rokom 2008 rastú v roku 2009 zdroje smerujúce do oblasti životného prostredia o 16%.</w:t>
      </w:r>
    </w:p>
    <w:p w:rsidR="00AE49BA" w:rsidRPr="006D1E4E" w:rsidP="00AE49BA">
      <w:pPr>
        <w:jc w:val="both"/>
        <w:rPr>
          <w:rFonts w:ascii="Arial Narrow" w:hAnsi="Arial Narrow" w:cs="Times New Roman"/>
          <w:sz w:val="22"/>
          <w:szCs w:val="22"/>
        </w:rPr>
      </w:pPr>
    </w:p>
    <w:p w:rsidR="00AE49BA" w:rsidRPr="006D1E4E" w:rsidP="00AE49BA">
      <w:pPr>
        <w:jc w:val="both"/>
        <w:rPr>
          <w:rFonts w:ascii="Arial Narrow" w:hAnsi="Arial Narrow" w:cs="Times New Roman"/>
          <w:i/>
          <w:sz w:val="22"/>
          <w:szCs w:val="22"/>
        </w:rPr>
      </w:pPr>
      <w:r w:rsidRPr="006D1E4E">
        <w:rPr>
          <w:rFonts w:ascii="Arial Narrow" w:hAnsi="Arial Narrow" w:cs="Times New Roman"/>
          <w:i/>
          <w:sz w:val="22"/>
          <w:szCs w:val="22"/>
        </w:rPr>
        <w:t>Vodné hospodárstvo</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630C4B" w:rsidP="00AE49BA">
            <w:pPr>
              <w:rPr>
                <w:rFonts w:ascii="Arial Narrow" w:hAnsi="Arial Narrow" w:cs="Arial"/>
                <w:bCs/>
                <w:sz w:val="20"/>
              </w:rPr>
            </w:pPr>
            <w:r w:rsidRPr="00630C4B">
              <w:rPr>
                <w:rFonts w:ascii="Arial Narrow" w:hAnsi="Arial Narrow" w:cs="Arial"/>
                <w:bCs/>
                <w:sz w:val="20"/>
              </w:rPr>
              <w:t>Zdroje smerujúce do vodného hospodárstva</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240 996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118 356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209 883</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216 528</w:t>
            </w:r>
          </w:p>
        </w:tc>
      </w:tr>
    </w:tbl>
    <w:p w:rsidR="00AE49BA" w:rsidRPr="006D1E4E" w:rsidP="00AE49BA">
      <w:pPr>
        <w:jc w:val="both"/>
        <w:rPr>
          <w:rFonts w:ascii="Arial Narrow" w:hAnsi="Arial Narrow" w:cs="Times New Roman"/>
          <w:sz w:val="22"/>
          <w:szCs w:val="22"/>
        </w:rPr>
      </w:pPr>
    </w:p>
    <w:p w:rsidR="00AE49BA" w:rsidRPr="006D1E4E" w:rsidP="00AE49BA">
      <w:pPr>
        <w:ind w:firstLine="708"/>
        <w:jc w:val="both"/>
        <w:rPr>
          <w:rFonts w:ascii="Arial Narrow" w:hAnsi="Arial Narrow" w:cs="Times New Roman"/>
          <w:b/>
          <w:sz w:val="22"/>
          <w:szCs w:val="22"/>
        </w:rPr>
      </w:pPr>
      <w:r w:rsidRPr="006D1E4E">
        <w:rPr>
          <w:rFonts w:ascii="Arial Narrow" w:hAnsi="Arial Narrow" w:cs="Times New Roman"/>
          <w:sz w:val="22"/>
          <w:szCs w:val="22"/>
        </w:rPr>
        <w:t xml:space="preserve">Na vodné hospodárstvo sa v roku 2009 rozpočtujú vlastné prostriedky kapitoly, prostriedky EÚ, spolufinancovanie prostriedkov EÚ zo ŠR, prostriedky programu ISPA, prostriedky Prechodného fondu, Environmentálneho fondu a malá časť výdavkov kapitoly Ministerstvo pôdohospodárstva SR určená na vodné hospodárstvo, v celkovej výške 217 mil. eur. Prostriedky smerujú hlavne na konkrétne projekty budovania a rekonštrukcie infraštruktúry vodného hospodárstva (preventívne </w:t>
      </w:r>
      <w:r w:rsidRPr="006D1E4E">
        <w:rPr>
          <w:rFonts w:ascii="Arial Narrow" w:hAnsi="Arial Narrow" w:cs="Times New Roman"/>
          <w:b/>
          <w:sz w:val="22"/>
          <w:szCs w:val="22"/>
        </w:rPr>
        <w:t>protipovodňové opatrenia</w:t>
      </w:r>
      <w:r w:rsidRPr="006D1E4E">
        <w:rPr>
          <w:rFonts w:ascii="Arial Narrow" w:hAnsi="Arial Narrow" w:cs="Times New Roman"/>
          <w:sz w:val="22"/>
          <w:szCs w:val="22"/>
        </w:rPr>
        <w:t xml:space="preserve">, dobudovanie a prevádzka povodňového varovného a predpovedného systému, </w:t>
      </w:r>
      <w:r w:rsidRPr="006D1E4E">
        <w:rPr>
          <w:rFonts w:ascii="Arial Narrow" w:hAnsi="Arial Narrow" w:cs="Times New Roman"/>
          <w:b/>
          <w:sz w:val="22"/>
          <w:szCs w:val="22"/>
        </w:rPr>
        <w:t>zásobovanie vodou</w:t>
      </w:r>
      <w:r w:rsidRPr="006D1E4E">
        <w:rPr>
          <w:rFonts w:ascii="Arial Narrow" w:hAnsi="Arial Narrow" w:cs="Times New Roman"/>
          <w:sz w:val="22"/>
          <w:szCs w:val="22"/>
        </w:rPr>
        <w:t xml:space="preserve">, </w:t>
      </w:r>
      <w:r w:rsidRPr="006D1E4E">
        <w:rPr>
          <w:rFonts w:ascii="Arial Narrow" w:hAnsi="Arial Narrow" w:cs="Times New Roman"/>
          <w:b/>
          <w:sz w:val="22"/>
          <w:szCs w:val="22"/>
        </w:rPr>
        <w:t>odvádzanie a čistenie odpadových vôd</w:t>
      </w:r>
      <w:r w:rsidRPr="006D1E4E">
        <w:rPr>
          <w:rFonts w:ascii="Arial Narrow" w:hAnsi="Arial Narrow" w:cs="Times New Roman"/>
          <w:sz w:val="22"/>
          <w:szCs w:val="22"/>
        </w:rPr>
        <w:t>).</w:t>
      </w:r>
    </w:p>
    <w:p w:rsidR="00AE49BA" w:rsidP="00AE49BA">
      <w:pPr>
        <w:jc w:val="both"/>
        <w:rPr>
          <w:rFonts w:ascii="Arial Narrow" w:hAnsi="Arial Narrow" w:cs="Times New Roman"/>
          <w:sz w:val="22"/>
          <w:szCs w:val="22"/>
        </w:rPr>
      </w:pPr>
    </w:p>
    <w:p w:rsidR="00AE49BA" w:rsidRPr="006D1E4E" w:rsidP="00AE49BA">
      <w:pPr>
        <w:jc w:val="both"/>
        <w:rPr>
          <w:rFonts w:ascii="Arial Narrow" w:hAnsi="Arial Narrow" w:cs="Times New Roman"/>
          <w:i/>
          <w:sz w:val="22"/>
          <w:szCs w:val="22"/>
        </w:rPr>
      </w:pPr>
      <w:r w:rsidRPr="006D1E4E">
        <w:rPr>
          <w:rFonts w:ascii="Arial Narrow" w:hAnsi="Arial Narrow" w:cs="Times New Roman"/>
          <w:i/>
          <w:sz w:val="22"/>
          <w:szCs w:val="22"/>
        </w:rPr>
        <w:t>Ochrana ovzdušia</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630C4B" w:rsidP="00AE49BA">
            <w:pPr>
              <w:rPr>
                <w:rFonts w:ascii="Arial Narrow" w:hAnsi="Arial Narrow" w:cs="Arial"/>
                <w:bCs/>
                <w:sz w:val="20"/>
              </w:rPr>
            </w:pPr>
            <w:r w:rsidRPr="00630C4B">
              <w:rPr>
                <w:rFonts w:ascii="Arial Narrow" w:hAnsi="Arial Narrow" w:cs="Arial"/>
                <w:bCs/>
                <w:sz w:val="20"/>
              </w:rPr>
              <w:t>Zdroje smerujúce do ochrany ovzdušia</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29 227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34 132</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27 666</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39 781</w:t>
            </w:r>
          </w:p>
        </w:tc>
      </w:tr>
    </w:tbl>
    <w:p w:rsidR="00AE49BA" w:rsidRPr="006D1E4E" w:rsidP="00AE49BA">
      <w:pPr>
        <w:jc w:val="both"/>
        <w:rPr>
          <w:rFonts w:ascii="Arial Narrow" w:hAnsi="Arial Narrow" w:cs="Times New Roman"/>
          <w:sz w:val="22"/>
          <w:szCs w:val="22"/>
        </w:rPr>
      </w:pPr>
    </w:p>
    <w:p w:rsidR="00AE49BA" w:rsidRPr="006D1E4E" w:rsidP="00AE49BA">
      <w:pPr>
        <w:ind w:firstLine="708"/>
        <w:jc w:val="both"/>
        <w:rPr>
          <w:rFonts w:ascii="Arial Narrow" w:hAnsi="Arial Narrow" w:cs="Times New Roman"/>
          <w:sz w:val="22"/>
          <w:szCs w:val="22"/>
        </w:rPr>
      </w:pPr>
      <w:r w:rsidRPr="006D1E4E">
        <w:rPr>
          <w:rFonts w:ascii="Arial Narrow" w:hAnsi="Arial Narrow" w:cs="Times New Roman"/>
          <w:sz w:val="22"/>
          <w:szCs w:val="22"/>
        </w:rPr>
        <w:t xml:space="preserve">Výdavky na ochranu ovzdušia v roku 2009 pozostávajú z prostriedkov EÚ, ich spolufinancovania zo ŠR, prostriedkov Environmentálneho fondu a malá časť výdavkov kapitoly Ministerstvo hospodárstva SR určená na podporu úspory energie, podporu obnoviteľných zdrojov a útlm baníctva, v celkovej výške 39,8 mil. eur. Tieto výdavky smerujú na financovanie konkrétnych projektov </w:t>
      </w:r>
      <w:r w:rsidRPr="006D1E4E">
        <w:rPr>
          <w:rFonts w:ascii="Arial Narrow" w:hAnsi="Arial Narrow" w:cs="Times New Roman"/>
          <w:b/>
          <w:sz w:val="22"/>
          <w:szCs w:val="22"/>
        </w:rPr>
        <w:t>znižovania emisií znečisťujúcich látok</w:t>
      </w:r>
      <w:r w:rsidRPr="006D1E4E">
        <w:rPr>
          <w:rFonts w:ascii="Arial Narrow" w:hAnsi="Arial Narrow" w:cs="Times New Roman"/>
          <w:sz w:val="22"/>
          <w:szCs w:val="22"/>
        </w:rPr>
        <w:t xml:space="preserve">, znižovanie emisií </w:t>
      </w:r>
      <w:r w:rsidRPr="006D1E4E">
        <w:rPr>
          <w:rFonts w:ascii="Arial Narrow" w:hAnsi="Arial Narrow" w:cs="Times New Roman"/>
          <w:b/>
          <w:sz w:val="22"/>
          <w:szCs w:val="22"/>
        </w:rPr>
        <w:t>skleníkových plynov</w:t>
      </w:r>
      <w:r w:rsidRPr="006D1E4E">
        <w:rPr>
          <w:rFonts w:ascii="Arial Narrow" w:hAnsi="Arial Narrow" w:cs="Times New Roman"/>
          <w:sz w:val="22"/>
          <w:szCs w:val="22"/>
        </w:rPr>
        <w:t xml:space="preserve">, </w:t>
      </w:r>
      <w:r w:rsidRPr="006D1E4E">
        <w:rPr>
          <w:rFonts w:ascii="Arial Narrow" w:hAnsi="Arial Narrow" w:cs="Times New Roman"/>
          <w:b/>
          <w:sz w:val="22"/>
          <w:szCs w:val="22"/>
        </w:rPr>
        <w:t>ekologizáciu verejnej dopravy</w:t>
      </w:r>
      <w:r w:rsidRPr="006D1E4E">
        <w:rPr>
          <w:rFonts w:ascii="Arial Narrow" w:hAnsi="Arial Narrow" w:cs="Times New Roman"/>
          <w:sz w:val="22"/>
          <w:szCs w:val="22"/>
        </w:rPr>
        <w:t xml:space="preserve">, výrobu </w:t>
      </w:r>
      <w:r w:rsidRPr="006D1E4E">
        <w:rPr>
          <w:rFonts w:ascii="Arial Narrow" w:hAnsi="Arial Narrow" w:cs="Times New Roman"/>
          <w:b/>
          <w:sz w:val="22"/>
          <w:szCs w:val="22"/>
        </w:rPr>
        <w:t>energie z obnoviteľných zdrojov</w:t>
      </w:r>
      <w:r w:rsidRPr="006D1E4E">
        <w:rPr>
          <w:rFonts w:ascii="Arial Narrow" w:hAnsi="Arial Narrow" w:cs="Times New Roman"/>
          <w:sz w:val="22"/>
          <w:szCs w:val="22"/>
        </w:rPr>
        <w:t xml:space="preserve">, zvýšenie </w:t>
      </w:r>
      <w:r w:rsidRPr="006D1E4E">
        <w:rPr>
          <w:rFonts w:ascii="Arial Narrow" w:hAnsi="Arial Narrow" w:cs="Times New Roman"/>
          <w:b/>
          <w:sz w:val="22"/>
          <w:szCs w:val="22"/>
        </w:rPr>
        <w:t xml:space="preserve">energetickej efektívnosti </w:t>
      </w:r>
      <w:r w:rsidRPr="006D1E4E">
        <w:rPr>
          <w:rFonts w:ascii="Arial Narrow" w:hAnsi="Arial Narrow" w:cs="Times New Roman"/>
          <w:sz w:val="22"/>
          <w:szCs w:val="22"/>
        </w:rPr>
        <w:t>a</w:t>
      </w:r>
      <w:r w:rsidRPr="006D1E4E">
        <w:rPr>
          <w:rFonts w:ascii="Arial Narrow" w:hAnsi="Arial Narrow" w:cs="Times New Roman"/>
          <w:b/>
          <w:sz w:val="22"/>
          <w:szCs w:val="22"/>
        </w:rPr>
        <w:t> </w:t>
      </w:r>
      <w:r w:rsidRPr="006D1E4E">
        <w:rPr>
          <w:rFonts w:ascii="Arial Narrow" w:hAnsi="Arial Narrow" w:cs="Times New Roman"/>
          <w:sz w:val="22"/>
          <w:szCs w:val="22"/>
        </w:rPr>
        <w:t>likvidáciu popolčeka a škváry z odkalísk teplárenských spoločností.</w:t>
      </w:r>
    </w:p>
    <w:p w:rsidR="00AE49BA" w:rsidRPr="006D1E4E" w:rsidP="00AE49BA">
      <w:pPr>
        <w:jc w:val="both"/>
        <w:rPr>
          <w:rFonts w:ascii="Arial Narrow" w:hAnsi="Arial Narrow" w:cs="Times New Roman"/>
          <w:i/>
          <w:sz w:val="22"/>
          <w:szCs w:val="22"/>
        </w:rPr>
      </w:pPr>
      <w:r w:rsidRPr="006D1E4E">
        <w:rPr>
          <w:rFonts w:ascii="Arial Narrow" w:hAnsi="Arial Narrow" w:cs="Times New Roman"/>
          <w:i/>
          <w:sz w:val="22"/>
          <w:szCs w:val="22"/>
        </w:rPr>
        <w:t>Odpadové hospodárstvo</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630C4B" w:rsidP="00AE49BA">
            <w:pPr>
              <w:rPr>
                <w:rFonts w:ascii="Arial Narrow" w:hAnsi="Arial Narrow" w:cs="Arial"/>
                <w:bCs/>
                <w:sz w:val="20"/>
              </w:rPr>
            </w:pPr>
            <w:r w:rsidRPr="00630C4B">
              <w:rPr>
                <w:rFonts w:ascii="Arial Narrow" w:hAnsi="Arial Narrow" w:cs="Arial"/>
                <w:bCs/>
                <w:sz w:val="20"/>
              </w:rPr>
              <w:t>Zdroje smerujúce do odpadového hospodárstva</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14 438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12 770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19 917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44 263</w:t>
            </w:r>
          </w:p>
        </w:tc>
      </w:tr>
    </w:tbl>
    <w:p w:rsidR="00AE49BA" w:rsidRPr="006D1E4E" w:rsidP="00AE49BA">
      <w:pPr>
        <w:jc w:val="both"/>
        <w:rPr>
          <w:rFonts w:ascii="Arial Narrow" w:hAnsi="Arial Narrow" w:cs="Times New Roman"/>
          <w:sz w:val="22"/>
          <w:szCs w:val="22"/>
        </w:rPr>
      </w:pPr>
    </w:p>
    <w:p w:rsidR="00AE49BA" w:rsidRPr="00784658" w:rsidP="00AE49BA">
      <w:pPr>
        <w:ind w:firstLine="708"/>
        <w:jc w:val="both"/>
        <w:rPr>
          <w:rFonts w:ascii="Arial Narrow" w:hAnsi="Arial Narrow" w:cs="Times New Roman"/>
          <w:b/>
          <w:sz w:val="22"/>
          <w:szCs w:val="22"/>
        </w:rPr>
      </w:pPr>
      <w:r w:rsidRPr="006D1E4E">
        <w:rPr>
          <w:rFonts w:ascii="Arial Narrow" w:hAnsi="Arial Narrow" w:cs="Times New Roman"/>
          <w:sz w:val="22"/>
          <w:szCs w:val="22"/>
        </w:rPr>
        <w:t>Na odpadové hospodárstvo a environmentálne rizikové faktory sa v roku 2009 rozpočtujú prostriedky ES, ich spolufinancovanie zo ŠR, prostriedky Prechodného fondu a prostriedky Environmentálneho fondu v celkovej výške 44,3 mil. eur. Tieto prostriedky slúžia na dobudovanie infraštruktúry odpadového hospodárstva (</w:t>
      </w:r>
      <w:r w:rsidRPr="006D1E4E">
        <w:rPr>
          <w:rFonts w:ascii="Arial Narrow" w:hAnsi="Arial Narrow" w:cs="Times New Roman"/>
          <w:b/>
          <w:sz w:val="22"/>
          <w:szCs w:val="22"/>
        </w:rPr>
        <w:t>recyklácia odpadov</w:t>
      </w:r>
      <w:r w:rsidRPr="006D1E4E">
        <w:rPr>
          <w:rFonts w:ascii="Arial Narrow" w:hAnsi="Arial Narrow" w:cs="Times New Roman"/>
          <w:sz w:val="22"/>
          <w:szCs w:val="22"/>
        </w:rPr>
        <w:t xml:space="preserve">, uzatváranie a rekultivácia </w:t>
      </w:r>
      <w:r w:rsidRPr="006D1E4E">
        <w:rPr>
          <w:rFonts w:ascii="Arial Narrow" w:hAnsi="Arial Narrow" w:cs="Times New Roman"/>
          <w:b/>
          <w:sz w:val="22"/>
          <w:szCs w:val="22"/>
        </w:rPr>
        <w:t>skládok odpadov</w:t>
      </w:r>
      <w:r w:rsidRPr="006D1E4E">
        <w:rPr>
          <w:rFonts w:ascii="Arial Narrow" w:hAnsi="Arial Narrow" w:cs="Times New Roman"/>
          <w:sz w:val="22"/>
          <w:szCs w:val="22"/>
        </w:rPr>
        <w:t xml:space="preserve">) a elimináciu negatívnych vplyvov </w:t>
      </w:r>
      <w:r w:rsidRPr="00784658">
        <w:rPr>
          <w:rFonts w:ascii="Arial Narrow" w:hAnsi="Arial Narrow" w:cs="Times New Roman"/>
          <w:b/>
          <w:sz w:val="22"/>
          <w:szCs w:val="22"/>
        </w:rPr>
        <w:t>environmentálnych záťaží</w:t>
      </w:r>
      <w:r w:rsidRPr="00784658">
        <w:rPr>
          <w:rFonts w:ascii="Arial Narrow" w:hAnsi="Arial Narrow" w:cs="Times New Roman"/>
          <w:sz w:val="22"/>
          <w:szCs w:val="22"/>
        </w:rPr>
        <w:t>.</w:t>
      </w:r>
    </w:p>
    <w:p w:rsidR="00AE49BA" w:rsidRPr="00784658" w:rsidP="00AE49BA">
      <w:pPr>
        <w:jc w:val="both"/>
        <w:rPr>
          <w:rFonts w:ascii="Arial Narrow" w:hAnsi="Arial Narrow" w:cs="Times New Roman"/>
          <w:sz w:val="22"/>
          <w:szCs w:val="22"/>
        </w:rPr>
      </w:pPr>
    </w:p>
    <w:p w:rsidR="00AE49BA" w:rsidRPr="00784658" w:rsidP="00AE49BA">
      <w:pPr>
        <w:jc w:val="both"/>
        <w:rPr>
          <w:rFonts w:ascii="Arial Narrow" w:hAnsi="Arial Narrow" w:cs="Times New Roman"/>
          <w:i/>
          <w:sz w:val="22"/>
          <w:szCs w:val="22"/>
        </w:rPr>
      </w:pPr>
      <w:r w:rsidRPr="00784658">
        <w:rPr>
          <w:rFonts w:ascii="Arial Narrow" w:hAnsi="Arial Narrow" w:cs="Times New Roman"/>
          <w:i/>
          <w:sz w:val="22"/>
          <w:szCs w:val="22"/>
        </w:rPr>
        <w:t>Ochrana prírody a krajiny</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630C4B" w:rsidP="00AE49BA">
            <w:pPr>
              <w:rPr>
                <w:rFonts w:ascii="Arial Narrow" w:hAnsi="Arial Narrow" w:cs="Arial"/>
                <w:bCs/>
                <w:sz w:val="20"/>
              </w:rPr>
            </w:pPr>
            <w:r w:rsidRPr="00630C4B">
              <w:rPr>
                <w:rFonts w:ascii="Arial Narrow" w:hAnsi="Arial Narrow" w:cs="Arial"/>
                <w:bCs/>
                <w:sz w:val="20"/>
              </w:rPr>
              <w:t>Zdroje smerujúce do ochrany prírody</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10 470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7 317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12 110</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15 423</w:t>
            </w:r>
          </w:p>
        </w:tc>
      </w:tr>
    </w:tbl>
    <w:p w:rsidR="00AE49BA" w:rsidRPr="00784658" w:rsidP="00AE49BA">
      <w:pPr>
        <w:jc w:val="both"/>
        <w:rPr>
          <w:rFonts w:ascii="Arial Narrow" w:hAnsi="Arial Narrow" w:cs="Times New Roman"/>
          <w:sz w:val="22"/>
          <w:szCs w:val="22"/>
        </w:rPr>
      </w:pPr>
    </w:p>
    <w:p w:rsidR="00AE49BA" w:rsidRPr="00784658" w:rsidP="00AE49BA">
      <w:pPr>
        <w:ind w:firstLine="708"/>
        <w:jc w:val="both"/>
        <w:rPr>
          <w:rFonts w:ascii="Arial Narrow" w:hAnsi="Arial Narrow" w:cs="Times New Roman"/>
          <w:sz w:val="22"/>
          <w:szCs w:val="22"/>
        </w:rPr>
      </w:pPr>
      <w:r w:rsidRPr="00784658">
        <w:rPr>
          <w:rFonts w:ascii="Arial Narrow" w:hAnsi="Arial Narrow" w:cs="Times New Roman"/>
          <w:sz w:val="22"/>
          <w:szCs w:val="22"/>
        </w:rPr>
        <w:t>Na</w:t>
      </w:r>
      <w:r w:rsidRPr="00784658">
        <w:rPr>
          <w:rFonts w:ascii="Arial Narrow" w:hAnsi="Arial Narrow" w:cs="Times New Roman"/>
          <w:b/>
          <w:sz w:val="22"/>
          <w:szCs w:val="22"/>
        </w:rPr>
        <w:t xml:space="preserve"> </w:t>
      </w:r>
      <w:r w:rsidRPr="00784658">
        <w:rPr>
          <w:rFonts w:ascii="Arial Narrow" w:hAnsi="Arial Narrow" w:cs="Times New Roman"/>
          <w:sz w:val="22"/>
          <w:szCs w:val="22"/>
        </w:rPr>
        <w:t xml:space="preserve">ochranu prírody a krajiny sa v roku 2009 rozpočtujú vlastné prostriedky kapitoly, prostriedky EÚ, spolufinancovanie prostriedkov EÚ zo ŠR a prostriedky Environmentálneho fondu určené hlavne na </w:t>
      </w:r>
      <w:r w:rsidRPr="00784658">
        <w:rPr>
          <w:rFonts w:ascii="Arial Narrow" w:hAnsi="Arial Narrow" w:cs="Times New Roman"/>
          <w:b/>
          <w:sz w:val="22"/>
          <w:szCs w:val="22"/>
        </w:rPr>
        <w:t>dobudovanie infraštruktúry ochrany prírody</w:t>
      </w:r>
      <w:r w:rsidRPr="00784658">
        <w:rPr>
          <w:rFonts w:ascii="Arial Narrow" w:hAnsi="Arial Narrow" w:cs="Times New Roman"/>
          <w:sz w:val="22"/>
          <w:szCs w:val="22"/>
        </w:rPr>
        <w:t xml:space="preserve"> (sústava chránených území NATURA 2000) v celkovej výške 15,4 mil. eur.</w:t>
      </w:r>
    </w:p>
    <w:p w:rsidR="00AE49BA" w:rsidRPr="00784658" w:rsidP="00AE49BA">
      <w:pPr>
        <w:jc w:val="both"/>
        <w:rPr>
          <w:rFonts w:ascii="Arial Narrow" w:hAnsi="Arial Narrow" w:cs="Times New Roman"/>
          <w:sz w:val="22"/>
          <w:szCs w:val="22"/>
        </w:rPr>
      </w:pPr>
    </w:p>
    <w:p w:rsidR="00AE49BA" w:rsidRPr="00784658" w:rsidP="00AE49BA">
      <w:pPr>
        <w:jc w:val="both"/>
        <w:rPr>
          <w:rFonts w:ascii="Arial Narrow" w:hAnsi="Arial Narrow" w:cs="Times New Roman"/>
          <w:i/>
          <w:sz w:val="22"/>
          <w:szCs w:val="22"/>
        </w:rPr>
      </w:pPr>
      <w:r w:rsidRPr="00784658">
        <w:rPr>
          <w:rFonts w:ascii="Arial Narrow" w:hAnsi="Arial Narrow" w:cs="Times New Roman"/>
          <w:i/>
          <w:sz w:val="22"/>
          <w:szCs w:val="22"/>
        </w:rPr>
        <w:t xml:space="preserve">Inštitucionálna podpora </w:t>
      </w:r>
    </w:p>
    <w:p w:rsidR="00AE49BA" w:rsidP="00AE49BA">
      <w:pPr>
        <w:jc w:val="both"/>
        <w:rPr>
          <w:rFonts w:ascii="Arial Narrow" w:hAnsi="Arial Narrow" w:cs="Times New Roman"/>
          <w:sz w:val="22"/>
          <w:szCs w:val="22"/>
        </w:rPr>
      </w:pPr>
    </w:p>
    <w:tbl>
      <w:tblPr>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1125"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1125" w:type="dxa"/>
            <w:tcBorders>
              <w:top w:val="single" w:sz="8" w:space="0" w:color="auto"/>
              <w:left w:val="nil"/>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8" w:space="0" w:color="auto"/>
              <w:left w:val="nil"/>
              <w:bottom w:val="single" w:sz="4"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l2br w:val="nil"/>
              <w:tr2bl w:val="nil"/>
            </w:tcBorders>
            <w:textDirection w:val="lrTb"/>
            <w:vAlign w:val="bottom"/>
          </w:tcPr>
          <w:p w:rsidR="00AE49BA" w:rsidRPr="00630C4B" w:rsidP="00AE49BA">
            <w:pPr>
              <w:rPr>
                <w:rFonts w:ascii="Arial Narrow" w:hAnsi="Arial Narrow" w:cs="Arial"/>
                <w:bCs/>
                <w:sz w:val="20"/>
              </w:rPr>
            </w:pPr>
            <w:r w:rsidRPr="00630C4B">
              <w:rPr>
                <w:rFonts w:ascii="Arial Narrow" w:hAnsi="Arial Narrow" w:cs="Arial"/>
                <w:bCs/>
                <w:sz w:val="20"/>
              </w:rPr>
              <w:t>Zdroje smerujúce do administratívy</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92 143</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79 027</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66 648</w:t>
            </w:r>
          </w:p>
        </w:tc>
        <w:tc>
          <w:tcPr>
            <w:tcW w:w="1125" w:type="dxa"/>
            <w:tcBorders>
              <w:top w:val="nil"/>
              <w:left w:val="nil"/>
              <w:bottom w:val="single" w:sz="4" w:space="0" w:color="auto"/>
              <w:right w:val="single" w:sz="4" w:space="0" w:color="auto"/>
              <w:tl2br w:val="nil"/>
              <w:tr2bl w:val="nil"/>
            </w:tcBorders>
            <w:textDirection w:val="lrTb"/>
            <w:vAlign w:val="bottom"/>
          </w:tcPr>
          <w:p w:rsidR="00AE49BA" w:rsidRPr="00630C4B" w:rsidP="00AE49BA">
            <w:pPr>
              <w:jc w:val="right"/>
              <w:rPr>
                <w:rFonts w:ascii="Arial Narrow" w:hAnsi="Arial Narrow" w:cs="Arial"/>
                <w:sz w:val="20"/>
              </w:rPr>
            </w:pPr>
            <w:r w:rsidRPr="00630C4B">
              <w:rPr>
                <w:rFonts w:ascii="Arial Narrow" w:hAnsi="Arial Narrow" w:cs="Arial"/>
                <w:sz w:val="20"/>
              </w:rPr>
              <w:t>73 954</w:t>
            </w:r>
          </w:p>
        </w:tc>
      </w:tr>
    </w:tbl>
    <w:p w:rsidR="00AE49BA" w:rsidRPr="00784658" w:rsidP="00AE49BA">
      <w:pPr>
        <w:jc w:val="both"/>
        <w:rPr>
          <w:rFonts w:ascii="Arial Narrow" w:hAnsi="Arial Narrow" w:cs="Times New Roman"/>
          <w:sz w:val="22"/>
          <w:szCs w:val="22"/>
        </w:rPr>
      </w:pPr>
    </w:p>
    <w:p w:rsidR="00AE49BA" w:rsidRPr="00784658" w:rsidP="00AE49BA">
      <w:pPr>
        <w:ind w:firstLine="708"/>
        <w:jc w:val="both"/>
        <w:rPr>
          <w:rFonts w:ascii="Arial Narrow" w:hAnsi="Arial Narrow" w:cs="Times New Roman"/>
          <w:sz w:val="22"/>
          <w:szCs w:val="22"/>
        </w:rPr>
      </w:pPr>
      <w:r w:rsidRPr="00784658">
        <w:rPr>
          <w:rFonts w:ascii="Arial Narrow" w:hAnsi="Arial Narrow" w:cs="Times New Roman"/>
          <w:b/>
          <w:sz w:val="22"/>
          <w:szCs w:val="22"/>
        </w:rPr>
        <w:t>Na inštitucionálnu podporu</w:t>
      </w:r>
      <w:r w:rsidRPr="00784658">
        <w:rPr>
          <w:rFonts w:ascii="Arial Narrow" w:hAnsi="Arial Narrow" w:cs="Times New Roman"/>
          <w:sz w:val="22"/>
          <w:szCs w:val="22"/>
        </w:rPr>
        <w:t xml:space="preserve"> chránených oblastí je v roku 2009 vyčlenených 74,0 mil. eur, ktoré pokrývajú najmä činnosti vykonávané ústredným orgánom, S</w:t>
      </w:r>
      <w:r w:rsidRPr="00784658">
        <w:rPr>
          <w:rFonts w:ascii="Arial Narrow" w:hAnsi="Arial Narrow" w:cs="Times New Roman"/>
          <w:iCs/>
          <w:sz w:val="22"/>
          <w:szCs w:val="22"/>
        </w:rPr>
        <w:t>lovenskou inšpekciou životného prostredia, Slovenskou agentúrou životného prostredia, špecializovanou miestnou štátnou správou - úradmi životného prostredia a ďalšími rozpočtovými a príspevkovými organizáciami v pôsobnosti Ministerstva životného prostredia SR. Okrem týchto v</w:t>
      </w:r>
      <w:r w:rsidRPr="00784658">
        <w:rPr>
          <w:rFonts w:ascii="Arial Narrow" w:hAnsi="Arial Narrow" w:cs="Times New Roman"/>
          <w:sz w:val="22"/>
          <w:szCs w:val="22"/>
        </w:rPr>
        <w:t>ýdavkov na administratívu, teda chod rozpočtových a príspevkových organizácií, sem patria prostriedky určené na správu Environmentálneho fondu, prostriedky určené na výchovu, vzdelávanie, propagáciu, prieskum, výskum, vývoj, technická pomoc, Program obnovy dediny, prostriedky určené na plnenie medzinárodných zmlúv v súvislosti s výstavbou vodných diel Gabčíkovo – Nagymaros, oficiálna rozvojová pomoc, hospodárska mobilizácia a podpora územnej spolupráce.</w:t>
      </w:r>
    </w:p>
    <w:p w:rsidR="00AE49BA" w:rsidP="00AE49BA">
      <w:pPr>
        <w:jc w:val="both"/>
        <w:rPr>
          <w:rFonts w:ascii="Arial Narrow" w:hAnsi="Arial Narrow" w:cs="Times New Roman"/>
          <w:sz w:val="22"/>
        </w:rPr>
      </w:pPr>
    </w:p>
    <w:p w:rsidR="00AE49BA" w:rsidRPr="00CB6123" w:rsidP="00AE49BA">
      <w:pPr>
        <w:pBdr>
          <w:bottom w:val="single" w:sz="4" w:space="1" w:color="auto"/>
        </w:pBdr>
        <w:rPr>
          <w:rFonts w:ascii="Arial Narrow" w:hAnsi="Arial Narrow" w:cs="Arial Narrow"/>
          <w:b/>
          <w:sz w:val="22"/>
          <w:szCs w:val="22"/>
        </w:rPr>
      </w:pPr>
      <w:r w:rsidRPr="00CB6123">
        <w:rPr>
          <w:rFonts w:ascii="Arial Narrow" w:hAnsi="Arial Narrow" w:cs="Arial Narrow"/>
          <w:b/>
          <w:sz w:val="22"/>
          <w:szCs w:val="22"/>
        </w:rPr>
        <w:t>Financie a štátny dlh</w:t>
      </w:r>
    </w:p>
    <w:p w:rsidR="00AE49BA" w:rsidRPr="00F90138" w:rsidP="00AE49BA">
      <w:pPr>
        <w:jc w:val="both"/>
        <w:rPr>
          <w:rFonts w:ascii="Arial Narrow" w:hAnsi="Arial Narrow" w:cs="Arial Narrow"/>
          <w:sz w:val="22"/>
          <w:szCs w:val="22"/>
        </w:rPr>
      </w:pPr>
    </w:p>
    <w:p w:rsidR="00AE49BA" w:rsidRPr="00F90138" w:rsidP="00AE49BA">
      <w:pPr>
        <w:jc w:val="both"/>
        <w:rPr>
          <w:rFonts w:ascii="Arial Narrow" w:hAnsi="Arial Narrow" w:cs="Arial Narrow"/>
          <w:b/>
          <w:sz w:val="22"/>
          <w:szCs w:val="22"/>
        </w:rPr>
      </w:pPr>
      <w:r w:rsidRPr="00F90138">
        <w:rPr>
          <w:rFonts w:ascii="Arial Narrow" w:hAnsi="Arial Narrow" w:cs="Arial Narrow"/>
          <w:b/>
          <w:sz w:val="22"/>
          <w:szCs w:val="22"/>
        </w:rPr>
        <w:t>Financie</w:t>
      </w:r>
    </w:p>
    <w:p w:rsidR="00AE49BA" w:rsidRPr="00F90138" w:rsidP="00AE49BA">
      <w:pPr>
        <w:jc w:val="both"/>
        <w:rPr>
          <w:rFonts w:ascii="Arial Narrow" w:hAnsi="Arial Narrow" w:cs="Arial Narrow"/>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rPr>
                <w:rFonts w:ascii="Arial Narrow" w:hAnsi="Arial Narrow" w:cs="Arial"/>
                <w:b/>
                <w:bCs/>
                <w:sz w:val="20"/>
              </w:rPr>
            </w:pPr>
            <w:r w:rsidRPr="007A6189">
              <w:rPr>
                <w:rFonts w:ascii="Arial Narrow" w:hAnsi="Arial Narrow" w:cs="Arial"/>
                <w:b/>
                <w:bCs/>
                <w:sz w:val="20"/>
              </w:rPr>
              <w:t>Zdroje oblasti financie spolu, z toho:</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358 350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469 103</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534 111</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588 459</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Rozpočtové zdroje (ŠR)</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320 654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327 948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301 152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308 791</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Európske zdroje, II. programovacie obdobie</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29 844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119 840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197 997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237 712</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Spolufinancovanie zo ŠR</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6 864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21 148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34 941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41 949</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PF, Budovanie Schengenských hraníc, FM EHP a NFM</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988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167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7</w:t>
            </w:r>
          </w:p>
        </w:tc>
      </w:tr>
    </w:tbl>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Arial Narrow"/>
          <w:sz w:val="22"/>
          <w:szCs w:val="22"/>
        </w:rPr>
      </w:pPr>
      <w:r w:rsidRPr="00F90138">
        <w:rPr>
          <w:rFonts w:ascii="Arial Narrow" w:hAnsi="Arial Narrow" w:cs="Arial Narrow"/>
          <w:sz w:val="22"/>
          <w:szCs w:val="22"/>
        </w:rPr>
        <w:t xml:space="preserve">Výdavky </w:t>
      </w:r>
      <w:r>
        <w:rPr>
          <w:rFonts w:ascii="Arial Narrow" w:hAnsi="Arial Narrow" w:cs="Arial Narrow"/>
          <w:sz w:val="22"/>
          <w:szCs w:val="22"/>
        </w:rPr>
        <w:t>rozpočtované</w:t>
      </w:r>
      <w:r w:rsidRPr="00F90138">
        <w:rPr>
          <w:rFonts w:ascii="Arial Narrow" w:hAnsi="Arial Narrow" w:cs="Arial Narrow"/>
          <w:sz w:val="22"/>
          <w:szCs w:val="22"/>
        </w:rPr>
        <w:t xml:space="preserve"> pre oblasť financie na rok</w:t>
      </w:r>
      <w:r>
        <w:rPr>
          <w:rFonts w:ascii="Arial Narrow" w:hAnsi="Arial Narrow" w:cs="Arial Narrow"/>
          <w:sz w:val="22"/>
          <w:szCs w:val="22"/>
        </w:rPr>
        <w:t xml:space="preserve"> 2009 predstavujú 469 mil. eur, ktorými sa zabezpečuje predovšetkým výber daní a ciel. Významnou súčasťou sú taktiež výdavky 2. programového obdobia s príslušným spolufinancovaním zo štátneho rozpočtu.</w:t>
      </w:r>
    </w:p>
    <w:p w:rsidR="00AE49BA" w:rsidP="00AE49BA">
      <w:pPr>
        <w:jc w:val="both"/>
        <w:rPr>
          <w:rFonts w:ascii="Arial Narrow" w:hAnsi="Arial Narrow" w:cs="Arial Narrow"/>
          <w:b/>
          <w:bCs/>
          <w:sz w:val="22"/>
          <w:szCs w:val="22"/>
        </w:rPr>
      </w:pPr>
    </w:p>
    <w:p w:rsidR="00AE49BA" w:rsidRPr="00F90138" w:rsidP="00AE49BA">
      <w:pPr>
        <w:jc w:val="both"/>
        <w:rPr>
          <w:rFonts w:ascii="Arial Narrow" w:hAnsi="Arial Narrow" w:cs="Arial Narrow"/>
          <w:bCs/>
          <w:i/>
          <w:sz w:val="22"/>
          <w:szCs w:val="22"/>
        </w:rPr>
      </w:pPr>
      <w:r w:rsidRPr="00F90138">
        <w:rPr>
          <w:rFonts w:ascii="Arial Narrow" w:hAnsi="Arial Narrow" w:cs="Arial Narrow"/>
          <w:bCs/>
          <w:i/>
          <w:sz w:val="22"/>
          <w:szCs w:val="22"/>
        </w:rPr>
        <w:t>Výber daní</w:t>
      </w:r>
      <w:r>
        <w:rPr>
          <w:rFonts w:ascii="Arial Narrow" w:hAnsi="Arial Narrow" w:cs="Arial Narrow"/>
          <w:bCs/>
          <w:i/>
          <w:sz w:val="22"/>
          <w:szCs w:val="22"/>
        </w:rPr>
        <w:t xml:space="preserve"> v správe daňových orgánov</w:t>
      </w:r>
    </w:p>
    <w:p w:rsidR="00AE49BA" w:rsidP="00AE49BA">
      <w:pPr>
        <w:jc w:val="both"/>
        <w:rPr>
          <w:rFonts w:ascii="Arial Narrow" w:hAnsi="Arial Narrow" w:cs="Arial Narrow"/>
          <w:b/>
          <w:bCs/>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Výdavky na výber daní</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103 412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106 743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102 668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106 840</w:t>
            </w:r>
          </w:p>
        </w:tc>
      </w:tr>
    </w:tbl>
    <w:p w:rsidR="00AE49BA" w:rsidP="00AE49BA">
      <w:pPr>
        <w:ind w:firstLine="708"/>
        <w:jc w:val="both"/>
        <w:rPr>
          <w:rFonts w:ascii="Arial Narrow" w:hAnsi="Arial Narrow" w:cs="Arial Narrow"/>
          <w:sz w:val="22"/>
          <w:szCs w:val="22"/>
        </w:rPr>
      </w:pPr>
      <w:r w:rsidRPr="00B57DB6">
        <w:rPr>
          <w:rFonts w:ascii="Arial Narrow" w:hAnsi="Arial Narrow" w:cs="Arial Narrow"/>
          <w:sz w:val="22"/>
          <w:szCs w:val="22"/>
        </w:rPr>
        <w:t>Výber daní</w:t>
      </w:r>
      <w:r w:rsidRPr="00B57DB6">
        <w:rPr>
          <w:rFonts w:ascii="Arial Narrow" w:hAnsi="Arial Narrow" w:cs="Arial Narrow"/>
          <w:b/>
          <w:bCs/>
          <w:sz w:val="22"/>
          <w:szCs w:val="22"/>
        </w:rPr>
        <w:t xml:space="preserve"> </w:t>
      </w:r>
      <w:r w:rsidRPr="00B57DB6">
        <w:rPr>
          <w:rFonts w:ascii="Arial Narrow" w:hAnsi="Arial Narrow" w:cs="Arial Narrow"/>
          <w:sz w:val="22"/>
          <w:szCs w:val="22"/>
        </w:rPr>
        <w:t xml:space="preserve">gestoruje Daňové riaditeľstvo SR </w:t>
      </w:r>
      <w:r>
        <w:rPr>
          <w:rFonts w:ascii="Arial Narrow" w:hAnsi="Arial Narrow" w:cs="Arial Narrow"/>
          <w:sz w:val="22"/>
          <w:szCs w:val="22"/>
        </w:rPr>
        <w:t>a</w:t>
      </w:r>
      <w:r w:rsidRPr="00B57DB6">
        <w:rPr>
          <w:rFonts w:ascii="Arial Narrow" w:hAnsi="Arial Narrow" w:cs="Arial Narrow"/>
          <w:sz w:val="22"/>
          <w:szCs w:val="22"/>
        </w:rPr>
        <w:t xml:space="preserve"> </w:t>
      </w:r>
      <w:r>
        <w:rPr>
          <w:rFonts w:ascii="Arial Narrow" w:hAnsi="Arial Narrow" w:cs="Arial Narrow"/>
          <w:sz w:val="22"/>
          <w:szCs w:val="22"/>
        </w:rPr>
        <w:t xml:space="preserve">daňové úrady. </w:t>
      </w:r>
      <w:r w:rsidRPr="000758A8">
        <w:rPr>
          <w:rFonts w:ascii="Arial Narrow" w:hAnsi="Arial Narrow" w:cs="Arial Narrow"/>
          <w:b/>
          <w:sz w:val="22"/>
          <w:szCs w:val="22"/>
        </w:rPr>
        <w:t xml:space="preserve">Na  úlohy daňovej správy sú rozpočtované výdavky v celkovej sume </w:t>
      </w:r>
      <w:r>
        <w:rPr>
          <w:rFonts w:ascii="Arial Narrow" w:hAnsi="Arial Narrow" w:cs="Arial Narrow"/>
          <w:b/>
          <w:bCs/>
          <w:sz w:val="22"/>
          <w:szCs w:val="22"/>
        </w:rPr>
        <w:t>107 mil. eur</w:t>
      </w:r>
      <w:r w:rsidRPr="000758A8">
        <w:rPr>
          <w:rFonts w:ascii="Arial Narrow" w:hAnsi="Arial Narrow" w:cs="Arial Narrow"/>
          <w:b/>
          <w:sz w:val="22"/>
          <w:szCs w:val="22"/>
        </w:rPr>
        <w:t>,</w:t>
      </w:r>
      <w:r>
        <w:rPr>
          <w:rFonts w:ascii="Arial Narrow" w:hAnsi="Arial Narrow" w:cs="Arial Narrow"/>
          <w:sz w:val="22"/>
          <w:szCs w:val="22"/>
        </w:rPr>
        <w:t xml:space="preserve"> čo je v porovnaní s rokom 2006 pokles o 2 % a v porovnaní s rokom 2008 nárast o 3 %.</w:t>
      </w:r>
      <w:r w:rsidRPr="006D0B25">
        <w:rPr>
          <w:rFonts w:ascii="Arial Narrow" w:hAnsi="Arial Narrow" w:cs="Arial Narrow"/>
          <w:sz w:val="22"/>
          <w:szCs w:val="22"/>
        </w:rPr>
        <w:t xml:space="preserve"> </w:t>
      </w:r>
      <w:r w:rsidRPr="00B46D1E">
        <w:rPr>
          <w:rFonts w:ascii="Arial Narrow" w:hAnsi="Arial Narrow" w:cs="ArialMT"/>
          <w:sz w:val="22"/>
          <w:szCs w:val="22"/>
        </w:rPr>
        <w:t>Hlavným poslaním Daňovej správy Slovenskej republiky je efektívny výbe</w:t>
      </w:r>
      <w:r>
        <w:rPr>
          <w:rFonts w:ascii="Arial Narrow" w:hAnsi="Arial Narrow" w:cs="ArialMT"/>
          <w:sz w:val="22"/>
          <w:szCs w:val="22"/>
        </w:rPr>
        <w:t xml:space="preserve">r a správa daní, ako aj ochrana </w:t>
      </w:r>
      <w:r w:rsidRPr="00B46D1E">
        <w:rPr>
          <w:rFonts w:ascii="Arial Narrow" w:hAnsi="Arial Narrow" w:cs="ArialMT"/>
          <w:sz w:val="22"/>
          <w:szCs w:val="22"/>
        </w:rPr>
        <w:t>ekonomických</w:t>
      </w:r>
      <w:r>
        <w:rPr>
          <w:rFonts w:ascii="Arial Narrow" w:hAnsi="Arial Narrow" w:cs="ArialMT"/>
          <w:sz w:val="22"/>
          <w:szCs w:val="22"/>
        </w:rPr>
        <w:t xml:space="preserve"> </w:t>
      </w:r>
      <w:r w:rsidRPr="00B46D1E">
        <w:rPr>
          <w:rFonts w:ascii="Arial Narrow" w:hAnsi="Arial Narrow" w:cs="ArialMT"/>
          <w:sz w:val="22"/>
          <w:szCs w:val="22"/>
        </w:rPr>
        <w:t>záujmov štátu.</w:t>
      </w:r>
      <w:r>
        <w:rPr>
          <w:rFonts w:ascii="Arial Narrow" w:hAnsi="Arial Narrow" w:cs="ArialMT"/>
          <w:sz w:val="22"/>
          <w:szCs w:val="22"/>
        </w:rPr>
        <w:t xml:space="preserve"> </w:t>
      </w:r>
      <w:r w:rsidRPr="00B46D1E">
        <w:rPr>
          <w:rFonts w:ascii="Arial Narrow" w:hAnsi="Arial Narrow" w:cs="ArialMT"/>
          <w:sz w:val="22"/>
          <w:szCs w:val="22"/>
        </w:rPr>
        <w:t>Daňová správa Slovenskej republiky plní úlohy stanovené štátnym rozpoč</w:t>
      </w:r>
      <w:r>
        <w:rPr>
          <w:rFonts w:ascii="Arial Narrow" w:hAnsi="Arial Narrow" w:cs="ArialMT"/>
          <w:sz w:val="22"/>
          <w:szCs w:val="22"/>
        </w:rPr>
        <w:t xml:space="preserve">tom a </w:t>
      </w:r>
      <w:r w:rsidRPr="00B46D1E">
        <w:rPr>
          <w:rFonts w:ascii="Arial Narrow" w:hAnsi="Arial Narrow" w:cs="ArialMT"/>
          <w:sz w:val="22"/>
          <w:szCs w:val="22"/>
        </w:rPr>
        <w:t>zároveň odzrkadľuje strednodobé ciele</w:t>
      </w:r>
      <w:r>
        <w:rPr>
          <w:rFonts w:ascii="Arial Narrow" w:hAnsi="Arial Narrow" w:cs="ArialMT"/>
          <w:sz w:val="22"/>
          <w:szCs w:val="22"/>
        </w:rPr>
        <w:t xml:space="preserve"> </w:t>
      </w:r>
      <w:r w:rsidRPr="00B46D1E">
        <w:rPr>
          <w:rFonts w:ascii="Arial Narrow" w:hAnsi="Arial Narrow" w:cs="ArialMT"/>
          <w:sz w:val="22"/>
          <w:szCs w:val="22"/>
        </w:rPr>
        <w:t>hospodárskej politiky Slovenskej republiky a Európskej únie</w:t>
      </w:r>
    </w:p>
    <w:p w:rsidR="00AE49BA" w:rsidP="00AE49BA">
      <w:pPr>
        <w:jc w:val="both"/>
        <w:rPr>
          <w:rFonts w:ascii="Arial Narrow" w:hAnsi="Arial Narrow" w:cs="Arial Narrow"/>
          <w:sz w:val="22"/>
          <w:szCs w:val="22"/>
        </w:rPr>
      </w:pPr>
    </w:p>
    <w:p w:rsidR="00AE49BA" w:rsidRPr="00F90138" w:rsidP="00AE49BA">
      <w:pPr>
        <w:jc w:val="both"/>
        <w:rPr>
          <w:rFonts w:ascii="Arial Narrow" w:hAnsi="Arial Narrow" w:cs="Arial Narrow"/>
          <w:i/>
          <w:sz w:val="22"/>
          <w:szCs w:val="22"/>
        </w:rPr>
      </w:pPr>
      <w:r w:rsidRPr="00F90138">
        <w:rPr>
          <w:rFonts w:ascii="Arial Narrow" w:hAnsi="Arial Narrow" w:cs="Arial Narrow"/>
          <w:i/>
          <w:sz w:val="22"/>
          <w:szCs w:val="22"/>
        </w:rPr>
        <w:t>Výber ciel a daní v správe colných úradov</w:t>
      </w:r>
    </w:p>
    <w:p w:rsidR="00AE49BA" w:rsidP="00AE49BA">
      <w:pPr>
        <w:jc w:val="both"/>
        <w:rPr>
          <w:rFonts w:ascii="Arial Narrow" w:hAnsi="Arial Narrow" w:cs="Arial Narrow"/>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Výdavky na výber ciel a daní v správe colných úradov</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97 385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97 384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94 452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96 331</w:t>
            </w:r>
          </w:p>
        </w:tc>
      </w:tr>
    </w:tbl>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Arial Narrow"/>
          <w:sz w:val="22"/>
          <w:szCs w:val="22"/>
        </w:rPr>
      </w:pPr>
      <w:r w:rsidRPr="000758A8">
        <w:rPr>
          <w:rFonts w:ascii="Arial Narrow" w:hAnsi="Arial Narrow" w:cs="Arial Narrow"/>
          <w:b/>
          <w:sz w:val="22"/>
          <w:szCs w:val="22"/>
        </w:rPr>
        <w:t>Na</w:t>
      </w:r>
      <w:r w:rsidRPr="000758A8">
        <w:rPr>
          <w:rFonts w:ascii="Arial Narrow" w:hAnsi="Arial Narrow" w:cs="Arial Narrow"/>
          <w:b/>
          <w:bCs/>
          <w:sz w:val="22"/>
          <w:szCs w:val="22"/>
        </w:rPr>
        <w:t xml:space="preserve"> </w:t>
      </w:r>
      <w:r w:rsidRPr="000758A8">
        <w:rPr>
          <w:rFonts w:ascii="Arial Narrow" w:hAnsi="Arial Narrow" w:cs="Arial Narrow"/>
          <w:b/>
          <w:sz w:val="22"/>
          <w:szCs w:val="22"/>
        </w:rPr>
        <w:t xml:space="preserve">výber ciel a daní </w:t>
      </w:r>
      <w:r>
        <w:rPr>
          <w:rFonts w:ascii="Arial Narrow" w:hAnsi="Arial Narrow" w:cs="Arial Narrow"/>
          <w:b/>
          <w:sz w:val="22"/>
          <w:szCs w:val="22"/>
        </w:rPr>
        <w:t xml:space="preserve">v </w:t>
      </w:r>
      <w:r w:rsidRPr="000758A8">
        <w:rPr>
          <w:rFonts w:ascii="Arial Narrow" w:hAnsi="Arial Narrow" w:cs="Arial Narrow"/>
          <w:b/>
          <w:sz w:val="22"/>
          <w:szCs w:val="22"/>
        </w:rPr>
        <w:t>správe colných úradov</w:t>
      </w:r>
      <w:r>
        <w:rPr>
          <w:rFonts w:ascii="Arial Narrow" w:hAnsi="Arial Narrow" w:cs="Arial Narrow"/>
          <w:sz w:val="22"/>
          <w:szCs w:val="22"/>
        </w:rPr>
        <w:t xml:space="preserve">, ktoré gestoruje Colné riaditeľstvo a colné úrady, </w:t>
      </w:r>
      <w:r w:rsidRPr="000758A8">
        <w:rPr>
          <w:rFonts w:ascii="Arial Narrow" w:hAnsi="Arial Narrow" w:cs="Arial Narrow"/>
          <w:b/>
          <w:sz w:val="22"/>
          <w:szCs w:val="22"/>
        </w:rPr>
        <w:t xml:space="preserve">sú  rozpočtované výdavky v sume </w:t>
      </w:r>
      <w:r>
        <w:rPr>
          <w:rFonts w:ascii="Arial Narrow" w:hAnsi="Arial Narrow" w:cs="Arial Narrow"/>
          <w:b/>
          <w:bCs/>
          <w:sz w:val="22"/>
          <w:szCs w:val="22"/>
        </w:rPr>
        <w:t>97,4</w:t>
      </w:r>
      <w:r w:rsidRPr="000758A8">
        <w:rPr>
          <w:rFonts w:ascii="Arial Narrow" w:hAnsi="Arial Narrow" w:cs="Arial Narrow"/>
          <w:b/>
          <w:bCs/>
          <w:sz w:val="22"/>
          <w:szCs w:val="22"/>
        </w:rPr>
        <w:t xml:space="preserve"> m</w:t>
      </w:r>
      <w:r>
        <w:rPr>
          <w:rFonts w:ascii="Arial Narrow" w:hAnsi="Arial Narrow" w:cs="Arial Narrow"/>
          <w:b/>
          <w:bCs/>
          <w:sz w:val="22"/>
          <w:szCs w:val="22"/>
        </w:rPr>
        <w:t>il</w:t>
      </w:r>
      <w:r w:rsidRPr="000758A8">
        <w:rPr>
          <w:rFonts w:ascii="Arial Narrow" w:hAnsi="Arial Narrow" w:cs="Arial Narrow"/>
          <w:b/>
          <w:bCs/>
          <w:sz w:val="22"/>
          <w:szCs w:val="22"/>
        </w:rPr>
        <w:t xml:space="preserve">. </w:t>
      </w:r>
      <w:r>
        <w:rPr>
          <w:rFonts w:ascii="Arial Narrow" w:hAnsi="Arial Narrow" w:cs="Arial Narrow"/>
          <w:b/>
          <w:bCs/>
          <w:sz w:val="22"/>
          <w:szCs w:val="22"/>
        </w:rPr>
        <w:t>eur</w:t>
      </w:r>
      <w:r>
        <w:rPr>
          <w:rFonts w:ascii="Arial Narrow" w:hAnsi="Arial Narrow" w:cs="Arial Narrow"/>
          <w:sz w:val="22"/>
          <w:szCs w:val="22"/>
        </w:rPr>
        <w:t>,</w:t>
      </w:r>
      <w:r w:rsidRPr="00A75100">
        <w:rPr>
          <w:rFonts w:ascii="Arial Narrow" w:hAnsi="Arial Narrow" w:cs="Arial Narrow"/>
          <w:sz w:val="22"/>
          <w:szCs w:val="22"/>
        </w:rPr>
        <w:t xml:space="preserve"> </w:t>
      </w:r>
      <w:r>
        <w:rPr>
          <w:rFonts w:ascii="Arial Narrow" w:hAnsi="Arial Narrow" w:cs="Arial Narrow"/>
          <w:sz w:val="22"/>
          <w:szCs w:val="22"/>
        </w:rPr>
        <w:t xml:space="preserve">čo je v porovnaní s rokom 2006 rast o 11 % a rovnaká úroveň v porovnaní s rokom 2008. Z uvedených výdavkov je určených na výkon funkcií colnej správy </w:t>
      </w:r>
      <w:r>
        <w:rPr>
          <w:rFonts w:ascii="Arial Narrow" w:hAnsi="Arial Narrow" w:cs="Arial Narrow"/>
          <w:b/>
          <w:bCs/>
          <w:sz w:val="22"/>
          <w:szCs w:val="22"/>
        </w:rPr>
        <w:t xml:space="preserve">93,3 </w:t>
      </w:r>
      <w:r w:rsidRPr="000758A8">
        <w:rPr>
          <w:rFonts w:ascii="Arial Narrow" w:hAnsi="Arial Narrow" w:cs="Arial Narrow"/>
          <w:b/>
          <w:bCs/>
          <w:sz w:val="22"/>
          <w:szCs w:val="22"/>
        </w:rPr>
        <w:t>m</w:t>
      </w:r>
      <w:r>
        <w:rPr>
          <w:rFonts w:ascii="Arial Narrow" w:hAnsi="Arial Narrow" w:cs="Arial Narrow"/>
          <w:b/>
          <w:bCs/>
          <w:sz w:val="22"/>
          <w:szCs w:val="22"/>
        </w:rPr>
        <w:t>il</w:t>
      </w:r>
      <w:r w:rsidRPr="000758A8">
        <w:rPr>
          <w:rFonts w:ascii="Arial Narrow" w:hAnsi="Arial Narrow" w:cs="Arial Narrow"/>
          <w:b/>
          <w:bCs/>
          <w:sz w:val="22"/>
          <w:szCs w:val="22"/>
        </w:rPr>
        <w:t xml:space="preserve">. </w:t>
      </w:r>
      <w:r>
        <w:rPr>
          <w:rFonts w:ascii="Arial Narrow" w:hAnsi="Arial Narrow" w:cs="Arial Narrow"/>
          <w:b/>
          <w:bCs/>
          <w:sz w:val="22"/>
          <w:szCs w:val="22"/>
        </w:rPr>
        <w:t>eur</w:t>
      </w:r>
      <w:r>
        <w:rPr>
          <w:rFonts w:ascii="Arial Narrow" w:hAnsi="Arial Narrow" w:cs="Arial Narrow"/>
          <w:sz w:val="22"/>
          <w:szCs w:val="22"/>
        </w:rPr>
        <w:t xml:space="preserve"> a na Colný informačný systém</w:t>
      </w:r>
      <w:r>
        <w:rPr>
          <w:rFonts w:ascii="Arial Narrow" w:hAnsi="Arial Narrow" w:cs="Arial Narrow"/>
          <w:b/>
          <w:bCs/>
          <w:i/>
          <w:iCs/>
          <w:sz w:val="22"/>
          <w:szCs w:val="22"/>
        </w:rPr>
        <w:t xml:space="preserve"> </w:t>
      </w:r>
      <w:r>
        <w:rPr>
          <w:rFonts w:ascii="Arial Narrow" w:hAnsi="Arial Narrow" w:cs="Arial Narrow"/>
          <w:b/>
          <w:bCs/>
          <w:sz w:val="22"/>
          <w:szCs w:val="22"/>
        </w:rPr>
        <w:t xml:space="preserve">4,12 </w:t>
      </w:r>
      <w:r w:rsidRPr="000758A8">
        <w:rPr>
          <w:rFonts w:ascii="Arial Narrow" w:hAnsi="Arial Narrow" w:cs="Arial Narrow"/>
          <w:b/>
          <w:bCs/>
          <w:sz w:val="22"/>
          <w:szCs w:val="22"/>
        </w:rPr>
        <w:t>m</w:t>
      </w:r>
      <w:r>
        <w:rPr>
          <w:rFonts w:ascii="Arial Narrow" w:hAnsi="Arial Narrow" w:cs="Arial Narrow"/>
          <w:b/>
          <w:bCs/>
          <w:sz w:val="22"/>
          <w:szCs w:val="22"/>
        </w:rPr>
        <w:t>il</w:t>
      </w:r>
      <w:r w:rsidRPr="000758A8">
        <w:rPr>
          <w:rFonts w:ascii="Arial Narrow" w:hAnsi="Arial Narrow" w:cs="Arial Narrow"/>
          <w:b/>
          <w:bCs/>
          <w:sz w:val="22"/>
          <w:szCs w:val="22"/>
        </w:rPr>
        <w:t xml:space="preserve">. </w:t>
      </w:r>
      <w:r>
        <w:rPr>
          <w:rFonts w:ascii="Arial Narrow" w:hAnsi="Arial Narrow" w:cs="Arial Narrow"/>
          <w:b/>
          <w:bCs/>
          <w:sz w:val="22"/>
          <w:szCs w:val="22"/>
        </w:rPr>
        <w:t>eur</w:t>
      </w:r>
      <w:r>
        <w:rPr>
          <w:rFonts w:ascii="Arial Narrow" w:hAnsi="Arial Narrow" w:cs="Arial Narrow"/>
          <w:sz w:val="22"/>
          <w:szCs w:val="22"/>
        </w:rPr>
        <w:t xml:space="preserve">. </w:t>
      </w:r>
      <w:r w:rsidRPr="00B46D1E">
        <w:rPr>
          <w:rFonts w:ascii="Arial Narrow" w:hAnsi="Arial Narrow" w:cs="ArialMT"/>
          <w:sz w:val="22"/>
          <w:szCs w:val="22"/>
        </w:rPr>
        <w:t xml:space="preserve">Poslaním </w:t>
      </w:r>
      <w:r>
        <w:rPr>
          <w:rFonts w:ascii="Arial Narrow" w:hAnsi="Arial Narrow" w:cs="ArialMT"/>
          <w:sz w:val="22"/>
          <w:szCs w:val="22"/>
        </w:rPr>
        <w:t xml:space="preserve">colnej správy </w:t>
      </w:r>
      <w:r w:rsidRPr="00B46D1E">
        <w:rPr>
          <w:rFonts w:ascii="Arial Narrow" w:hAnsi="Arial Narrow" w:cs="ArialMT"/>
          <w:sz w:val="22"/>
          <w:szCs w:val="22"/>
        </w:rPr>
        <w:t>je ochrana ekonomických záujmov štátu, napĺňanie príjmovej časti a ochrana výdavkovej č</w:t>
      </w:r>
      <w:r>
        <w:rPr>
          <w:rFonts w:ascii="Arial Narrow" w:hAnsi="Arial Narrow" w:cs="ArialMT"/>
          <w:sz w:val="22"/>
          <w:szCs w:val="22"/>
        </w:rPr>
        <w:t xml:space="preserve">asti </w:t>
      </w:r>
      <w:r w:rsidRPr="00B46D1E">
        <w:rPr>
          <w:rFonts w:ascii="Arial Narrow" w:hAnsi="Arial Narrow" w:cs="ArialMT"/>
          <w:sz w:val="22"/>
          <w:szCs w:val="22"/>
        </w:rPr>
        <w:t>štátneho</w:t>
      </w:r>
      <w:r>
        <w:rPr>
          <w:rFonts w:ascii="Arial Narrow" w:hAnsi="Arial Narrow" w:cs="ArialMT"/>
          <w:sz w:val="22"/>
          <w:szCs w:val="22"/>
        </w:rPr>
        <w:t xml:space="preserve"> </w:t>
      </w:r>
      <w:r w:rsidRPr="00B46D1E">
        <w:rPr>
          <w:rFonts w:ascii="Arial Narrow" w:hAnsi="Arial Narrow" w:cs="ArialMT"/>
          <w:sz w:val="22"/>
          <w:szCs w:val="22"/>
        </w:rPr>
        <w:t>rozpoč</w:t>
      </w:r>
      <w:r>
        <w:rPr>
          <w:rFonts w:ascii="Arial Narrow" w:hAnsi="Arial Narrow" w:cs="ArialMT"/>
          <w:sz w:val="22"/>
          <w:szCs w:val="22"/>
        </w:rPr>
        <w:t>tu SR</w:t>
      </w:r>
      <w:r w:rsidRPr="00B46D1E">
        <w:rPr>
          <w:rFonts w:ascii="Arial Narrow" w:hAnsi="Arial Narrow" w:cs="ArialMT"/>
          <w:sz w:val="22"/>
          <w:szCs w:val="22"/>
        </w:rPr>
        <w:t xml:space="preserve"> a rozpoč</w:t>
      </w:r>
      <w:r>
        <w:rPr>
          <w:rFonts w:ascii="Arial Narrow" w:hAnsi="Arial Narrow" w:cs="ArialMT"/>
          <w:sz w:val="22"/>
          <w:szCs w:val="22"/>
        </w:rPr>
        <w:t>tu Európskej únie</w:t>
      </w:r>
      <w:r w:rsidRPr="00B46D1E">
        <w:rPr>
          <w:rFonts w:ascii="Arial Narrow" w:hAnsi="Arial Narrow" w:cs="ArialMT"/>
          <w:sz w:val="22"/>
          <w:szCs w:val="22"/>
        </w:rPr>
        <w:t>, zamedzenie porušovaniu colných a</w:t>
      </w:r>
      <w:r>
        <w:rPr>
          <w:rFonts w:ascii="Arial Narrow" w:hAnsi="Arial Narrow" w:cs="ArialMT"/>
          <w:sz w:val="22"/>
          <w:szCs w:val="22"/>
        </w:rPr>
        <w:t> </w:t>
      </w:r>
      <w:r w:rsidRPr="00B46D1E">
        <w:rPr>
          <w:rFonts w:ascii="Arial Narrow" w:hAnsi="Arial Narrow" w:cs="ArialMT"/>
          <w:sz w:val="22"/>
          <w:szCs w:val="22"/>
        </w:rPr>
        <w:t>daňových</w:t>
      </w:r>
      <w:r>
        <w:rPr>
          <w:rFonts w:ascii="Arial Narrow" w:hAnsi="Arial Narrow" w:cs="ArialMT"/>
          <w:sz w:val="22"/>
          <w:szCs w:val="22"/>
        </w:rPr>
        <w:t xml:space="preserve"> </w:t>
      </w:r>
      <w:r w:rsidRPr="00B46D1E">
        <w:rPr>
          <w:rFonts w:ascii="Arial Narrow" w:hAnsi="Arial Narrow" w:cs="ArialMT"/>
          <w:sz w:val="22"/>
          <w:szCs w:val="22"/>
        </w:rPr>
        <w:t xml:space="preserve">predpisov a správa spotrebných daní. </w:t>
      </w:r>
      <w:r>
        <w:rPr>
          <w:rFonts w:ascii="Arial Narrow" w:hAnsi="Arial Narrow" w:cs="ArialMT"/>
          <w:sz w:val="22"/>
          <w:szCs w:val="22"/>
        </w:rPr>
        <w:t xml:space="preserve">Colná správa </w:t>
      </w:r>
      <w:r w:rsidRPr="00B46D1E">
        <w:rPr>
          <w:rFonts w:ascii="Arial Narrow" w:hAnsi="Arial Narrow" w:cs="ArialMT"/>
          <w:sz w:val="22"/>
          <w:szCs w:val="22"/>
        </w:rPr>
        <w:t>vykonáva predovšetkým dohľad nad dodržiavaním zákonov, osobitných predpisov,</w:t>
      </w:r>
      <w:r>
        <w:rPr>
          <w:rFonts w:ascii="Arial Narrow" w:hAnsi="Arial Narrow" w:cs="ArialMT"/>
          <w:sz w:val="22"/>
          <w:szCs w:val="22"/>
        </w:rPr>
        <w:t xml:space="preserve"> </w:t>
      </w:r>
      <w:r w:rsidRPr="00B46D1E">
        <w:rPr>
          <w:rFonts w:ascii="Arial Narrow" w:hAnsi="Arial Narrow" w:cs="ArialMT"/>
          <w:sz w:val="22"/>
          <w:szCs w:val="22"/>
        </w:rPr>
        <w:t>iných všeobecne záväzných právnych predpisov a medzinárodných zmlúv, ktorými zabezpečuje realizáciu obchodnej politiky,</w:t>
      </w:r>
      <w:r>
        <w:rPr>
          <w:rFonts w:ascii="Arial Narrow" w:hAnsi="Arial Narrow" w:cs="ArialMT"/>
          <w:sz w:val="22"/>
          <w:szCs w:val="22"/>
        </w:rPr>
        <w:t xml:space="preserve"> </w:t>
      </w:r>
      <w:r w:rsidRPr="00B46D1E">
        <w:rPr>
          <w:rFonts w:ascii="Arial Narrow" w:hAnsi="Arial Narrow" w:cs="ArialMT"/>
          <w:sz w:val="22"/>
          <w:szCs w:val="22"/>
        </w:rPr>
        <w:t>finančnej politiky a poľnohospodárskej politiky pri obehu tovaru v styku s tretími štátmi a na vnútornom trhu a robí opatrenia na</w:t>
      </w:r>
      <w:r>
        <w:rPr>
          <w:rFonts w:ascii="Arial Narrow" w:hAnsi="Arial Narrow" w:cs="ArialMT"/>
          <w:sz w:val="22"/>
          <w:szCs w:val="22"/>
        </w:rPr>
        <w:t xml:space="preserve"> </w:t>
      </w:r>
      <w:r w:rsidRPr="00B46D1E">
        <w:rPr>
          <w:rFonts w:ascii="Arial Narrow" w:hAnsi="Arial Narrow" w:cs="ArialMT"/>
          <w:sz w:val="22"/>
          <w:szCs w:val="22"/>
        </w:rPr>
        <w:t>zabránenie protiprávnemu konaniu pri dovoze, vývoze a tranzite tovaru s cieľom ochrany ekonomických záujmov SR a</w:t>
      </w:r>
      <w:r>
        <w:rPr>
          <w:rFonts w:ascii="Arial Narrow" w:hAnsi="Arial Narrow" w:cs="ArialMT"/>
          <w:sz w:val="22"/>
          <w:szCs w:val="22"/>
        </w:rPr>
        <w:t xml:space="preserve"> </w:t>
      </w:r>
      <w:r w:rsidRPr="00B46D1E">
        <w:rPr>
          <w:rFonts w:ascii="Arial Narrow" w:hAnsi="Arial Narrow" w:cs="ArialMT"/>
          <w:sz w:val="22"/>
          <w:szCs w:val="22"/>
        </w:rPr>
        <w:t>Európskeho spoloč</w:t>
      </w:r>
      <w:r>
        <w:rPr>
          <w:rFonts w:ascii="Arial Narrow" w:hAnsi="Arial Narrow" w:cs="ArialMT"/>
          <w:sz w:val="22"/>
          <w:szCs w:val="22"/>
        </w:rPr>
        <w:t xml:space="preserve">enstva. </w:t>
      </w:r>
      <w:r w:rsidRPr="00B46D1E">
        <w:rPr>
          <w:rFonts w:ascii="Arial Narrow" w:hAnsi="Arial Narrow" w:cs="ArialMT"/>
          <w:sz w:val="22"/>
          <w:szCs w:val="22"/>
        </w:rPr>
        <w:t xml:space="preserve">Činnosť </w:t>
      </w:r>
      <w:r>
        <w:rPr>
          <w:rFonts w:ascii="Arial Narrow" w:hAnsi="Arial Narrow" w:cs="ArialMT"/>
          <w:sz w:val="22"/>
          <w:szCs w:val="22"/>
        </w:rPr>
        <w:t xml:space="preserve">colnej správy </w:t>
      </w:r>
      <w:r w:rsidRPr="00B46D1E">
        <w:rPr>
          <w:rFonts w:ascii="Arial Narrow" w:hAnsi="Arial Narrow" w:cs="ArialMT"/>
          <w:sz w:val="22"/>
          <w:szCs w:val="22"/>
        </w:rPr>
        <w:t>je súčasťou systému colného dohľadu nad tovarom v rámci jednotného</w:t>
      </w:r>
      <w:r>
        <w:rPr>
          <w:rFonts w:ascii="Arial Narrow" w:hAnsi="Arial Narrow" w:cs="ArialMT"/>
          <w:sz w:val="22"/>
          <w:szCs w:val="22"/>
        </w:rPr>
        <w:t xml:space="preserve"> </w:t>
      </w:r>
      <w:r w:rsidRPr="00B46D1E">
        <w:rPr>
          <w:rFonts w:ascii="Arial Narrow" w:hAnsi="Arial Narrow" w:cs="ArialMT"/>
          <w:sz w:val="22"/>
          <w:szCs w:val="22"/>
        </w:rPr>
        <w:t>colného územia EÚ.</w:t>
      </w:r>
    </w:p>
    <w:p w:rsidR="00AE49BA" w:rsidP="00AE49BA">
      <w:pPr>
        <w:jc w:val="both"/>
        <w:rPr>
          <w:rFonts w:ascii="Arial Narrow" w:hAnsi="Arial Narrow" w:cs="Arial Narrow"/>
          <w:sz w:val="22"/>
          <w:szCs w:val="22"/>
        </w:rPr>
      </w:pPr>
    </w:p>
    <w:p w:rsidR="00AE49BA" w:rsidRPr="00CA539E" w:rsidP="00AE49BA">
      <w:pPr>
        <w:jc w:val="both"/>
        <w:rPr>
          <w:rFonts w:ascii="Arial Narrow" w:hAnsi="Arial Narrow" w:cs="Arial Narrow"/>
          <w:i/>
          <w:sz w:val="22"/>
          <w:szCs w:val="22"/>
        </w:rPr>
      </w:pPr>
      <w:r w:rsidRPr="00CA539E">
        <w:rPr>
          <w:rFonts w:ascii="Arial Narrow" w:hAnsi="Arial Narrow" w:cs="Arial Narrow"/>
          <w:i/>
          <w:iCs/>
          <w:sz w:val="22"/>
          <w:szCs w:val="22"/>
        </w:rPr>
        <w:t>Reforma daňovej a colnej správy</w:t>
      </w:r>
      <w:r w:rsidRPr="00CA539E">
        <w:rPr>
          <w:rFonts w:ascii="Arial Narrow" w:hAnsi="Arial Narrow" w:cs="Arial Narrow"/>
          <w:i/>
          <w:sz w:val="22"/>
          <w:szCs w:val="22"/>
        </w:rPr>
        <w:t xml:space="preserve"> - Unitas</w:t>
      </w:r>
    </w:p>
    <w:p w:rsidR="00AE49BA" w:rsidP="00AE49BA">
      <w:pPr>
        <w:jc w:val="both"/>
        <w:rPr>
          <w:rFonts w:ascii="Arial Narrow" w:hAnsi="Arial Narrow" w:cs="Arial Narrow"/>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Výdavky na UNITAS</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15 435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13 941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7 303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0</w:t>
            </w:r>
          </w:p>
        </w:tc>
      </w:tr>
    </w:tbl>
    <w:p w:rsidR="00AE49BA" w:rsidP="00AE49BA">
      <w:pPr>
        <w:jc w:val="both"/>
        <w:rPr>
          <w:rFonts w:ascii="Arial Narrow" w:hAnsi="Arial Narrow" w:cs="Arial Narrow"/>
          <w:i/>
          <w:iCs/>
          <w:sz w:val="22"/>
          <w:szCs w:val="22"/>
        </w:rPr>
      </w:pPr>
    </w:p>
    <w:p w:rsidR="00AE49BA" w:rsidRPr="005834F3" w:rsidP="00AE49BA">
      <w:pPr>
        <w:ind w:firstLine="708"/>
        <w:jc w:val="both"/>
        <w:rPr>
          <w:rFonts w:ascii="Arial Narrow" w:hAnsi="Arial Narrow" w:cs="Arial Narrow"/>
          <w:iCs/>
          <w:sz w:val="22"/>
          <w:szCs w:val="22"/>
        </w:rPr>
      </w:pPr>
      <w:r>
        <w:rPr>
          <w:rFonts w:ascii="Arial Narrow" w:hAnsi="Arial Narrow" w:cs="Arial Narrow"/>
          <w:iCs/>
          <w:sz w:val="22"/>
          <w:szCs w:val="22"/>
        </w:rPr>
        <w:t xml:space="preserve">Unitas predstavuje reformu daňovej a colnej správy, ktorej cieľom je vybudovanie efektívnej a zákaznícky orientovanej daňovej a colnej správy schopnej prevziať v budúcnosti úlohu zjednoteného výberu daní, ciel a odvodov, zjednodušenie procesov spojených s daňovými a odvodovými povinnosťami pre subjekty s cieľom zníženia byrokracie, a to pri uplatnení smerovania k elektronickej verejnej správe. Na Unitas sú na rok 2009 rozpočtované prostriedky vo výške </w:t>
      </w:r>
      <w:r>
        <w:rPr>
          <w:rFonts w:ascii="Arial Narrow" w:hAnsi="Arial Narrow" w:cs="Arial Narrow"/>
          <w:b/>
          <w:iCs/>
          <w:sz w:val="22"/>
          <w:szCs w:val="22"/>
        </w:rPr>
        <w:t>13,9 mil. eur.</w:t>
      </w:r>
    </w:p>
    <w:p w:rsidR="00AE49BA" w:rsidP="00AE49BA">
      <w:pPr>
        <w:jc w:val="both"/>
        <w:rPr>
          <w:rFonts w:ascii="Arial Narrow" w:hAnsi="Arial Narrow" w:cs="Arial Narrow"/>
          <w:iCs/>
          <w:sz w:val="22"/>
          <w:szCs w:val="22"/>
        </w:rPr>
      </w:pPr>
    </w:p>
    <w:p w:rsidR="00AE49BA" w:rsidRPr="00CA539E" w:rsidP="00AE49BA">
      <w:pPr>
        <w:jc w:val="both"/>
        <w:rPr>
          <w:rFonts w:ascii="Arial Narrow" w:hAnsi="Arial Narrow" w:cs="Arial Narrow"/>
          <w:i/>
          <w:iCs/>
          <w:sz w:val="22"/>
          <w:szCs w:val="22"/>
        </w:rPr>
      </w:pPr>
      <w:r w:rsidRPr="00CA539E">
        <w:rPr>
          <w:rFonts w:ascii="Arial Narrow" w:hAnsi="Arial Narrow" w:cs="Arial Narrow"/>
          <w:i/>
          <w:iCs/>
          <w:sz w:val="22"/>
          <w:szCs w:val="22"/>
        </w:rPr>
        <w:t>Výdavky na informat</w:t>
      </w:r>
      <w:r>
        <w:rPr>
          <w:rFonts w:ascii="Arial Narrow" w:hAnsi="Arial Narrow" w:cs="Arial Narrow"/>
          <w:i/>
          <w:iCs/>
          <w:sz w:val="22"/>
          <w:szCs w:val="22"/>
        </w:rPr>
        <w:t>i</w:t>
      </w:r>
      <w:r w:rsidRPr="00CA539E">
        <w:rPr>
          <w:rFonts w:ascii="Arial Narrow" w:hAnsi="Arial Narrow" w:cs="Arial Narrow"/>
          <w:i/>
          <w:iCs/>
          <w:sz w:val="22"/>
          <w:szCs w:val="22"/>
        </w:rPr>
        <w:t>záciu spoločnosti</w:t>
      </w:r>
    </w:p>
    <w:p w:rsidR="00AE49BA" w:rsidP="00AE49BA">
      <w:pPr>
        <w:jc w:val="both"/>
        <w:rPr>
          <w:rFonts w:ascii="Arial Narrow" w:hAnsi="Arial Narrow" w:cs="Arial Narrow"/>
          <w:iCs/>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rPr>
                <w:rFonts w:ascii="Arial Narrow" w:hAnsi="Arial Narrow" w:cs="Arial"/>
                <w:b/>
                <w:sz w:val="20"/>
              </w:rPr>
            </w:pPr>
            <w:r w:rsidRPr="007A6189">
              <w:rPr>
                <w:rFonts w:ascii="Arial Narrow" w:hAnsi="Arial Narrow" w:cs="Arial"/>
                <w:b/>
                <w:sz w:val="20"/>
              </w:rPr>
              <w:t>Výdavky na Informatizáciu spoločnosti spolu, z toho:</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53 359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145 373</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237 289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284 069</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Európske zdroje</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29 844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119 840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197 997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237 712</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Spolufinancovanie zo ŠR</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6 864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21 148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34 941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41 949</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Rozpočtové domáce zdroje</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16 651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4 385</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4 352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4 408</w:t>
            </w:r>
          </w:p>
        </w:tc>
      </w:tr>
    </w:tbl>
    <w:p w:rsidR="00AE49BA" w:rsidP="00AE49BA">
      <w:pPr>
        <w:jc w:val="both"/>
        <w:rPr>
          <w:rFonts w:ascii="Arial Narrow" w:hAnsi="Arial Narrow" w:cs="Arial Narrow"/>
          <w:iCs/>
          <w:sz w:val="22"/>
          <w:szCs w:val="22"/>
        </w:rPr>
      </w:pPr>
    </w:p>
    <w:p w:rsidR="00AE49BA" w:rsidP="00AE49BA">
      <w:pPr>
        <w:ind w:firstLine="708"/>
        <w:jc w:val="both"/>
        <w:rPr>
          <w:rFonts w:ascii="Arial Narrow" w:hAnsi="Arial Narrow" w:cs="Arial Narrow"/>
          <w:sz w:val="22"/>
          <w:szCs w:val="22"/>
        </w:rPr>
      </w:pPr>
      <w:r>
        <w:rPr>
          <w:rFonts w:ascii="Arial Narrow" w:hAnsi="Arial Narrow" w:cs="Arial Narrow"/>
          <w:sz w:val="22"/>
          <w:szCs w:val="22"/>
        </w:rPr>
        <w:t xml:space="preserve">Významnú položku predstavujú taktiež prostriedky rozpočtované na Podporu rozvojových úloh v oblasti informatizácie spoločnosti vo výške </w:t>
      </w:r>
      <w:r>
        <w:rPr>
          <w:rFonts w:ascii="Arial Narrow" w:hAnsi="Arial Narrow" w:cs="Arial Narrow"/>
          <w:b/>
          <w:bCs/>
          <w:sz w:val="22"/>
          <w:szCs w:val="22"/>
        </w:rPr>
        <w:t xml:space="preserve">145 </w:t>
      </w:r>
      <w:r w:rsidRPr="000758A8">
        <w:rPr>
          <w:rFonts w:ascii="Arial Narrow" w:hAnsi="Arial Narrow" w:cs="Arial Narrow"/>
          <w:b/>
          <w:bCs/>
          <w:sz w:val="22"/>
          <w:szCs w:val="22"/>
        </w:rPr>
        <w:t>m</w:t>
      </w:r>
      <w:r>
        <w:rPr>
          <w:rFonts w:ascii="Arial Narrow" w:hAnsi="Arial Narrow" w:cs="Arial Narrow"/>
          <w:b/>
          <w:bCs/>
          <w:sz w:val="22"/>
          <w:szCs w:val="22"/>
        </w:rPr>
        <w:t>il</w:t>
      </w:r>
      <w:r w:rsidRPr="000758A8">
        <w:rPr>
          <w:rFonts w:ascii="Arial Narrow" w:hAnsi="Arial Narrow" w:cs="Arial Narrow"/>
          <w:b/>
          <w:bCs/>
          <w:sz w:val="22"/>
          <w:szCs w:val="22"/>
        </w:rPr>
        <w:t xml:space="preserve">. </w:t>
      </w:r>
      <w:r>
        <w:rPr>
          <w:rFonts w:ascii="Arial Narrow" w:hAnsi="Arial Narrow" w:cs="Arial Narrow"/>
          <w:b/>
          <w:bCs/>
          <w:sz w:val="22"/>
          <w:szCs w:val="22"/>
        </w:rPr>
        <w:t>eur</w:t>
      </w:r>
      <w:r>
        <w:rPr>
          <w:rFonts w:ascii="Arial Narrow" w:hAnsi="Arial Narrow" w:cs="Arial Narrow"/>
          <w:b/>
          <w:iCs/>
          <w:sz w:val="22"/>
          <w:szCs w:val="22"/>
        </w:rPr>
        <w:t xml:space="preserve">, </w:t>
      </w:r>
      <w:r>
        <w:rPr>
          <w:rFonts w:ascii="Arial Narrow" w:hAnsi="Arial Narrow" w:cs="Arial Narrow"/>
          <w:iCs/>
          <w:sz w:val="22"/>
          <w:szCs w:val="22"/>
        </w:rPr>
        <w:t>čo predstavuje</w:t>
      </w:r>
      <w:r w:rsidRPr="005834F3">
        <w:rPr>
          <w:rFonts w:ascii="Arial Narrow" w:hAnsi="Arial Narrow" w:cs="Arial Narrow"/>
          <w:iCs/>
          <w:sz w:val="22"/>
          <w:szCs w:val="22"/>
        </w:rPr>
        <w:t xml:space="preserve"> </w:t>
      </w:r>
      <w:r>
        <w:rPr>
          <w:rFonts w:ascii="Arial Narrow" w:hAnsi="Arial Narrow" w:cs="Arial Narrow"/>
          <w:iCs/>
          <w:sz w:val="22"/>
          <w:szCs w:val="22"/>
        </w:rPr>
        <w:t>rast</w:t>
      </w:r>
      <w:r w:rsidRPr="005834F3">
        <w:rPr>
          <w:rFonts w:ascii="Arial Narrow" w:hAnsi="Arial Narrow" w:cs="Arial Narrow"/>
          <w:iCs/>
          <w:sz w:val="22"/>
          <w:szCs w:val="22"/>
        </w:rPr>
        <w:t xml:space="preserve"> v porovnaní s rokom 2008 o</w:t>
      </w:r>
      <w:r>
        <w:rPr>
          <w:rFonts w:ascii="Arial Narrow" w:hAnsi="Arial Narrow" w:cs="Arial Narrow"/>
          <w:iCs/>
          <w:sz w:val="22"/>
          <w:szCs w:val="22"/>
        </w:rPr>
        <w:t xml:space="preserve"> 172 </w:t>
      </w:r>
      <w:r w:rsidRPr="005834F3">
        <w:rPr>
          <w:rFonts w:ascii="Arial Narrow" w:hAnsi="Arial Narrow" w:cs="Arial Narrow"/>
          <w:iCs/>
          <w:sz w:val="22"/>
          <w:szCs w:val="22"/>
        </w:rPr>
        <w:t>%</w:t>
      </w:r>
      <w:r>
        <w:rPr>
          <w:rFonts w:ascii="Arial Narrow" w:hAnsi="Arial Narrow" w:cs="Arial Narrow"/>
          <w:iCs/>
          <w:sz w:val="22"/>
          <w:szCs w:val="22"/>
        </w:rPr>
        <w:t>.</w:t>
      </w:r>
      <w:r>
        <w:rPr>
          <w:rFonts w:ascii="Arial Narrow" w:hAnsi="Arial Narrow" w:cs="Arial Narrow"/>
          <w:sz w:val="22"/>
          <w:szCs w:val="22"/>
        </w:rPr>
        <w:t xml:space="preserve"> Hlavným cieľom je elektronizácia verejnej správy, rozvoj pamäťových a fondových inštitúcií, ako aj zvýšenie prístupnosti k širokopásmovému internetu.</w:t>
      </w:r>
    </w:p>
    <w:p w:rsidR="00AE49BA" w:rsidP="00AE49BA">
      <w:pPr>
        <w:jc w:val="both"/>
        <w:rPr>
          <w:rFonts w:ascii="Arial Narrow" w:hAnsi="Arial Narrow" w:cs="Arial Narrow"/>
          <w:iCs/>
          <w:sz w:val="22"/>
          <w:szCs w:val="22"/>
        </w:rPr>
      </w:pPr>
    </w:p>
    <w:p w:rsidR="00AE49BA" w:rsidRPr="00CA539E" w:rsidP="00AE49BA">
      <w:pPr>
        <w:jc w:val="both"/>
        <w:rPr>
          <w:rFonts w:ascii="Arial Narrow" w:hAnsi="Arial Narrow" w:cs="Arial Narrow"/>
          <w:i/>
          <w:iCs/>
          <w:sz w:val="22"/>
          <w:szCs w:val="22"/>
        </w:rPr>
      </w:pPr>
      <w:r w:rsidRPr="00CA539E">
        <w:rPr>
          <w:rFonts w:ascii="Arial Narrow" w:hAnsi="Arial Narrow" w:cs="Arial Narrow"/>
          <w:i/>
          <w:iCs/>
          <w:sz w:val="22"/>
          <w:szCs w:val="22"/>
        </w:rPr>
        <w:t>Informačné systémy riadenia verejných financií</w:t>
      </w:r>
    </w:p>
    <w:p w:rsidR="00AE49BA" w:rsidP="00AE49BA">
      <w:pPr>
        <w:jc w:val="both"/>
        <w:rPr>
          <w:rFonts w:ascii="Arial Narrow" w:hAnsi="Arial Narrow" w:cs="Arial Narrow"/>
          <w:iCs/>
          <w:sz w:val="22"/>
          <w:szCs w:val="22"/>
        </w:rPr>
      </w:pPr>
    </w:p>
    <w:p w:rsidR="00AE49BA" w:rsidP="00AE49BA">
      <w:pPr>
        <w:ind w:firstLine="708"/>
        <w:jc w:val="both"/>
        <w:rPr>
          <w:rFonts w:ascii="Arial Narrow" w:hAnsi="Arial Narrow" w:cs="Arial Narrow"/>
          <w:sz w:val="22"/>
          <w:szCs w:val="22"/>
        </w:rPr>
      </w:pPr>
      <w:r>
        <w:rPr>
          <w:rFonts w:ascii="Arial Narrow" w:hAnsi="Arial Narrow" w:cs="Arial Narrow"/>
          <w:sz w:val="22"/>
          <w:szCs w:val="22"/>
        </w:rPr>
        <w:t>Na činnosť štátnej pokladnice a na ostatné informačné  systémy riadenia verejných financií nadrezortného charakteru, ktoré zabezpečujú Štátna pokladnica</w:t>
      </w:r>
      <w:r>
        <w:rPr>
          <w:rFonts w:ascii="Arial Narrow" w:hAnsi="Arial Narrow" w:cs="Arial Narrow"/>
          <w:i/>
          <w:iCs/>
          <w:sz w:val="22"/>
          <w:szCs w:val="22"/>
        </w:rPr>
        <w:t xml:space="preserve">, </w:t>
      </w:r>
      <w:r>
        <w:rPr>
          <w:rFonts w:ascii="Arial Narrow" w:hAnsi="Arial Narrow" w:cs="Arial Narrow"/>
          <w:sz w:val="22"/>
          <w:szCs w:val="22"/>
        </w:rPr>
        <w:t xml:space="preserve">Datacentrum, Agentúra pre riadenie dlhu a likvidity (ARDAL) a Úrad ministerstva financií sú </w:t>
      </w:r>
      <w:r w:rsidRPr="001E0718">
        <w:rPr>
          <w:rFonts w:ascii="Arial Narrow" w:hAnsi="Arial Narrow" w:cs="Arial Narrow"/>
          <w:sz w:val="22"/>
          <w:szCs w:val="22"/>
        </w:rPr>
        <w:t xml:space="preserve">rozpočtované prostriedky v sume </w:t>
      </w:r>
      <w:r w:rsidRPr="001E0718">
        <w:rPr>
          <w:rFonts w:ascii="Arial Narrow" w:hAnsi="Arial Narrow" w:cs="Arial Narrow"/>
          <w:b/>
          <w:bCs/>
          <w:sz w:val="22"/>
          <w:szCs w:val="22"/>
        </w:rPr>
        <w:t>49,1 mil. eur</w:t>
      </w:r>
      <w:r w:rsidRPr="001E0718">
        <w:rPr>
          <w:rFonts w:ascii="Arial Narrow" w:hAnsi="Arial Narrow" w:cs="Arial Narrow"/>
          <w:sz w:val="22"/>
          <w:szCs w:val="22"/>
        </w:rPr>
        <w:t>.</w:t>
      </w:r>
      <w:r>
        <w:rPr>
          <w:rFonts w:ascii="Arial Narrow" w:hAnsi="Arial Narrow" w:cs="Arial Narrow"/>
          <w:sz w:val="22"/>
          <w:szCs w:val="22"/>
        </w:rPr>
        <w:t xml:space="preserve"> Významnou úlohou </w:t>
      </w:r>
      <w:r w:rsidRPr="001E0718">
        <w:rPr>
          <w:rFonts w:ascii="Arial Narrow" w:hAnsi="Arial Narrow" w:cs="Arial Narrow"/>
          <w:sz w:val="22"/>
          <w:szCs w:val="22"/>
        </w:rPr>
        <w:t>je</w:t>
      </w:r>
      <w:r w:rsidRPr="001E0718">
        <w:rPr>
          <w:rFonts w:ascii="Arial Narrow" w:hAnsi="Arial Narrow" w:cs="Arial Narrow"/>
          <w:bCs/>
          <w:sz w:val="22"/>
          <w:szCs w:val="22"/>
        </w:rPr>
        <w:t xml:space="preserve"> taktiež</w:t>
      </w:r>
      <w:r>
        <w:rPr>
          <w:rFonts w:ascii="Arial Narrow" w:hAnsi="Arial Narrow" w:cs="Arial Narrow"/>
          <w:b/>
          <w:bCs/>
          <w:sz w:val="22"/>
          <w:szCs w:val="22"/>
        </w:rPr>
        <w:t xml:space="preserve"> </w:t>
      </w:r>
      <w:r>
        <w:rPr>
          <w:rFonts w:ascii="Arial Narrow" w:hAnsi="Arial Narrow" w:cs="Arial Narrow"/>
          <w:sz w:val="22"/>
          <w:szCs w:val="22"/>
        </w:rPr>
        <w:t>vytvorenie</w:t>
      </w:r>
      <w:r>
        <w:rPr>
          <w:rFonts w:ascii="Arial Narrow" w:hAnsi="Arial Narrow" w:cs="Arial Narrow"/>
          <w:b/>
          <w:bCs/>
          <w:sz w:val="22"/>
          <w:szCs w:val="22"/>
        </w:rPr>
        <w:t xml:space="preserve"> </w:t>
      </w:r>
      <w:r>
        <w:rPr>
          <w:rFonts w:ascii="Arial Narrow" w:hAnsi="Arial Narrow" w:cs="Arial Narrow"/>
          <w:sz w:val="22"/>
          <w:szCs w:val="22"/>
        </w:rPr>
        <w:t>Jednotného systému štátneho účtovníctva a výkazníctva na akruálnom princípe. Cieľom projektu je vytvoriť novú metodiku účtovníctva, ktorá by poskytovala jednotné pravidlá účtovania a vykazovania</w:t>
      </w:r>
      <w:r>
        <w:rPr>
          <w:rFonts w:ascii="Arial Narrow" w:hAnsi="Arial Narrow" w:cs="Arial Narrow"/>
          <w:b/>
          <w:bCs/>
          <w:sz w:val="22"/>
          <w:szCs w:val="22"/>
        </w:rPr>
        <w:t xml:space="preserve"> </w:t>
      </w:r>
      <w:r>
        <w:rPr>
          <w:rFonts w:ascii="Arial Narrow" w:hAnsi="Arial Narrow" w:cs="Arial Narrow"/>
          <w:sz w:val="22"/>
          <w:szCs w:val="22"/>
        </w:rPr>
        <w:t>pre všetky jednotky štátneho a verejného sektora na báze medzinárodných štandardov a na integrovanej technicko-technologickej platforme, kompatibilnej so systémom štátnej pokladnice. Nový systém zvýši mieru transparentnosti, preukazanosti a overiteľnosti operácií subjektov sektora a tak bude predstavovať významný nástroj komplexného ekonomického riadenia, ktorý podporuje a zavádza do svojich národných systémov väčšina krajín EÚ.</w:t>
      </w:r>
    </w:p>
    <w:p w:rsidR="00AE49BA" w:rsidP="00AE49BA">
      <w:pPr>
        <w:jc w:val="both"/>
        <w:rPr>
          <w:rFonts w:ascii="Arial Narrow" w:hAnsi="Arial Narrow" w:cs="Arial Narrow"/>
          <w:sz w:val="22"/>
          <w:szCs w:val="22"/>
        </w:rPr>
      </w:pPr>
    </w:p>
    <w:p w:rsidR="00AE49BA" w:rsidRPr="00CA539E" w:rsidP="00AE49BA">
      <w:pPr>
        <w:jc w:val="both"/>
        <w:rPr>
          <w:rFonts w:ascii="Arial Narrow" w:hAnsi="Arial Narrow" w:cs="Arial Narrow"/>
          <w:i/>
          <w:sz w:val="22"/>
          <w:szCs w:val="22"/>
        </w:rPr>
      </w:pPr>
      <w:r w:rsidRPr="00CA539E">
        <w:rPr>
          <w:rFonts w:ascii="Arial Narrow" w:hAnsi="Arial Narrow" w:cs="Arial Narrow"/>
          <w:i/>
          <w:sz w:val="22"/>
          <w:szCs w:val="22"/>
        </w:rPr>
        <w:t xml:space="preserve">Výdavky na </w:t>
      </w:r>
      <w:r>
        <w:rPr>
          <w:rFonts w:ascii="Arial Narrow" w:hAnsi="Arial Narrow" w:cs="Arial Narrow"/>
          <w:i/>
          <w:sz w:val="22"/>
          <w:szCs w:val="22"/>
        </w:rPr>
        <w:t>inštitucionálnu podporu</w:t>
      </w:r>
      <w:r w:rsidRPr="00CA539E">
        <w:rPr>
          <w:rFonts w:ascii="Arial Narrow" w:hAnsi="Arial Narrow" w:cs="Arial Narrow"/>
          <w:i/>
          <w:sz w:val="22"/>
          <w:szCs w:val="22"/>
        </w:rPr>
        <w:t xml:space="preserve"> a kontrolu</w:t>
      </w:r>
    </w:p>
    <w:p w:rsidR="00AE49BA" w:rsidRPr="00C91EDA" w:rsidP="00AE49BA">
      <w:pPr>
        <w:jc w:val="both"/>
        <w:rPr>
          <w:rFonts w:ascii="Arial Narrow" w:hAnsi="Arial Narrow" w:cs="Arial Narrow"/>
          <w:sz w:val="22"/>
          <w:szCs w:val="22"/>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Inštitucionálna podpora a kontrola</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47 548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56 589</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47 380</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50 504</w:t>
            </w:r>
          </w:p>
        </w:tc>
      </w:tr>
    </w:tbl>
    <w:p w:rsidR="00AE49BA" w:rsidP="00AE49BA">
      <w:pPr>
        <w:jc w:val="both"/>
        <w:rPr>
          <w:rFonts w:ascii="Arial Narrow" w:hAnsi="Arial Narrow" w:cs="Arial Narrow"/>
          <w:b/>
          <w:bCs/>
          <w:sz w:val="22"/>
          <w:szCs w:val="22"/>
        </w:rPr>
      </w:pPr>
    </w:p>
    <w:p w:rsidR="00AE49BA" w:rsidP="00AE49BA">
      <w:pPr>
        <w:ind w:firstLine="708"/>
        <w:jc w:val="both"/>
        <w:rPr>
          <w:rFonts w:ascii="Arial Narrow" w:hAnsi="Arial Narrow" w:cs="Arial Narrow"/>
          <w:sz w:val="22"/>
          <w:szCs w:val="22"/>
        </w:rPr>
      </w:pPr>
      <w:r>
        <w:rPr>
          <w:rFonts w:ascii="Arial Narrow" w:hAnsi="Arial Narrow" w:cs="Arial Narrow"/>
          <w:sz w:val="22"/>
          <w:szCs w:val="22"/>
        </w:rPr>
        <w:t xml:space="preserve">Výdavky na inštitucionálnu podporu a kontrolu sú rozpočtované </w:t>
      </w:r>
      <w:r w:rsidRPr="005804FA">
        <w:rPr>
          <w:rFonts w:ascii="Arial Narrow" w:hAnsi="Arial Narrow" w:cs="Arial Narrow"/>
          <w:sz w:val="22"/>
          <w:szCs w:val="22"/>
        </w:rPr>
        <w:t xml:space="preserve">v sume </w:t>
      </w:r>
      <w:r>
        <w:rPr>
          <w:rFonts w:ascii="Arial Narrow" w:hAnsi="Arial Narrow" w:cs="Arial Narrow"/>
          <w:b/>
          <w:bCs/>
          <w:sz w:val="22"/>
          <w:szCs w:val="22"/>
        </w:rPr>
        <w:t>56,6</w:t>
      </w:r>
      <w:r w:rsidRPr="005804FA">
        <w:rPr>
          <w:rFonts w:ascii="Arial Narrow" w:hAnsi="Arial Narrow" w:cs="Arial Narrow"/>
          <w:b/>
          <w:bCs/>
          <w:sz w:val="22"/>
          <w:szCs w:val="22"/>
        </w:rPr>
        <w:t xml:space="preserve"> m</w:t>
      </w:r>
      <w:r>
        <w:rPr>
          <w:rFonts w:ascii="Arial Narrow" w:hAnsi="Arial Narrow" w:cs="Arial Narrow"/>
          <w:b/>
          <w:bCs/>
          <w:sz w:val="22"/>
          <w:szCs w:val="22"/>
        </w:rPr>
        <w:t>i</w:t>
      </w:r>
      <w:r w:rsidRPr="005804FA">
        <w:rPr>
          <w:rFonts w:ascii="Arial Narrow" w:hAnsi="Arial Narrow" w:cs="Arial Narrow"/>
          <w:b/>
          <w:bCs/>
          <w:sz w:val="22"/>
          <w:szCs w:val="22"/>
        </w:rPr>
        <w:t xml:space="preserve">l. </w:t>
      </w:r>
      <w:r>
        <w:rPr>
          <w:rFonts w:ascii="Arial Narrow" w:hAnsi="Arial Narrow" w:cs="Arial Narrow"/>
          <w:b/>
          <w:bCs/>
          <w:sz w:val="22"/>
          <w:szCs w:val="22"/>
        </w:rPr>
        <w:t>eur</w:t>
      </w:r>
      <w:r w:rsidRPr="005804FA">
        <w:rPr>
          <w:rFonts w:ascii="Arial Narrow" w:hAnsi="Arial Narrow" w:cs="Arial Narrow"/>
          <w:b/>
          <w:bCs/>
          <w:sz w:val="22"/>
          <w:szCs w:val="22"/>
        </w:rPr>
        <w:t xml:space="preserve">, </w:t>
      </w:r>
      <w:r w:rsidRPr="005804FA">
        <w:rPr>
          <w:rFonts w:ascii="Arial Narrow" w:hAnsi="Arial Narrow" w:cs="Arial Narrow"/>
          <w:sz w:val="22"/>
          <w:szCs w:val="22"/>
        </w:rPr>
        <w:t>v rámci</w:t>
      </w:r>
      <w:r>
        <w:rPr>
          <w:rFonts w:ascii="Arial Narrow" w:hAnsi="Arial Narrow" w:cs="Arial Narrow"/>
          <w:sz w:val="22"/>
          <w:szCs w:val="22"/>
        </w:rPr>
        <w:t xml:space="preserve"> ktorých</w:t>
      </w:r>
      <w:r w:rsidRPr="00935ABF">
        <w:rPr>
          <w:rFonts w:ascii="Arial Narrow" w:hAnsi="Arial Narrow" w:cs="Arial Narrow"/>
          <w:sz w:val="22"/>
          <w:szCs w:val="22"/>
        </w:rPr>
        <w:t xml:space="preserve"> </w:t>
      </w:r>
      <w:r>
        <w:rPr>
          <w:rFonts w:ascii="Arial Narrow" w:hAnsi="Arial Narrow" w:cs="Arial Narrow"/>
          <w:sz w:val="22"/>
          <w:szCs w:val="22"/>
        </w:rPr>
        <w:t>sa</w:t>
      </w:r>
      <w:r w:rsidRPr="00935ABF">
        <w:rPr>
          <w:rFonts w:ascii="Arial Narrow" w:hAnsi="Arial Narrow" w:cs="Arial Narrow"/>
          <w:sz w:val="22"/>
          <w:szCs w:val="22"/>
        </w:rPr>
        <w:t xml:space="preserve"> zabezpečuje viacero úloh, napr. v oblasti </w:t>
      </w:r>
      <w:r>
        <w:rPr>
          <w:rFonts w:ascii="Arial Narrow" w:hAnsi="Arial Narrow" w:cs="Arial Narrow"/>
          <w:sz w:val="22"/>
          <w:szCs w:val="22"/>
        </w:rPr>
        <w:t xml:space="preserve">rozpočtovej politiky, kontroly, štátneho výkazníctva a  úlohy v oblasti finančného trhu v gescii MF SR, ako aj distribúcia kolkov. </w:t>
      </w:r>
    </w:p>
    <w:p w:rsidR="00AE49BA" w:rsidP="00AE49BA">
      <w:pPr>
        <w:jc w:val="both"/>
        <w:rPr>
          <w:rFonts w:ascii="Arial Narrow" w:hAnsi="Arial Narrow" w:cs="Arial Narrow"/>
          <w:sz w:val="22"/>
          <w:szCs w:val="22"/>
        </w:rPr>
      </w:pPr>
    </w:p>
    <w:p w:rsidR="00AE49BA" w:rsidRPr="00CA539E" w:rsidP="00AE49BA">
      <w:pPr>
        <w:jc w:val="both"/>
        <w:rPr>
          <w:rFonts w:ascii="Arial Narrow" w:hAnsi="Arial Narrow" w:cs="Arial"/>
          <w:b/>
          <w:bCs/>
          <w:iCs/>
          <w:sz w:val="22"/>
          <w:szCs w:val="22"/>
        </w:rPr>
      </w:pPr>
      <w:r w:rsidRPr="00CA539E">
        <w:rPr>
          <w:rFonts w:ascii="Arial Narrow" w:hAnsi="Arial Narrow" w:cs="Arial"/>
          <w:b/>
          <w:bCs/>
          <w:iCs/>
          <w:sz w:val="22"/>
          <w:szCs w:val="22"/>
        </w:rPr>
        <w:t>Štátny dlh</w:t>
      </w:r>
    </w:p>
    <w:p w:rsidR="00AE49BA" w:rsidRPr="005135B8" w:rsidP="00AE49BA">
      <w:pPr>
        <w:jc w:val="both"/>
        <w:rPr>
          <w:rFonts w:ascii="Arial Narrow" w:hAnsi="Arial Narrow" w:cs="Times New Roman"/>
          <w:sz w:val="22"/>
          <w:szCs w:val="22"/>
        </w:rPr>
      </w:pPr>
    </w:p>
    <w:p w:rsidR="00AE49BA" w:rsidRPr="005135B8" w:rsidP="00AE49BA">
      <w:pPr>
        <w:ind w:firstLine="708"/>
        <w:jc w:val="both"/>
        <w:rPr>
          <w:rFonts w:ascii="Arial Narrow" w:hAnsi="Arial Narrow" w:cs="Times New Roman"/>
          <w:sz w:val="22"/>
          <w:szCs w:val="22"/>
        </w:rPr>
      </w:pPr>
      <w:r w:rsidRPr="005135B8">
        <w:rPr>
          <w:rFonts w:ascii="Arial Narrow" w:hAnsi="Arial Narrow" w:cs="Times New Roman"/>
          <w:sz w:val="22"/>
          <w:szCs w:val="22"/>
        </w:rPr>
        <w:t>Pri rozpočtovaní výdavkov spojených so správou štátneho dlhu sa aj relatívne malá zmena v základných parametroch môže prejaviť výraznou zmenou v rozpočte. Výška výdavkov v nasledujúcich rokoch je založená najmä na nasledujúcich faktoroch:</w:t>
      </w:r>
    </w:p>
    <w:p w:rsidR="00AE49BA" w:rsidRPr="005135B8" w:rsidP="00AE49BA">
      <w:pPr>
        <w:numPr>
          <w:ilvl w:val="0"/>
          <w:numId w:val="21"/>
        </w:numPr>
        <w:tabs>
          <w:tab w:val="left" w:pos="720"/>
        </w:tabs>
        <w:jc w:val="both"/>
        <w:rPr>
          <w:rFonts w:ascii="Arial Narrow" w:hAnsi="Arial Narrow" w:cs="Times New Roman"/>
          <w:sz w:val="22"/>
          <w:szCs w:val="22"/>
        </w:rPr>
      </w:pPr>
      <w:r w:rsidRPr="005135B8">
        <w:rPr>
          <w:rFonts w:ascii="Arial Narrow" w:hAnsi="Arial Narrow" w:cs="Times New Roman"/>
          <w:sz w:val="22"/>
          <w:szCs w:val="22"/>
        </w:rPr>
        <w:t>úrokové sadzby,</w:t>
      </w:r>
    </w:p>
    <w:p w:rsidR="00AE49BA" w:rsidRPr="005135B8" w:rsidP="00AE49BA">
      <w:pPr>
        <w:numPr>
          <w:ilvl w:val="0"/>
          <w:numId w:val="21"/>
        </w:numPr>
        <w:tabs>
          <w:tab w:val="left" w:pos="720"/>
        </w:tabs>
        <w:jc w:val="both"/>
        <w:rPr>
          <w:rFonts w:ascii="Arial Narrow" w:hAnsi="Arial Narrow" w:cs="Times New Roman"/>
          <w:sz w:val="22"/>
          <w:szCs w:val="22"/>
        </w:rPr>
      </w:pPr>
      <w:r>
        <w:rPr>
          <w:rFonts w:ascii="Arial Narrow" w:hAnsi="Arial Narrow" w:cs="Times New Roman"/>
          <w:sz w:val="22"/>
          <w:szCs w:val="22"/>
        </w:rPr>
        <w:t>schodok</w:t>
      </w:r>
      <w:r w:rsidRPr="005135B8">
        <w:rPr>
          <w:rFonts w:ascii="Arial Narrow" w:hAnsi="Arial Narrow" w:cs="Times New Roman"/>
          <w:sz w:val="22"/>
          <w:szCs w:val="22"/>
        </w:rPr>
        <w:t xml:space="preserve"> štátneho rozpočtu,</w:t>
      </w:r>
    </w:p>
    <w:p w:rsidR="00AE49BA" w:rsidRPr="005135B8" w:rsidP="00AE49BA">
      <w:pPr>
        <w:numPr>
          <w:ilvl w:val="0"/>
          <w:numId w:val="21"/>
        </w:numPr>
        <w:tabs>
          <w:tab w:val="left" w:pos="720"/>
        </w:tabs>
        <w:jc w:val="both"/>
        <w:rPr>
          <w:rFonts w:ascii="Arial Narrow" w:hAnsi="Arial Narrow" w:cs="Times New Roman"/>
          <w:sz w:val="22"/>
          <w:szCs w:val="22"/>
        </w:rPr>
      </w:pPr>
      <w:r w:rsidRPr="005135B8">
        <w:rPr>
          <w:rFonts w:ascii="Arial Narrow" w:hAnsi="Arial Narrow" w:cs="Times New Roman"/>
          <w:sz w:val="22"/>
          <w:szCs w:val="22"/>
        </w:rPr>
        <w:t>predčasne splatené úvery, dlhové cenné papiere (výmena a spätná kúpa dlhopisov),</w:t>
      </w:r>
    </w:p>
    <w:p w:rsidR="00AE49BA" w:rsidRPr="005135B8" w:rsidP="00AE49BA">
      <w:pPr>
        <w:numPr>
          <w:ilvl w:val="0"/>
          <w:numId w:val="21"/>
        </w:numPr>
        <w:tabs>
          <w:tab w:val="left" w:pos="720"/>
        </w:tabs>
        <w:jc w:val="both"/>
        <w:rPr>
          <w:rFonts w:ascii="Arial Narrow" w:hAnsi="Arial Narrow" w:cs="Times New Roman"/>
          <w:sz w:val="22"/>
          <w:szCs w:val="22"/>
        </w:rPr>
      </w:pPr>
      <w:r w:rsidRPr="005135B8">
        <w:rPr>
          <w:rFonts w:ascii="Arial Narrow" w:hAnsi="Arial Narrow" w:cs="Times New Roman"/>
          <w:sz w:val="22"/>
          <w:szCs w:val="22"/>
        </w:rPr>
        <w:t>riadenie likvidity finančného trhu a menové riadenie,</w:t>
      </w:r>
    </w:p>
    <w:p w:rsidR="00AE49BA" w:rsidRPr="005135B8" w:rsidP="00AE49BA">
      <w:pPr>
        <w:numPr>
          <w:ilvl w:val="0"/>
          <w:numId w:val="21"/>
        </w:numPr>
        <w:tabs>
          <w:tab w:val="left" w:pos="720"/>
        </w:tabs>
        <w:jc w:val="both"/>
        <w:rPr>
          <w:rFonts w:ascii="Arial Narrow" w:hAnsi="Arial Narrow" w:cs="Times New Roman"/>
          <w:sz w:val="22"/>
          <w:szCs w:val="22"/>
        </w:rPr>
      </w:pPr>
      <w:r w:rsidRPr="005135B8">
        <w:rPr>
          <w:rFonts w:ascii="Arial Narrow" w:hAnsi="Arial Narrow" w:cs="Times New Roman"/>
          <w:sz w:val="22"/>
          <w:szCs w:val="22"/>
        </w:rPr>
        <w:t>zhoršenie situácie na finančných trhoch v dôsledku hypotekárnej krízy v USA.</w:t>
      </w:r>
    </w:p>
    <w:p w:rsidR="00AE49BA" w:rsidP="00AE49BA">
      <w:pPr>
        <w:jc w:val="both"/>
        <w:rPr>
          <w:rFonts w:ascii="Arial Narrow" w:hAnsi="Arial Narrow" w:cs="Times New Roman"/>
          <w:sz w:val="22"/>
          <w:szCs w:val="22"/>
        </w:rPr>
      </w:pPr>
      <w:r w:rsidRPr="005135B8">
        <w:rPr>
          <w:rFonts w:ascii="Arial Narrow" w:hAnsi="Arial Narrow" w:cs="Times New Roman"/>
          <w:sz w:val="22"/>
          <w:szCs w:val="22"/>
        </w:rPr>
        <w:t>Zmena každého z vyššie uvedených predpokladov sa úmerne prejaví v adekvátnej zmene výdavkov  na obsluhu štátneho dlhu.</w:t>
      </w:r>
    </w:p>
    <w:p w:rsidR="00AE49BA" w:rsidP="00AE49BA">
      <w:pPr>
        <w:jc w:val="center"/>
        <w:rPr>
          <w:rFonts w:ascii="Arial Narrow" w:hAnsi="Arial Narrow" w:cs="Times New Roman"/>
          <w:b/>
          <w:i/>
          <w:sz w:val="22"/>
          <w:szCs w:val="22"/>
        </w:rPr>
      </w:pPr>
    </w:p>
    <w:p w:rsidR="00AE49BA" w:rsidP="00AE49BA">
      <w:pPr>
        <w:jc w:val="center"/>
        <w:rPr>
          <w:rFonts w:ascii="Arial Narrow" w:hAnsi="Arial Narrow" w:cs="Times New Roman"/>
          <w:b/>
          <w:i/>
          <w:sz w:val="22"/>
          <w:szCs w:val="22"/>
        </w:rPr>
      </w:pPr>
      <w:r w:rsidRPr="002710B5">
        <w:rPr>
          <w:rFonts w:ascii="Arial Narrow" w:hAnsi="Arial Narrow" w:cs="Times New Roman"/>
          <w:b/>
          <w:i/>
          <w:sz w:val="22"/>
          <w:szCs w:val="22"/>
        </w:rPr>
        <w:t>Rozpočtovanie výdavkov na obsluhu štátneho dlhu</w:t>
      </w:r>
    </w:p>
    <w:p w:rsidR="00AE49BA" w:rsidRPr="00357A4B" w:rsidP="00AE49BA">
      <w:pPr>
        <w:rPr>
          <w:rFonts w:ascii="Arial Narrow" w:hAnsi="Arial Narrow"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680"/>
        <w:gridCol w:w="1125"/>
        <w:gridCol w:w="1125"/>
        <w:gridCol w:w="1125"/>
        <w:gridCol w:w="1125"/>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00"/>
        </w:trPr>
        <w:tc>
          <w:tcPr>
            <w:tcW w:w="4680"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12379F" w:rsidP="00AE49BA">
            <w:pPr>
              <w:spacing w:after="0"/>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12379F" w:rsidP="00AE49BA">
            <w:pPr>
              <w:spacing w:after="0"/>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12379F" w:rsidP="00AE49BA">
            <w:pPr>
              <w:spacing w:after="0"/>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12379F" w:rsidP="00AE49BA">
            <w:pPr>
              <w:spacing w:after="0"/>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12379F" w:rsidP="00AE49BA">
            <w:pPr>
              <w:spacing w:after="0"/>
              <w:jc w:val="center"/>
              <w:rPr>
                <w:rFonts w:ascii="Arial Narrow" w:hAnsi="Arial Narrow" w:cs="Arial"/>
                <w:b/>
                <w:bCs/>
                <w:color w:val="FFFFFF"/>
                <w:sz w:val="20"/>
              </w:rPr>
            </w:pPr>
            <w:r>
              <w:rPr>
                <w:rFonts w:ascii="Arial Narrow" w:hAnsi="Arial Narrow" w:cs="Arial"/>
                <w:b/>
                <w:bCs/>
                <w:color w:val="FFFFFF"/>
                <w:sz w:val="20"/>
              </w:rPr>
              <w:t>2011</w:t>
            </w:r>
          </w:p>
        </w:tc>
      </w:tr>
      <w:tr>
        <w:tblPrEx>
          <w:tblW w:w="0" w:type="auto"/>
          <w:tblInd w:w="108" w:type="dxa"/>
          <w:tblLayout w:type="fixed"/>
        </w:tblPrEx>
        <w:trPr>
          <w:trHeight w:val="154"/>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rPr>
                <w:rFonts w:ascii="Arial Narrow" w:hAnsi="Arial Narrow" w:cs="Arial"/>
                <w:sz w:val="20"/>
              </w:rPr>
            </w:pPr>
            <w:r w:rsidRPr="007A6189">
              <w:rPr>
                <w:rFonts w:ascii="Arial Narrow" w:hAnsi="Arial Narrow" w:cs="Arial"/>
                <w:sz w:val="20"/>
              </w:rPr>
              <w:t xml:space="preserve">Hotovostný princíp </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910 705</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998 45</w:t>
            </w:r>
            <w:r>
              <w:rPr>
                <w:rFonts w:ascii="Arial Narrow" w:hAnsi="Arial Narrow" w:cs="Arial"/>
                <w:sz w:val="20"/>
              </w:rPr>
              <w:t>3</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1 137 05</w:t>
            </w:r>
            <w:r>
              <w:rPr>
                <w:rFonts w:ascii="Arial Narrow" w:hAnsi="Arial Narrow" w:cs="Arial"/>
                <w:sz w:val="20"/>
              </w:rPr>
              <w:t>1</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1 115 568</w:t>
            </w:r>
          </w:p>
        </w:tc>
      </w:tr>
      <w:tr>
        <w:tblPrEx>
          <w:tblW w:w="0" w:type="auto"/>
          <w:tblInd w:w="108" w:type="dxa"/>
          <w:tblLayout w:type="fixed"/>
        </w:tblPrEx>
        <w:trPr>
          <w:trHeight w:val="225"/>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rPr>
                <w:rFonts w:ascii="Arial Narrow" w:hAnsi="Arial Narrow" w:cs="Arial"/>
                <w:sz w:val="20"/>
              </w:rPr>
            </w:pPr>
            <w:r w:rsidRPr="007A6189">
              <w:rPr>
                <w:rFonts w:ascii="Arial Narrow" w:hAnsi="Arial Narrow" w:cs="Arial"/>
                <w:sz w:val="20"/>
              </w:rPr>
              <w:t>Akruálny princíp</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w:t>
            </w:r>
            <w:r>
              <w:rPr>
                <w:rFonts w:ascii="Arial Narrow" w:hAnsi="Arial Narrow" w:cs="Arial"/>
                <w:sz w:val="20"/>
              </w:rPr>
              <w:t> </w:t>
            </w:r>
            <w:r w:rsidRPr="007A6189">
              <w:rPr>
                <w:rFonts w:ascii="Arial Narrow" w:hAnsi="Arial Narrow" w:cs="Arial"/>
                <w:sz w:val="20"/>
              </w:rPr>
              <w:t>0</w:t>
            </w:r>
            <w:r>
              <w:rPr>
                <w:rFonts w:ascii="Arial Narrow" w:hAnsi="Arial Narrow" w:cs="Arial"/>
                <w:sz w:val="20"/>
              </w:rPr>
              <w:t>55 344</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1 099 67</w:t>
            </w:r>
            <w:r>
              <w:rPr>
                <w:rFonts w:ascii="Arial Narrow" w:hAnsi="Arial Narrow" w:cs="Arial"/>
                <w:sz w:val="20"/>
              </w:rPr>
              <w:t>8</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1 188 16</w:t>
            </w:r>
            <w:r>
              <w:rPr>
                <w:rFonts w:ascii="Arial Narrow" w:hAnsi="Arial Narrow" w:cs="Arial"/>
                <w:sz w:val="20"/>
              </w:rPr>
              <w:t>6</w:t>
            </w:r>
          </w:p>
        </w:tc>
        <w:tc>
          <w:tcPr>
            <w:tcW w:w="112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7A6189" w:rsidP="00AE49BA">
            <w:pPr>
              <w:spacing w:after="0"/>
              <w:jc w:val="right"/>
              <w:rPr>
                <w:rFonts w:ascii="Arial Narrow" w:hAnsi="Arial Narrow" w:cs="Arial"/>
                <w:sz w:val="20"/>
              </w:rPr>
            </w:pPr>
            <w:r w:rsidRPr="007A6189">
              <w:rPr>
                <w:rFonts w:ascii="Arial Narrow" w:hAnsi="Arial Narrow" w:cs="Arial"/>
                <w:sz w:val="20"/>
              </w:rPr>
              <w:t>1 208 282</w:t>
            </w:r>
          </w:p>
        </w:tc>
      </w:tr>
    </w:tbl>
    <w:p w:rsidR="00AE49BA" w:rsidRPr="007A6189" w:rsidP="00AE49BA">
      <w:pPr>
        <w:jc w:val="both"/>
        <w:rPr>
          <w:rFonts w:ascii="Arial Narrow" w:hAnsi="Arial Narrow" w:cs="Times New Roman"/>
          <w:sz w:val="22"/>
          <w:szCs w:val="22"/>
        </w:rPr>
      </w:pPr>
    </w:p>
    <w:p w:rsidR="00AE49BA" w:rsidRPr="007A6189" w:rsidP="00AE49BA">
      <w:pPr>
        <w:ind w:firstLine="708"/>
        <w:jc w:val="both"/>
        <w:rPr>
          <w:rFonts w:ascii="Arial Narrow" w:hAnsi="Arial Narrow" w:cs="Times New Roman"/>
          <w:sz w:val="22"/>
          <w:szCs w:val="22"/>
        </w:rPr>
      </w:pPr>
      <w:r w:rsidRPr="007A6189">
        <w:rPr>
          <w:rFonts w:ascii="Arial Narrow" w:hAnsi="Arial Narrow" w:cs="Times New Roman"/>
          <w:sz w:val="22"/>
          <w:szCs w:val="22"/>
        </w:rPr>
        <w:t>Rozpočet výdavkov spojených so správou štátneho dlhu na rok 2009 sa oproti roku 2006 (hotovostný princíp) zvýšil v absolútnej hodnote o 200 87</w:t>
      </w:r>
      <w:r>
        <w:rPr>
          <w:rFonts w:ascii="Arial Narrow" w:hAnsi="Arial Narrow" w:cs="Times New Roman"/>
          <w:sz w:val="22"/>
          <w:szCs w:val="22"/>
        </w:rPr>
        <w:t>3</w:t>
      </w:r>
      <w:r w:rsidRPr="007A6189">
        <w:rPr>
          <w:rFonts w:ascii="Arial Narrow" w:hAnsi="Arial Narrow" w:cs="Times New Roman"/>
          <w:sz w:val="22"/>
          <w:szCs w:val="22"/>
        </w:rPr>
        <w:t xml:space="preserve"> tis. eur a v percentuálnom vyjadrení o 25,2 </w:t>
      </w:r>
      <w:r>
        <w:rPr>
          <w:rFonts w:ascii="Arial Narrow" w:hAnsi="Arial Narrow" w:cs="Times New Roman"/>
          <w:sz w:val="22"/>
          <w:szCs w:val="22"/>
        </w:rPr>
        <w:t>%</w:t>
      </w:r>
      <w:r w:rsidRPr="007A6189">
        <w:rPr>
          <w:rFonts w:ascii="Arial Narrow" w:hAnsi="Arial Narrow" w:cs="Times New Roman"/>
          <w:sz w:val="22"/>
          <w:szCs w:val="22"/>
        </w:rPr>
        <w:t>.</w:t>
      </w:r>
    </w:p>
    <w:p w:rsidR="00AE49BA" w:rsidP="00AE49BA">
      <w:pPr>
        <w:jc w:val="both"/>
        <w:rPr>
          <w:rFonts w:ascii="Arial Narrow" w:hAnsi="Arial Narrow" w:cs="Times New Roman"/>
          <w:sz w:val="22"/>
          <w:szCs w:val="22"/>
        </w:rPr>
      </w:pPr>
    </w:p>
    <w:p w:rsidR="00AE49BA" w:rsidRPr="001900A1" w:rsidP="00AE49BA">
      <w:pPr>
        <w:pBdr>
          <w:bottom w:val="single" w:sz="4" w:space="1" w:color="auto"/>
        </w:pBdr>
        <w:rPr>
          <w:rFonts w:ascii="Arial Narrow" w:hAnsi="Arial Narrow" w:cs="Times New Roman"/>
          <w:b/>
          <w:sz w:val="22"/>
          <w:szCs w:val="22"/>
        </w:rPr>
      </w:pPr>
      <w:r w:rsidRPr="001900A1">
        <w:rPr>
          <w:rFonts w:ascii="Arial Narrow" w:hAnsi="Arial Narrow" w:cs="Times New Roman"/>
          <w:b/>
          <w:sz w:val="22"/>
          <w:szCs w:val="22"/>
        </w:rPr>
        <w:t>Obrana</w:t>
      </w:r>
    </w:p>
    <w:p w:rsidR="00AE49BA" w:rsidRPr="001900A1" w:rsidP="00AE49BA">
      <w:pPr>
        <w:rPr>
          <w:rFonts w:ascii="Arial Narrow" w:hAnsi="Arial Narrow" w:cs="Times New Roman"/>
          <w:b/>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Celkové obranné výdavky sú na rok 2009 rozpočtované vo výške 1,4 % HDP, vrátane výdavkov ostatných kapitol štátneho rozpočtu v rámci medzirezortných programov Podpora obrany a Hospodárska mobilizácia. Napriek tomu, že podiel na HDP je nižší oproti predchádzajúcim rokom, celkové obranné výdavky na rok 2009  sú v porovnaní s rokom 2006 vyššie o 12,1 % a v porovnaní s rokom 2008 vyššie o 0,7 %.</w:t>
      </w:r>
    </w:p>
    <w:p w:rsidR="00AE49BA" w:rsidP="00AE49BA">
      <w:pPr>
        <w:jc w:val="both"/>
        <w:rPr>
          <w:rFonts w:ascii="Arial Narrow" w:hAnsi="Arial Narrow" w:cs="Times New Roman"/>
          <w:sz w:val="22"/>
          <w:szCs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8"/>
        <w:gridCol w:w="1125"/>
        <w:gridCol w:w="1126"/>
        <w:gridCol w:w="1126"/>
        <w:gridCol w:w="1126"/>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5"/>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4983" w:type="pct"/>
          <w:tblInd w:w="70" w:type="dxa"/>
          <w:tblCellMar>
            <w:left w:w="70" w:type="dxa"/>
            <w:right w:w="70" w:type="dxa"/>
          </w:tblCellMar>
        </w:tblPrEx>
        <w:trPr>
          <w:trHeight w:val="25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Ministerstvo obrany SR</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1 035 522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1 045 712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1 126 081</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1 126 122</w:t>
            </w:r>
          </w:p>
        </w:tc>
      </w:tr>
      <w:tr>
        <w:tblPrEx>
          <w:tblW w:w="4983" w:type="pct"/>
          <w:tblInd w:w="70" w:type="dxa"/>
          <w:tblCellMar>
            <w:left w:w="70" w:type="dxa"/>
            <w:right w:w="70" w:type="dxa"/>
          </w:tblCellMar>
        </w:tblPrEx>
        <w:trPr>
          <w:trHeight w:val="25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Podpora obrany</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8 736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6 102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6 131</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6 849</w:t>
            </w:r>
          </w:p>
        </w:tc>
      </w:tr>
      <w:tr>
        <w:tblPrEx>
          <w:tblW w:w="4983" w:type="pct"/>
          <w:tblInd w:w="70" w:type="dxa"/>
          <w:tblCellMar>
            <w:left w:w="70" w:type="dxa"/>
            <w:right w:w="70" w:type="dxa"/>
          </w:tblCellMar>
        </w:tblPrEx>
        <w:trPr>
          <w:trHeight w:val="25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rPr>
                <w:rFonts w:ascii="Arial Narrow" w:hAnsi="Arial Narrow" w:cs="Arial"/>
                <w:sz w:val="20"/>
              </w:rPr>
            </w:pPr>
            <w:r w:rsidRPr="007A6189">
              <w:rPr>
                <w:rFonts w:ascii="Arial Narrow" w:hAnsi="Arial Narrow" w:cs="Arial"/>
                <w:sz w:val="20"/>
              </w:rPr>
              <w:t>Hospodárska mobilizácia</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9 512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9 858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9 977</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7A6189" w:rsidP="00AE49BA">
            <w:pPr>
              <w:jc w:val="right"/>
              <w:rPr>
                <w:rFonts w:ascii="Arial Narrow" w:hAnsi="Arial Narrow" w:cs="Arial"/>
                <w:sz w:val="20"/>
              </w:rPr>
            </w:pPr>
            <w:r w:rsidRPr="007A6189">
              <w:rPr>
                <w:rFonts w:ascii="Arial Narrow" w:hAnsi="Arial Narrow" w:cs="Arial"/>
                <w:sz w:val="20"/>
              </w:rPr>
              <w:t>9 775</w:t>
            </w:r>
          </w:p>
        </w:tc>
      </w:tr>
      <w:tr>
        <w:tblPrEx>
          <w:tblW w:w="4983" w:type="pct"/>
          <w:tblInd w:w="70" w:type="dxa"/>
          <w:tblCellMar>
            <w:left w:w="70" w:type="dxa"/>
            <w:right w:w="70" w:type="dxa"/>
          </w:tblCellMar>
        </w:tblPrEx>
        <w:trPr>
          <w:trHeight w:val="255"/>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rPr>
                <w:rFonts w:ascii="Arial Narrow" w:hAnsi="Arial Narrow" w:cs="Arial"/>
                <w:b/>
                <w:sz w:val="20"/>
              </w:rPr>
            </w:pPr>
            <w:r w:rsidRPr="007A6189">
              <w:rPr>
                <w:rFonts w:ascii="Arial Narrow" w:hAnsi="Arial Narrow" w:cs="Arial"/>
                <w:b/>
                <w:sz w:val="20"/>
              </w:rPr>
              <w:t>Obranné výdavky celkom</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1 053 770</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1 061 672</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1 142 189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1 142 746</w:t>
            </w:r>
          </w:p>
        </w:tc>
      </w:tr>
      <w:tr>
        <w:tblPrEx>
          <w:tblW w:w="4983" w:type="pct"/>
          <w:tblInd w:w="70" w:type="dxa"/>
          <w:tblCellMar>
            <w:left w:w="70" w:type="dxa"/>
            <w:right w:w="70" w:type="dxa"/>
          </w:tblCellMar>
        </w:tblPrEx>
        <w:trPr>
          <w:trHeight w:val="270"/>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rPr>
                <w:rFonts w:ascii="Arial Narrow" w:hAnsi="Arial Narrow" w:cs="Arial"/>
                <w:b/>
                <w:sz w:val="20"/>
              </w:rPr>
            </w:pPr>
            <w:r w:rsidRPr="007A6189">
              <w:rPr>
                <w:rFonts w:ascii="Arial Narrow" w:hAnsi="Arial Narrow" w:cs="Arial"/>
                <w:b/>
                <w:sz w:val="20"/>
              </w:rPr>
              <w:t>Podiel na HDP v %</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1,596</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1,421</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1,407</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7A6189" w:rsidP="00AE49BA">
            <w:pPr>
              <w:jc w:val="right"/>
              <w:rPr>
                <w:rFonts w:ascii="Arial Narrow" w:hAnsi="Arial Narrow" w:cs="Arial"/>
                <w:b/>
                <w:sz w:val="20"/>
              </w:rPr>
            </w:pPr>
            <w:r w:rsidRPr="007A6189">
              <w:rPr>
                <w:rFonts w:ascii="Arial Narrow" w:hAnsi="Arial Narrow" w:cs="Arial"/>
                <w:b/>
                <w:sz w:val="20"/>
              </w:rPr>
              <w:t>1,297</w:t>
            </w:r>
          </w:p>
        </w:tc>
      </w:tr>
    </w:tbl>
    <w:p w:rsidR="00AE49BA" w:rsidRPr="007A6189" w:rsidP="00AE49BA">
      <w:pPr>
        <w:rPr>
          <w:rFonts w:ascii="Arial Narrow" w:hAnsi="Arial Narrow" w:cs="Times New Roman"/>
          <w:sz w:val="22"/>
          <w:szCs w:val="22"/>
        </w:rPr>
      </w:pPr>
    </w:p>
    <w:p w:rsidR="00AE49BA" w:rsidP="00AE49BA">
      <w:pPr>
        <w:ind w:firstLine="708"/>
        <w:jc w:val="both"/>
        <w:rPr>
          <w:rFonts w:ascii="Arial Narrow" w:hAnsi="Arial Narrow" w:cs="Times New Roman"/>
          <w:sz w:val="22"/>
          <w:szCs w:val="22"/>
        </w:rPr>
      </w:pPr>
      <w:r>
        <w:rPr>
          <w:rFonts w:ascii="Arial Narrow" w:hAnsi="Arial Narrow" w:cs="Times New Roman"/>
          <w:sz w:val="22"/>
          <w:szCs w:val="22"/>
        </w:rPr>
        <w:t>Zníženie obranných výdavkov k podielu na HDP pre rok 2009 je spôsobené dynamickým tempom hospodárstva a vysokým rastom HDP oproti roku 2006, pri zabezpečení základných úloh a cieľov MO SR. Navrhovaný rozsah výdavkov MO SR vychádza z Programového plánu rezortu ministerstva obrany na roky 2009 až 2014, ktorý stanovuje konkrétne úlohy nevyhnutné pre zabezpečenie obrany štátu a záväzkov prijatých súvisiacich so vstupom do NATO. Zároveň nadväzuje na proces plánovania síl a vojenských spôsobilostí NATO, ktoré sú stanovené v Cieľoch síl 2008, a to  na prednostné dokončenie transformácie ozbrojených síl SR.</w:t>
      </w:r>
    </w:p>
    <w:p w:rsidR="00AE49BA" w:rsidP="00AE49BA">
      <w:pPr>
        <w:jc w:val="both"/>
        <w:rPr>
          <w:rFonts w:ascii="Arial Narrow" w:hAnsi="Arial Narrow" w:cs="Times New Roman"/>
          <w:sz w:val="22"/>
          <w:szCs w:val="22"/>
        </w:rPr>
      </w:pPr>
    </w:p>
    <w:p w:rsidR="00AE49BA" w:rsidRPr="00140F6D" w:rsidP="00AE49BA">
      <w:pPr>
        <w:ind w:firstLine="708"/>
        <w:jc w:val="both"/>
        <w:rPr>
          <w:rFonts w:ascii="Arial Narrow" w:hAnsi="Arial Narrow" w:cs="Times New Roman"/>
          <w:sz w:val="22"/>
          <w:szCs w:val="22"/>
        </w:rPr>
      </w:pPr>
      <w:r>
        <w:rPr>
          <w:rFonts w:ascii="Arial Narrow" w:hAnsi="Arial Narrow" w:cs="Times New Roman"/>
          <w:sz w:val="22"/>
          <w:szCs w:val="22"/>
        </w:rPr>
        <w:t>V programovej štruktúre kapitoly MO SR sú v programe Rozvoj obrany vyčlenené prostriedky orientované najmä na zabezpečenie realizácie komunikačných a informačných systémov, investičných akcií a nákupu nevyhnutnej automobilovej techniky. V programe Obrana sa zabezpečujú úlohy súvisiace najmä s podporou a udržiavaním spôsobilostí jednotiek do síl reakcie NATO a EÚ a do operácií krízového manažmentu. V oblasti medzirezortných podprogramov sa zabezpečujú úlohy v oblasti výskumu a vývoja na podporu obrany štátu a na zabezpečenie úloh hospodárskej mobilizácie.</w:t>
      </w:r>
    </w:p>
    <w:p w:rsidR="00AE49BA" w:rsidP="00AE49BA">
      <w:pPr>
        <w:jc w:val="both"/>
        <w:rPr>
          <w:rFonts w:ascii="Arial Narrow" w:hAnsi="Arial Narrow" w:cs="Times New Roman"/>
          <w:sz w:val="22"/>
        </w:rPr>
      </w:pPr>
    </w:p>
    <w:p w:rsidR="00AE49BA" w:rsidRPr="00C25512" w:rsidP="00AE49BA">
      <w:pPr>
        <w:pBdr>
          <w:bottom w:val="single" w:sz="4" w:space="1" w:color="auto"/>
        </w:pBdr>
        <w:rPr>
          <w:rFonts w:ascii="Arial Narrow" w:hAnsi="Arial Narrow" w:cs="Times New Roman"/>
          <w:b/>
          <w:bCs/>
          <w:sz w:val="22"/>
          <w:szCs w:val="22"/>
        </w:rPr>
      </w:pPr>
      <w:r w:rsidRPr="00C25512">
        <w:rPr>
          <w:rFonts w:ascii="Arial Narrow" w:hAnsi="Arial Narrow" w:cs="Times New Roman"/>
          <w:b/>
          <w:bCs/>
          <w:sz w:val="22"/>
          <w:szCs w:val="22"/>
        </w:rPr>
        <w:t>Bezpečnosť a verejná správa</w:t>
      </w:r>
    </w:p>
    <w:p w:rsidR="00AE49BA" w:rsidP="00AE49BA">
      <w:pPr>
        <w:jc w:val="both"/>
        <w:rPr>
          <w:rFonts w:ascii="Arial Narrow" w:hAnsi="Arial Narrow" w:cs="Times New Roman"/>
          <w:sz w:val="22"/>
          <w:szCs w:val="22"/>
        </w:rPr>
      </w:pPr>
    </w:p>
    <w:p w:rsidR="00AE49BA" w:rsidRPr="000A3E21" w:rsidP="00AE49BA">
      <w:pPr>
        <w:jc w:val="both"/>
        <w:rPr>
          <w:rFonts w:ascii="Arial Narrow" w:hAnsi="Arial Narrow" w:cs="Times New Roman"/>
          <w:b/>
          <w:sz w:val="22"/>
          <w:szCs w:val="22"/>
        </w:rPr>
      </w:pPr>
      <w:r w:rsidRPr="000A3E21">
        <w:rPr>
          <w:rFonts w:ascii="Arial Narrow" w:hAnsi="Arial Narrow" w:cs="Times New Roman"/>
          <w:b/>
          <w:sz w:val="22"/>
          <w:szCs w:val="22"/>
        </w:rPr>
        <w:t>Bezpečnosť</w:t>
      </w:r>
    </w:p>
    <w:p w:rsidR="00AE49BA" w:rsidRPr="000A3E21" w:rsidP="00AE49BA">
      <w:pPr>
        <w:jc w:val="both"/>
        <w:rPr>
          <w:rFonts w:ascii="Arial Narrow" w:hAnsi="Arial Narrow" w:cs="Times New Roman"/>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V roku 2009 sa zdroje štátneho rozpočtu pre oblasť bezpečnosti rozpočtujú v sume 891 mil. eur. V porovnaní s rokom 2006 zaznamenávajú 32,8 % nárast, v porovnaní s rokom 2008 dochádza k 8,6 % nárastu. V uvedenej sume sú plne zohľadnené výdavky na nový systém odmeňovania policajtov v zmysle novely zákona č. 73/1998 Z. z. o štátnej službe príslušníkov Policajného zboru a nový systém odmeňovania hasičov v zmysle pripravovanej novely zákona č. 315/2001 Z.z. o Hasičskom a záchrannom zbore.</w:t>
      </w:r>
    </w:p>
    <w:p w:rsidR="00AE49BA" w:rsidRPr="000A3E21" w:rsidP="00AE49BA">
      <w:pPr>
        <w:jc w:val="both"/>
        <w:rPr>
          <w:rFonts w:ascii="Arial Narrow" w:hAnsi="Arial Narrow" w:cs="Times New Roman"/>
          <w:bCs/>
          <w:iCs/>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Pre Policajný zbor SR a inštitucionálnu podporu MV SR sa rozpočtujú prostriedky v sume 749 mil. eur. V porovnaní s rokom 2006 zaznamenávajú 34,8 % nárast, v porovnaní s rokom 2008 dochádza k 8,0% nárastu. Rozpočtované prostriedky slúžia na zabezpečenie základných úloh na úseku poriadkovej polície, justičnej a kriminálnej polície, dopravnej polície, inšpekčnej služby Policajného zboru SR (ďalej len PZ), útvaru kriminalisticko-expertíznych činností PZ, cudzineckej a hraničnej polície, špecializovaných útvarov polície a migračného úradu MV SR. </w:t>
      </w:r>
      <w:r w:rsidRPr="000A3E21">
        <w:rPr>
          <w:rFonts w:ascii="Arial Narrow" w:hAnsi="Arial Narrow" w:cs="Times New Roman"/>
          <w:b/>
          <w:sz w:val="22"/>
          <w:szCs w:val="22"/>
        </w:rPr>
        <w:t>Na zabezpečenie priameho výkonu policajných úloh a činností v pôsobnosti krajských riaditeľstiev PZ a im podriadených organizácií a útvarov bude k dispozícii 46,9 % celkových výdavkov určených na ochranu verejného poriadku a bezpečnosti</w:t>
      </w:r>
      <w:r w:rsidRPr="000A3E21">
        <w:rPr>
          <w:rFonts w:ascii="Arial Narrow" w:hAnsi="Arial Narrow" w:cs="Times New Roman"/>
          <w:sz w:val="22"/>
          <w:szCs w:val="22"/>
        </w:rPr>
        <w:t xml:space="preserve">. Ide najmä o zabezpečenie platov a s nimi súvisiacich odvodov a nevyhnutné výdavky určené na prevádzku príslušných organizácií a útvarov. Okrem toho sa pre políciu rozpočtujú výdavky na zabezpečenie výučby základného policajného vzdelania, prípravu nižších policajných dôstojníkov a špecializovaného vzdelania  pre priamy výkon policajnej služby. Túto prípravu zabezpečujú stredné odborné školy Policajného zboru. Vyšší stupeň prípravy policajtov a bezpečnostných služieb, ďalšie vzdelávanie vrátane vedeckého poznania a výchovy zabezpečuje Akadémia Policajného zboru. </w:t>
      </w:r>
    </w:p>
    <w:p w:rsidR="00AE49BA" w:rsidRPr="000A3E21" w:rsidP="00AE49BA">
      <w:pPr>
        <w:jc w:val="both"/>
        <w:rPr>
          <w:rFonts w:ascii="Arial Narrow" w:hAnsi="Arial Narrow" w:cs="Times New Roman"/>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Pre </w:t>
      </w:r>
      <w:r w:rsidRPr="000A3E21">
        <w:rPr>
          <w:rFonts w:ascii="Arial Narrow" w:hAnsi="Arial Narrow" w:cs="Times New Roman"/>
          <w:b/>
          <w:sz w:val="22"/>
          <w:szCs w:val="22"/>
        </w:rPr>
        <w:t>hraničnú a cudzineckú políciu sa na ochranu štátnej hranice</w:t>
      </w:r>
      <w:r w:rsidRPr="000A3E21">
        <w:rPr>
          <w:rFonts w:ascii="Arial Narrow" w:hAnsi="Arial Narrow" w:cs="Times New Roman"/>
          <w:sz w:val="22"/>
          <w:szCs w:val="22"/>
        </w:rPr>
        <w:t xml:space="preserve"> zo štátneho rozpočtu rozpočtuje 68,9 mil. eur, pričom ide hlavne o zabezpečenie ochrany vonkajšej hranice EÚ (hranica s Ukrajinou). Na uvedenej sume sa 82,7 % podieľajú výdavky na mzdy a poistné. Na dobudovanie schengenského informačného systému sa predpokladá vynaložiť 1,7 mil. eur. V roku 2009 budú k dispozícií aj prostriedky z </w:t>
      </w:r>
      <w:r w:rsidRPr="000A3E21">
        <w:rPr>
          <w:rFonts w:ascii="Arial Narrow" w:hAnsi="Arial Narrow" w:cs="Times New Roman"/>
          <w:bCs/>
          <w:sz w:val="22"/>
          <w:szCs w:val="22"/>
        </w:rPr>
        <w:t>Fondu pre vonkajšie hranice, ktoré môže Slovenská republika použiť na</w:t>
      </w:r>
      <w:r w:rsidRPr="000A3E21">
        <w:rPr>
          <w:rFonts w:ascii="Arial Narrow" w:hAnsi="Arial Narrow" w:cs="Times New Roman"/>
          <w:sz w:val="22"/>
          <w:szCs w:val="22"/>
        </w:rPr>
        <w:t xml:space="preserve"> financovanie opatrení na nových vonkajších hraniciach EÚ. Ich výška vrátane spolufinancovania sa v roku 2009 predpokladá v sume 1,5 mil. eur. S efektívnou ochranou štátnej hranice je úzko spojená aj </w:t>
      </w:r>
      <w:r w:rsidRPr="000A3E21">
        <w:rPr>
          <w:rFonts w:ascii="Arial Narrow" w:hAnsi="Arial Narrow" w:cs="Times New Roman"/>
          <w:b/>
          <w:sz w:val="22"/>
          <w:szCs w:val="22"/>
        </w:rPr>
        <w:t>problematika azylovej politiky</w:t>
      </w:r>
      <w:r w:rsidRPr="000A3E21">
        <w:rPr>
          <w:rFonts w:ascii="Arial Narrow" w:hAnsi="Arial Narrow" w:cs="Times New Roman"/>
          <w:sz w:val="22"/>
          <w:szCs w:val="22"/>
        </w:rPr>
        <w:t>. Jej výkon zabezpečuje Migračný úrad MV SR, ktorého činnosť sa zameriava na</w:t>
      </w:r>
      <w:r w:rsidRPr="000A3E21">
        <w:rPr>
          <w:rFonts w:ascii="Arial Narrow" w:hAnsi="Arial Narrow" w:cs="Times New Roman"/>
          <w:iCs/>
          <w:sz w:val="22"/>
          <w:szCs w:val="22"/>
        </w:rPr>
        <w:t xml:space="preserve"> prvostupňové správne konanie o udeľovaní azylu cudzincom, ich komplexné finančné a materiálové zabezpečenie pri pobyte v SR, až do rozhodnutia o udelení azylu a integráciu žiadateľov a presídlencov do spoločnosti. Osobitná pozornosť je venovaná azylovej procedúre, prevádzkovaniu zariadení (záchytný a pobytový tábor a integračné stredisko) a integrácii žiadateľov, ktorým bol</w:t>
      </w:r>
      <w:r w:rsidRPr="000A3E21">
        <w:rPr>
          <w:rFonts w:ascii="Arial Narrow" w:hAnsi="Arial Narrow" w:cs="Times New Roman"/>
          <w:sz w:val="22"/>
          <w:szCs w:val="22"/>
        </w:rPr>
        <w:t xml:space="preserve"> udelený azyl do spoločnosti. Na financovanie úloh azylovej politiky bude spolu s prostriedkami z programu Solidarita a riadenie migračných tokov v roku 2009 k dispozícii 8,6 mil. eur.</w:t>
      </w:r>
    </w:p>
    <w:p w:rsidR="00AE49BA" w:rsidRPr="000A3E21" w:rsidP="00AE49BA">
      <w:pPr>
        <w:jc w:val="both"/>
        <w:rPr>
          <w:rFonts w:ascii="Arial Narrow" w:hAnsi="Arial Narrow" w:cs="Times New Roman"/>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Jednou z ďalších služieb pre občanov, ktorú príslušné útvary PZ zabezpečujú je </w:t>
      </w:r>
      <w:r w:rsidRPr="000A3E21">
        <w:rPr>
          <w:rFonts w:ascii="Arial Narrow" w:hAnsi="Arial Narrow" w:cs="Times New Roman"/>
          <w:b/>
          <w:sz w:val="22"/>
          <w:szCs w:val="22"/>
        </w:rPr>
        <w:t>vydávanie osobných dokladov</w:t>
      </w:r>
      <w:r w:rsidRPr="000A3E21">
        <w:rPr>
          <w:rFonts w:ascii="Arial Narrow" w:hAnsi="Arial Narrow" w:cs="Times New Roman"/>
          <w:sz w:val="22"/>
          <w:szCs w:val="22"/>
        </w:rPr>
        <w:t xml:space="preserve">. Na nákup čistopisov dokladov sa plánuje každoročne vynaložiť 7,4 mil. eur. V súvislosti s povinnosťou zabezpečenia </w:t>
      </w:r>
      <w:r w:rsidRPr="000A3E21">
        <w:rPr>
          <w:rFonts w:ascii="Arial Narrow" w:hAnsi="Arial Narrow" w:cs="Times New Roman"/>
          <w:bCs/>
          <w:sz w:val="22"/>
          <w:szCs w:val="22"/>
        </w:rPr>
        <w:t>vydávania osobných dokladov s druhým biometrickým prvkom</w:t>
      </w:r>
      <w:r w:rsidRPr="000A3E21">
        <w:rPr>
          <w:rFonts w:ascii="Arial Narrow" w:hAnsi="Arial Narrow" w:cs="Times New Roman"/>
          <w:sz w:val="22"/>
          <w:szCs w:val="22"/>
        </w:rPr>
        <w:t xml:space="preserve"> sa na technické riešenie personalizácie vrátane technického riešenia kontroly cestovných dokladov rozpočtuje 1,8 mil. eur. V rámci ďalších rozvojových projektov polície sa rozpočtujú prostriedky na „informatizáciu polície“ (Schengenský informačný systém, Integrovaný informačný systém, Policajné informačné systémy). Potreba zavádzania týchto informačných systémov (ďalej len IS) vyplýva jednak zo zastaralých súčasných IS, ako aj z nutnosti dosiahnutia interoperability s IS iných orgánov štátnej správy, resp. IS zahraničných orgánov, s ktorými PZ spolupracuje. Pre vytvorenie optimálnych pracovných podmienok na kvalitné plnenie úloh PZ sa rozpočtujú  výdavky na obnovu výpočtovej techniky, materiálno technického zabezpečenia, vozového parku, výdavky na obstaranie spravodajskej a špeciálnej techniky, ako aj výdavky na  znižovanie investičného dlhu v oblasti správy nehnuteľností – rekonštrukcie budov.</w:t>
      </w:r>
    </w:p>
    <w:p w:rsidR="00AE49BA" w:rsidRPr="000A3E21" w:rsidP="00AE49BA">
      <w:pPr>
        <w:jc w:val="both"/>
        <w:rPr>
          <w:rFonts w:ascii="Arial Narrow" w:hAnsi="Arial Narrow" w:cs="Times New Roman"/>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Vo výdavkoch pre </w:t>
      </w:r>
      <w:r w:rsidRPr="000A3E21">
        <w:rPr>
          <w:rFonts w:ascii="Arial Narrow" w:hAnsi="Arial Narrow" w:cs="Times New Roman"/>
          <w:b/>
          <w:bCs/>
          <w:sz w:val="22"/>
          <w:szCs w:val="22"/>
        </w:rPr>
        <w:t>Záchranné zložky</w:t>
      </w:r>
      <w:r w:rsidRPr="000A3E21">
        <w:rPr>
          <w:rFonts w:ascii="Arial Narrow" w:hAnsi="Arial Narrow" w:cs="Times New Roman"/>
          <w:sz w:val="22"/>
          <w:szCs w:val="22"/>
        </w:rPr>
        <w:t xml:space="preserve"> sa uvažuje s už spomínaným novým systémom odmeňovania hasičov a so súčasnou úrovňou rozpočtového zabezpečenia tovarov, služieb a transferov s prihliadnutím na očakávaný priebeh cenových indexov a inflácie. V porovnaní s rokom 2006 dochádza k nárastu celkových výdavkov na záchranné zložky o 29,5 %. V porovnaní s rokom 2008 dochádza k nárastu celkových výdavkov o 12,7 %. Novelou zákona č. 328/2002 Z. z. o sociálnom zabezpečení policajtov dosiahli hasiči a horskí záchranári rovnaké sociálne výhody ako príslušníci PZ.</w:t>
      </w:r>
    </w:p>
    <w:p w:rsidR="00AE49BA" w:rsidRPr="000A3E21" w:rsidP="00AE49BA">
      <w:pPr>
        <w:jc w:val="both"/>
        <w:rPr>
          <w:rFonts w:ascii="Arial Narrow" w:hAnsi="Arial Narrow" w:cs="Times New Roman"/>
          <w:sz w:val="22"/>
          <w:szCs w:val="22"/>
        </w:rPr>
      </w:pP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Nad rámec rozpočtovaných zdrojov sa v oblasti bezpečnosti (pre PZ a HaZZ) uvažuje s povinným odvodom vo výške 8 % výberu zo zmluvného povinného poistenia motorových vozidiel za predchádzajúci rok, určeným jednotkám polície a hasičským jednotkám na úhradu nákladov spojených s obstaraním materiálno-technického vybavenia, jeho údržbou a s prevádzkovaním a s výstavbou a vybavením koordinačných stredísk integrovaného záchranného systému a operačných stredísk tiesňového volania. V ďalších rokoch sa bude výška odvodu odvíjať od vývoja poistných sadzieb na PZP a počtu registrovaných automobilov. Tento rozsah by mal </w:t>
      </w:r>
      <w:r w:rsidRPr="000A3E21">
        <w:rPr>
          <w:rFonts w:ascii="Arial Narrow" w:hAnsi="Arial Narrow" w:cs="Times New Roman"/>
          <w:bCs/>
          <w:sz w:val="22"/>
          <w:szCs w:val="22"/>
        </w:rPr>
        <w:t>plne pokryť všetky nároky</w:t>
      </w:r>
      <w:r w:rsidRPr="000A3E21">
        <w:rPr>
          <w:rFonts w:ascii="Arial Narrow" w:hAnsi="Arial Narrow" w:cs="Times New Roman"/>
          <w:sz w:val="22"/>
          <w:szCs w:val="22"/>
        </w:rPr>
        <w:t xml:space="preserve"> a požiadavky nielen pre Hasičský a záchranný zbor, ale </w:t>
      </w:r>
      <w:r w:rsidRPr="000A3E21">
        <w:rPr>
          <w:rFonts w:ascii="Arial Narrow" w:hAnsi="Arial Narrow" w:cs="Times New Roman"/>
          <w:bCs/>
          <w:sz w:val="22"/>
          <w:szCs w:val="22"/>
        </w:rPr>
        <w:t>aj pre Integrovaný záchranný systém</w:t>
      </w:r>
      <w:r w:rsidRPr="000A3E21">
        <w:rPr>
          <w:rFonts w:ascii="Arial Narrow" w:hAnsi="Arial Narrow" w:cs="Times New Roman"/>
          <w:sz w:val="22"/>
          <w:szCs w:val="22"/>
        </w:rPr>
        <w:t xml:space="preserve">. </w:t>
      </w:r>
    </w:p>
    <w:p w:rsidR="00AE49BA" w:rsidRPr="000A3E21" w:rsidP="00AE49BA">
      <w:pPr>
        <w:ind w:firstLine="708"/>
        <w:jc w:val="both"/>
        <w:rPr>
          <w:rFonts w:ascii="Arial Narrow" w:hAnsi="Arial Narrow" w:cs="Times New Roman"/>
          <w:sz w:val="22"/>
          <w:szCs w:val="22"/>
        </w:rPr>
      </w:pPr>
      <w:r w:rsidRPr="000A3E21">
        <w:rPr>
          <w:rFonts w:ascii="Arial Narrow" w:hAnsi="Arial Narrow" w:cs="Times New Roman"/>
          <w:sz w:val="22"/>
          <w:szCs w:val="22"/>
        </w:rPr>
        <w:t>Prehľad o skutočnej a predpokladanej výške odvodu zo zmluvného povinného poistenia motorových vozidiel pre MV SR uvádza nasledovná tabuľka.</w:t>
      </w:r>
    </w:p>
    <w:p w:rsidR="00AE49BA" w:rsidRPr="000A3E21" w:rsidP="00AE49BA">
      <w:pPr>
        <w:ind w:firstLine="708"/>
        <w:jc w:val="both"/>
        <w:rPr>
          <w:rFonts w:ascii="Arial Narrow" w:hAnsi="Arial Narrow" w:cs="Times New Roman"/>
          <w:sz w:val="22"/>
          <w:szCs w:val="22"/>
        </w:rPr>
      </w:pPr>
    </w:p>
    <w:tbl>
      <w:tblPr>
        <w:tblW w:w="9189" w:type="dxa"/>
        <w:tblInd w:w="61" w:type="dxa"/>
        <w:tblLayout w:type="fixed"/>
        <w:tblCellMar>
          <w:left w:w="70" w:type="dxa"/>
          <w:right w:w="70" w:type="dxa"/>
        </w:tblCellMar>
      </w:tblPr>
      <w:tblGrid>
        <w:gridCol w:w="1809"/>
        <w:gridCol w:w="820"/>
        <w:gridCol w:w="820"/>
        <w:gridCol w:w="820"/>
        <w:gridCol w:w="820"/>
        <w:gridCol w:w="820"/>
        <w:gridCol w:w="820"/>
        <w:gridCol w:w="820"/>
        <w:gridCol w:w="820"/>
        <w:gridCol w:w="820"/>
      </w:tblGrid>
      <w:tr>
        <w:tblPrEx>
          <w:tblW w:w="9189" w:type="dxa"/>
          <w:tblInd w:w="61" w:type="dxa"/>
          <w:tblLayout w:type="fixed"/>
          <w:tblCellMar>
            <w:left w:w="70" w:type="dxa"/>
            <w:right w:w="70" w:type="dxa"/>
          </w:tblCellMar>
        </w:tblPrEx>
        <w:trPr>
          <w:trHeight w:val="210"/>
        </w:trPr>
        <w:tc>
          <w:tcPr>
            <w:tcW w:w="1809" w:type="dxa"/>
            <w:tcBorders>
              <w:top w:val="single" w:sz="8" w:space="0" w:color="auto"/>
              <w:left w:val="single" w:sz="8" w:space="0" w:color="auto"/>
              <w:bottom w:val="single" w:sz="4" w:space="0" w:color="auto"/>
              <w:right w:val="single" w:sz="4" w:space="0" w:color="auto"/>
              <w:tl2br w:val="nil"/>
              <w:tr2bl w:val="nil"/>
            </w:tcBorders>
            <w:shd w:val="clear" w:color="auto" w:fill="000000"/>
            <w:textDirection w:val="lrTb"/>
            <w:vAlign w:val="bottom"/>
          </w:tcPr>
          <w:p w:rsidR="00AE49BA" w:rsidRPr="000A3E21" w:rsidP="00AE49BA">
            <w:pPr>
              <w:rPr>
                <w:rFonts w:ascii="Arial Narrow" w:hAnsi="Arial Narrow" w:cs="Arial"/>
                <w:b/>
                <w:color w:val="FFFFFF"/>
                <w:sz w:val="20"/>
              </w:rPr>
            </w:pPr>
            <w:r w:rsidRPr="000A3E21">
              <w:rPr>
                <w:rFonts w:ascii="Arial Narrow" w:hAnsi="Arial Narrow" w:cs="Arial"/>
                <w:b/>
                <w:color w:val="FFFFFF"/>
                <w:sz w:val="20"/>
              </w:rPr>
              <w:t>(v tis. eur)</w:t>
            </w:r>
          </w:p>
        </w:tc>
        <w:tc>
          <w:tcPr>
            <w:tcW w:w="820" w:type="dxa"/>
            <w:tcBorders>
              <w:top w:val="single" w:sz="8" w:space="0" w:color="auto"/>
              <w:left w:val="single" w:sz="8" w:space="0" w:color="auto"/>
              <w:bottom w:val="single" w:sz="4" w:space="0" w:color="auto"/>
              <w:right w:val="single" w:sz="8"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2003S</w:t>
            </w:r>
          </w:p>
        </w:tc>
        <w:tc>
          <w:tcPr>
            <w:tcW w:w="820" w:type="dxa"/>
            <w:tcBorders>
              <w:top w:val="single" w:sz="8" w:space="0" w:color="auto"/>
              <w:left w:val="single" w:sz="8" w:space="0" w:color="auto"/>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2004S</w:t>
            </w:r>
          </w:p>
        </w:tc>
        <w:tc>
          <w:tcPr>
            <w:tcW w:w="820"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2005S</w:t>
            </w:r>
          </w:p>
        </w:tc>
        <w:tc>
          <w:tcPr>
            <w:tcW w:w="820" w:type="dxa"/>
            <w:tcBorders>
              <w:top w:val="single" w:sz="8"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2006S</w:t>
            </w:r>
          </w:p>
        </w:tc>
        <w:tc>
          <w:tcPr>
            <w:tcW w:w="820" w:type="dxa"/>
            <w:tcBorders>
              <w:top w:val="single" w:sz="8"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2007S</w:t>
            </w:r>
          </w:p>
        </w:tc>
        <w:tc>
          <w:tcPr>
            <w:tcW w:w="820"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2008S</w:t>
            </w:r>
          </w:p>
        </w:tc>
        <w:tc>
          <w:tcPr>
            <w:tcW w:w="820"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2009P*</w:t>
            </w:r>
          </w:p>
        </w:tc>
        <w:tc>
          <w:tcPr>
            <w:tcW w:w="820" w:type="dxa"/>
            <w:tcBorders>
              <w:top w:val="single" w:sz="8" w:space="0" w:color="auto"/>
              <w:left w:val="nil"/>
              <w:bottom w:val="single" w:sz="4" w:space="0" w:color="auto"/>
              <w:right w:val="single" w:sz="4"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2010P*</w:t>
            </w:r>
          </w:p>
        </w:tc>
        <w:tc>
          <w:tcPr>
            <w:tcW w:w="820" w:type="dxa"/>
            <w:tcBorders>
              <w:top w:val="single" w:sz="8" w:space="0" w:color="auto"/>
              <w:left w:val="nil"/>
              <w:bottom w:val="single" w:sz="4" w:space="0" w:color="auto"/>
              <w:right w:val="single" w:sz="8" w:space="0" w:color="auto"/>
              <w:tl2br w:val="nil"/>
              <w:tr2bl w:val="nil"/>
            </w:tcBorders>
            <w:shd w:val="clear" w:color="auto" w:fill="000000"/>
            <w:textDirection w:val="lrTb"/>
            <w:vAlign w:val="bottom"/>
          </w:tcPr>
          <w:p w:rsidR="00AE49BA" w:rsidRPr="000A3E21" w:rsidP="00AE49BA">
            <w:pPr>
              <w:jc w:val="center"/>
              <w:rPr>
                <w:rFonts w:ascii="Arial Narrow" w:hAnsi="Arial Narrow" w:cs="Arial"/>
                <w:b/>
                <w:bCs/>
                <w:color w:val="FFFFFF"/>
                <w:sz w:val="20"/>
              </w:rPr>
            </w:pPr>
            <w:r w:rsidRPr="000A3E21">
              <w:rPr>
                <w:rFonts w:ascii="Arial Narrow" w:hAnsi="Arial Narrow" w:cs="Arial"/>
                <w:b/>
                <w:bCs/>
                <w:color w:val="FFFFFF"/>
                <w:sz w:val="20"/>
              </w:rPr>
              <w:t>2011P*</w:t>
            </w:r>
          </w:p>
        </w:tc>
      </w:tr>
      <w:tr>
        <w:tblPrEx>
          <w:tblW w:w="9189" w:type="dxa"/>
          <w:tblInd w:w="61" w:type="dxa"/>
          <w:tblLayout w:type="fixed"/>
          <w:tblCellMar>
            <w:left w:w="70" w:type="dxa"/>
            <w:right w:w="70" w:type="dxa"/>
          </w:tblCellMar>
        </w:tblPrEx>
        <w:trPr>
          <w:trHeight w:val="210"/>
        </w:trPr>
        <w:tc>
          <w:tcPr>
            <w:tcW w:w="1809" w:type="dxa"/>
            <w:tcBorders>
              <w:top w:val="nil"/>
              <w:left w:val="single" w:sz="8" w:space="0" w:color="auto"/>
              <w:bottom w:val="single" w:sz="8" w:space="0" w:color="auto"/>
              <w:right w:val="single" w:sz="4" w:space="0" w:color="auto"/>
              <w:tl2br w:val="nil"/>
              <w:tr2bl w:val="nil"/>
            </w:tcBorders>
            <w:textDirection w:val="lrTb"/>
            <w:vAlign w:val="bottom"/>
          </w:tcPr>
          <w:p w:rsidR="00AE49BA" w:rsidRPr="000A3E21" w:rsidP="00AE49BA">
            <w:pPr>
              <w:rPr>
                <w:rFonts w:ascii="Arial Narrow" w:hAnsi="Arial Narrow" w:cs="Arial"/>
                <w:sz w:val="20"/>
              </w:rPr>
            </w:pPr>
            <w:r w:rsidRPr="000A3E21">
              <w:rPr>
                <w:rFonts w:ascii="Arial Narrow" w:hAnsi="Arial Narrow" w:cs="Arial"/>
                <w:sz w:val="20"/>
              </w:rPr>
              <w:t>odvod 8 % poistného</w:t>
            </w:r>
          </w:p>
        </w:tc>
        <w:tc>
          <w:tcPr>
            <w:tcW w:w="820" w:type="dxa"/>
            <w:tcBorders>
              <w:top w:val="nil"/>
              <w:left w:val="single" w:sz="8" w:space="0" w:color="auto"/>
              <w:bottom w:val="single" w:sz="8" w:space="0" w:color="auto"/>
              <w:right w:val="single" w:sz="8" w:space="0" w:color="auto"/>
              <w:tl2br w:val="nil"/>
              <w:tr2bl w:val="nil"/>
            </w:tcBorders>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13 066</w:t>
            </w:r>
          </w:p>
        </w:tc>
        <w:tc>
          <w:tcPr>
            <w:tcW w:w="820" w:type="dxa"/>
            <w:tcBorders>
              <w:top w:val="nil"/>
              <w:left w:val="single" w:sz="8" w:space="0" w:color="auto"/>
              <w:bottom w:val="single" w:sz="8" w:space="0" w:color="auto"/>
              <w:right w:val="single" w:sz="4" w:space="0" w:color="auto"/>
              <w:tl2br w:val="nil"/>
              <w:tr2bl w:val="nil"/>
            </w:tcBorders>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19 385</w:t>
            </w:r>
          </w:p>
        </w:tc>
        <w:tc>
          <w:tcPr>
            <w:tcW w:w="820" w:type="dxa"/>
            <w:tcBorders>
              <w:top w:val="nil"/>
              <w:left w:val="nil"/>
              <w:bottom w:val="single" w:sz="8" w:space="0" w:color="auto"/>
              <w:right w:val="single" w:sz="4" w:space="0" w:color="auto"/>
              <w:tl2br w:val="nil"/>
              <w:tr2bl w:val="nil"/>
            </w:tcBorders>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22 873</w:t>
            </w:r>
          </w:p>
        </w:tc>
        <w:tc>
          <w:tcPr>
            <w:tcW w:w="820" w:type="dxa"/>
            <w:tcBorders>
              <w:top w:val="single" w:sz="4" w:space="0" w:color="auto"/>
              <w:left w:val="single" w:sz="4" w:space="0" w:color="auto"/>
              <w:bottom w:val="single" w:sz="8" w:space="0" w:color="auto"/>
              <w:right w:val="single" w:sz="4" w:space="0" w:color="auto"/>
              <w:tl2br w:val="nil"/>
              <w:tr2bl w:val="nil"/>
            </w:tcBorders>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21 211</w:t>
            </w:r>
          </w:p>
        </w:tc>
        <w:tc>
          <w:tcPr>
            <w:tcW w:w="820" w:type="dxa"/>
            <w:tcBorders>
              <w:top w:val="nil"/>
              <w:left w:val="single" w:sz="4" w:space="0" w:color="auto"/>
              <w:bottom w:val="single" w:sz="8" w:space="0" w:color="auto"/>
              <w:right w:val="single" w:sz="4" w:space="0" w:color="auto"/>
              <w:tl2br w:val="nil"/>
              <w:tr2bl w:val="nil"/>
            </w:tcBorders>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24 255</w:t>
            </w:r>
          </w:p>
        </w:tc>
        <w:tc>
          <w:tcPr>
            <w:tcW w:w="820" w:type="dxa"/>
            <w:tcBorders>
              <w:top w:val="nil"/>
              <w:left w:val="nil"/>
              <w:bottom w:val="single" w:sz="8" w:space="0" w:color="auto"/>
              <w:right w:val="single" w:sz="4" w:space="0" w:color="auto"/>
              <w:tl2br w:val="nil"/>
              <w:tr2bl w:val="nil"/>
            </w:tcBorders>
            <w:noWrap/>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24 278</w:t>
            </w:r>
          </w:p>
        </w:tc>
        <w:tc>
          <w:tcPr>
            <w:tcW w:w="820" w:type="dxa"/>
            <w:tcBorders>
              <w:top w:val="nil"/>
              <w:left w:val="nil"/>
              <w:bottom w:val="single" w:sz="8" w:space="0" w:color="auto"/>
              <w:right w:val="single" w:sz="4" w:space="0" w:color="auto"/>
              <w:tl2br w:val="nil"/>
              <w:tr2bl w:val="nil"/>
            </w:tcBorders>
            <w:noWrap/>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24 763</w:t>
            </w:r>
          </w:p>
        </w:tc>
        <w:tc>
          <w:tcPr>
            <w:tcW w:w="820" w:type="dxa"/>
            <w:tcBorders>
              <w:top w:val="nil"/>
              <w:left w:val="nil"/>
              <w:bottom w:val="single" w:sz="8" w:space="0" w:color="auto"/>
              <w:right w:val="single" w:sz="4" w:space="0" w:color="auto"/>
              <w:tl2br w:val="nil"/>
              <w:tr2bl w:val="nil"/>
            </w:tcBorders>
            <w:noWrap/>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25 259</w:t>
            </w:r>
          </w:p>
        </w:tc>
        <w:tc>
          <w:tcPr>
            <w:tcW w:w="820" w:type="dxa"/>
            <w:tcBorders>
              <w:top w:val="nil"/>
              <w:left w:val="nil"/>
              <w:bottom w:val="single" w:sz="8" w:space="0" w:color="auto"/>
              <w:right w:val="single" w:sz="8" w:space="0" w:color="auto"/>
              <w:tl2br w:val="nil"/>
              <w:tr2bl w:val="nil"/>
            </w:tcBorders>
            <w:noWrap/>
            <w:textDirection w:val="lrTb"/>
            <w:vAlign w:val="bottom"/>
          </w:tcPr>
          <w:p w:rsidR="00AE49BA" w:rsidRPr="000A3E21" w:rsidP="00AE49BA">
            <w:pPr>
              <w:jc w:val="right"/>
              <w:rPr>
                <w:rFonts w:ascii="Arial Narrow" w:hAnsi="Arial Narrow" w:cs="Arial"/>
                <w:sz w:val="20"/>
              </w:rPr>
            </w:pPr>
            <w:r w:rsidRPr="000A3E21">
              <w:rPr>
                <w:rFonts w:ascii="Arial Narrow" w:hAnsi="Arial Narrow" w:cs="Arial"/>
                <w:sz w:val="20"/>
              </w:rPr>
              <w:t>25 764</w:t>
            </w:r>
          </w:p>
        </w:tc>
      </w:tr>
    </w:tbl>
    <w:p w:rsidR="00AE49BA" w:rsidRPr="000A3E21" w:rsidP="00AE49BA">
      <w:pPr>
        <w:jc w:val="both"/>
        <w:rPr>
          <w:rFonts w:ascii="Arial Narrow" w:hAnsi="Arial Narrow" w:cs="Times New Roman"/>
          <w:sz w:val="16"/>
          <w:szCs w:val="16"/>
        </w:rPr>
      </w:pPr>
      <w:r w:rsidRPr="000A3E21">
        <w:rPr>
          <w:rFonts w:ascii="Arial Narrow" w:hAnsi="Arial Narrow" w:cs="Times New Roman"/>
          <w:sz w:val="16"/>
          <w:szCs w:val="16"/>
        </w:rPr>
        <w:t xml:space="preserve">* roky 2009 až 2011 predstavujú predpoklad MF SR </w:t>
      </w:r>
    </w:p>
    <w:p w:rsidR="00AE49BA" w:rsidRPr="000A3E21" w:rsidP="00AE49BA">
      <w:pPr>
        <w:jc w:val="both"/>
        <w:rPr>
          <w:rFonts w:ascii="Arial Narrow" w:hAnsi="Arial Narrow" w:cs="Times New Roman"/>
          <w:sz w:val="22"/>
          <w:szCs w:val="22"/>
        </w:rPr>
      </w:pPr>
    </w:p>
    <w:p w:rsidR="00AE49BA" w:rsidRPr="00846A90" w:rsidP="00AE49BA">
      <w:pPr>
        <w:ind w:firstLine="708"/>
        <w:jc w:val="both"/>
        <w:rPr>
          <w:rFonts w:ascii="Arial Narrow" w:hAnsi="Arial Narrow" w:cs="Times New Roman"/>
          <w:sz w:val="22"/>
          <w:szCs w:val="22"/>
        </w:rPr>
      </w:pPr>
      <w:r w:rsidRPr="000A3E21">
        <w:rPr>
          <w:rFonts w:ascii="Arial Narrow" w:hAnsi="Arial Narrow" w:cs="Times New Roman"/>
          <w:sz w:val="22"/>
          <w:szCs w:val="22"/>
        </w:rPr>
        <w:t xml:space="preserve">Návrh rozpočtu pre rozpočtovú kapitolu </w:t>
      </w:r>
      <w:r w:rsidRPr="000A3E21">
        <w:rPr>
          <w:rFonts w:ascii="Arial Narrow" w:hAnsi="Arial Narrow" w:cs="Times New Roman"/>
          <w:b/>
          <w:bCs/>
          <w:sz w:val="22"/>
          <w:szCs w:val="22"/>
        </w:rPr>
        <w:t>Národný bezpečnostný úrad</w:t>
      </w:r>
      <w:r w:rsidRPr="000A3E21">
        <w:rPr>
          <w:rFonts w:ascii="Arial Narrow" w:hAnsi="Arial Narrow" w:cs="Times New Roman"/>
          <w:sz w:val="22"/>
          <w:szCs w:val="22"/>
        </w:rPr>
        <w:t xml:space="preserve"> umožní finančne zabezpečiť realizáciu úloh súvisiacich s ochranou utajovaných skutočností, bezpečnosťou komunikačných a informačných systémov a elektronickým podpisom. Výdavky v roku 2009 sú vyššie oproti roku 2006 ako aj oproti roku 2008 rovnako o 9,7 %. V rámci ochrany utajovaných skutočností sa zabezpečuje realizácia previerok personálnej a priemyselnej bezpečnosti, vykonávanie certifikačných procesov mechanických zábranných a technických zabezpečovacích prostriedkov na splnenie požadovanej úrovne zabezpečenia ochrany objektov, chránených priestorov a informácií, spracovávanie došlých utajovaných skutočností v rámci medzinárodnej spolupráce a metodické školenia pracovníkov registrov utajovaných skutočností. V oblasti bezpečnosti a komunikačných a informačných systémov sa rozpočtujú prostriedky na zvýšenie spoľahlivosti a funkčnosti integrovaného komunikačného systému pre ústavných a vládnych činiteľov, výskum a vývoj nových prostriedkov šifrovej ochrany informácií, certifikáciu prostriedkov šifrovej ochrany informácií a certifikáciu technických prostriedkov</w:t>
      </w:r>
      <w:r w:rsidRPr="00846A90">
        <w:rPr>
          <w:rFonts w:ascii="Arial Narrow" w:hAnsi="Arial Narrow" w:cs="Times New Roman"/>
          <w:sz w:val="22"/>
          <w:szCs w:val="22"/>
        </w:rPr>
        <w:t xml:space="preserve"> potrebných na ochranu utajovaných skutočností. Cieľom plnenia úloh na úseku elektronického podpisu je vytvorenie podmienok na zabezpečenie riadnej prevádzky jednotlivých informačných systémov orgánov štátnej správy s cieľom poskytovania služieb občanom elektronickou formou.</w:t>
      </w:r>
    </w:p>
    <w:p w:rsidR="00AE49BA" w:rsidRPr="00846A90" w:rsidP="00AE49BA">
      <w:pPr>
        <w:jc w:val="both"/>
        <w:rPr>
          <w:rFonts w:ascii="Arial Narrow" w:hAnsi="Arial Narrow" w:cs="Times New Roman"/>
          <w:sz w:val="22"/>
          <w:szCs w:val="22"/>
        </w:rPr>
      </w:pPr>
    </w:p>
    <w:p w:rsidR="00AE49BA" w:rsidRPr="00846A90" w:rsidP="00AE49BA">
      <w:pPr>
        <w:ind w:firstLine="708"/>
        <w:jc w:val="both"/>
        <w:rPr>
          <w:rFonts w:ascii="Arial Narrow" w:hAnsi="Arial Narrow" w:cs="Times New Roman"/>
          <w:sz w:val="22"/>
          <w:szCs w:val="22"/>
        </w:rPr>
      </w:pPr>
      <w:r w:rsidRPr="00846A90">
        <w:rPr>
          <w:rFonts w:ascii="Arial Narrow" w:hAnsi="Arial Narrow" w:cs="Times New Roman"/>
          <w:sz w:val="22"/>
          <w:szCs w:val="22"/>
        </w:rPr>
        <w:t xml:space="preserve">Rozpočet výdavkov rozpočtovej kapitoly </w:t>
      </w:r>
      <w:r w:rsidRPr="00846A90">
        <w:rPr>
          <w:rFonts w:ascii="Arial Narrow" w:hAnsi="Arial Narrow" w:cs="Times New Roman"/>
          <w:b/>
          <w:bCs/>
          <w:sz w:val="22"/>
          <w:szCs w:val="22"/>
        </w:rPr>
        <w:t>Slovenská informačná služba</w:t>
      </w:r>
      <w:r w:rsidRPr="00846A90">
        <w:rPr>
          <w:rFonts w:ascii="Arial Narrow" w:hAnsi="Arial Narrow" w:cs="Times New Roman"/>
          <w:sz w:val="22"/>
          <w:szCs w:val="22"/>
        </w:rPr>
        <w:t xml:space="preserve"> zabezpečí pokrytie bežných prevádzkových výdavkov súvisiacich s hlavnou činnosťou kapitoly a realizáciu plánovaných rozvojových projektov. Ide o zabezpečenie platových náležitostí, vrátane zahraničnej služby a príslušného poistného pre zamestnancov služby, prevádzkové výdavky, úhrady energií a zákonné nároky príslušníkov SIS. V porovnaní s rokom 2008 sú výdavky kapitoly vyššie o 7 %.</w:t>
      </w:r>
    </w:p>
    <w:p w:rsidR="00AE49BA" w:rsidRPr="00846A90" w:rsidP="00AE49BA">
      <w:pPr>
        <w:jc w:val="both"/>
        <w:rPr>
          <w:rFonts w:ascii="Arial Narrow" w:hAnsi="Arial Narrow" w:cs="Times New Roman"/>
          <w:b/>
          <w:sz w:val="22"/>
          <w:szCs w:val="22"/>
        </w:rPr>
      </w:pPr>
    </w:p>
    <w:p w:rsidR="00791FA9" w:rsidP="00AE49BA">
      <w:pPr>
        <w:jc w:val="both"/>
        <w:rPr>
          <w:rFonts w:ascii="Arial Narrow" w:hAnsi="Arial Narrow" w:cs="Times New Roman"/>
          <w:b/>
          <w:sz w:val="22"/>
          <w:szCs w:val="22"/>
        </w:rPr>
      </w:pPr>
    </w:p>
    <w:p w:rsidR="00791FA9" w:rsidP="00AE49BA">
      <w:pPr>
        <w:jc w:val="both"/>
        <w:rPr>
          <w:rFonts w:ascii="Arial Narrow" w:hAnsi="Arial Narrow" w:cs="Times New Roman"/>
          <w:b/>
          <w:sz w:val="22"/>
          <w:szCs w:val="22"/>
        </w:rPr>
      </w:pPr>
    </w:p>
    <w:p w:rsidR="00791FA9" w:rsidP="00AE49BA">
      <w:pPr>
        <w:jc w:val="both"/>
        <w:rPr>
          <w:rFonts w:ascii="Arial Narrow" w:hAnsi="Arial Narrow" w:cs="Times New Roman"/>
          <w:b/>
          <w:sz w:val="22"/>
          <w:szCs w:val="22"/>
        </w:rPr>
      </w:pPr>
    </w:p>
    <w:p w:rsidR="00791FA9" w:rsidP="00AE49BA">
      <w:pPr>
        <w:jc w:val="both"/>
        <w:rPr>
          <w:rFonts w:ascii="Arial Narrow" w:hAnsi="Arial Narrow" w:cs="Times New Roman"/>
          <w:b/>
          <w:sz w:val="22"/>
          <w:szCs w:val="22"/>
        </w:rPr>
      </w:pPr>
    </w:p>
    <w:p w:rsidR="00791FA9" w:rsidP="00AE49BA">
      <w:pPr>
        <w:jc w:val="both"/>
        <w:rPr>
          <w:rFonts w:ascii="Arial Narrow" w:hAnsi="Arial Narrow" w:cs="Times New Roman"/>
          <w:b/>
          <w:sz w:val="22"/>
          <w:szCs w:val="22"/>
        </w:rPr>
      </w:pPr>
    </w:p>
    <w:p w:rsidR="00AE49BA" w:rsidRPr="00846A90" w:rsidP="00AE49BA">
      <w:pPr>
        <w:jc w:val="both"/>
        <w:rPr>
          <w:rFonts w:ascii="Arial Narrow" w:hAnsi="Arial Narrow" w:cs="Times New Roman"/>
          <w:b/>
          <w:sz w:val="22"/>
          <w:szCs w:val="22"/>
        </w:rPr>
      </w:pPr>
      <w:r w:rsidRPr="00846A90">
        <w:rPr>
          <w:rFonts w:ascii="Arial Narrow" w:hAnsi="Arial Narrow" w:cs="Times New Roman"/>
          <w:b/>
          <w:sz w:val="22"/>
          <w:szCs w:val="22"/>
        </w:rPr>
        <w:t>Verejná správa</w:t>
      </w:r>
    </w:p>
    <w:p w:rsidR="00AE49BA" w:rsidRPr="00846A90" w:rsidP="00AE49BA">
      <w:pPr>
        <w:jc w:val="both"/>
        <w:rPr>
          <w:rFonts w:ascii="Arial Narrow" w:hAnsi="Arial Narrow" w:cs="Times New Roman"/>
          <w:b/>
          <w:sz w:val="22"/>
          <w:szCs w:val="22"/>
        </w:rPr>
      </w:pPr>
    </w:p>
    <w:tbl>
      <w:tblPr>
        <w:tblW w:w="91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4"/>
        <w:gridCol w:w="1125"/>
        <w:gridCol w:w="1125"/>
        <w:gridCol w:w="1125"/>
        <w:gridCol w:w="1125"/>
      </w:tblGrid>
      <w:tr>
        <w:tblPrEx>
          <w:tblW w:w="91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9194" w:type="dxa"/>
          <w:tblInd w:w="56" w:type="dxa"/>
          <w:tblLayout w:type="fixed"/>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rPr>
                <w:rFonts w:ascii="Arial Narrow" w:hAnsi="Arial Narrow" w:cs="Arial"/>
                <w:sz w:val="20"/>
              </w:rPr>
            </w:pPr>
            <w:r w:rsidRPr="005A7C86">
              <w:rPr>
                <w:rFonts w:ascii="Arial Narrow" w:hAnsi="Arial Narrow" w:cs="Arial"/>
                <w:sz w:val="20"/>
              </w:rPr>
              <w:t>Riadenie a výkon obvodných úradov</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jc w:val="right"/>
              <w:rPr>
                <w:rFonts w:ascii="Arial Narrow" w:hAnsi="Arial Narrow" w:cs="Arial"/>
                <w:sz w:val="20"/>
              </w:rPr>
            </w:pPr>
            <w:r w:rsidRPr="005A7C86">
              <w:rPr>
                <w:rFonts w:ascii="Arial Narrow" w:hAnsi="Arial Narrow" w:cs="Arial"/>
                <w:sz w:val="20"/>
              </w:rPr>
              <w:t>57 783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56 371</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55 377</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55 241</w:t>
            </w:r>
          </w:p>
        </w:tc>
      </w:tr>
      <w:tr>
        <w:tblPrEx>
          <w:tblW w:w="9194" w:type="dxa"/>
          <w:tblInd w:w="56" w:type="dxa"/>
          <w:tblLayout w:type="fixed"/>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rPr>
                <w:rFonts w:ascii="Arial Narrow" w:hAnsi="Arial Narrow" w:cs="Arial"/>
                <w:sz w:val="20"/>
              </w:rPr>
            </w:pPr>
            <w:r w:rsidRPr="005A7C86">
              <w:rPr>
                <w:rFonts w:ascii="Arial Narrow" w:hAnsi="Arial Narrow" w:cs="Arial"/>
                <w:sz w:val="20"/>
              </w:rPr>
              <w:t>Archívnictvo</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jc w:val="right"/>
              <w:rPr>
                <w:rFonts w:ascii="Arial Narrow" w:hAnsi="Arial Narrow" w:cs="Arial"/>
                <w:sz w:val="20"/>
              </w:rPr>
            </w:pPr>
            <w:r w:rsidRPr="005A7C86">
              <w:rPr>
                <w:rFonts w:ascii="Arial Narrow" w:hAnsi="Arial Narrow" w:cs="Arial"/>
                <w:sz w:val="20"/>
              </w:rPr>
              <w:t>7 523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9 452</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8 343</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8 502</w:t>
            </w:r>
          </w:p>
        </w:tc>
      </w:tr>
      <w:tr>
        <w:tblPrEx>
          <w:tblW w:w="9194" w:type="dxa"/>
          <w:tblInd w:w="56" w:type="dxa"/>
          <w:tblLayout w:type="fixed"/>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rPr>
                <w:rFonts w:ascii="Arial Narrow" w:hAnsi="Arial Narrow" w:cs="Arial"/>
                <w:sz w:val="20"/>
              </w:rPr>
            </w:pPr>
            <w:r w:rsidRPr="005A7C86">
              <w:rPr>
                <w:rFonts w:ascii="Arial Narrow" w:hAnsi="Arial Narrow" w:cs="Arial"/>
                <w:sz w:val="20"/>
              </w:rPr>
              <w:t>Voľby</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5A7C86" w:rsidP="00AE49BA">
            <w:pPr>
              <w:jc w:val="right"/>
              <w:rPr>
                <w:rFonts w:ascii="Arial Narrow" w:hAnsi="Arial Narrow" w:cs="Arial"/>
                <w:sz w:val="20"/>
              </w:rPr>
            </w:pPr>
            <w:r w:rsidRPr="005A7C86">
              <w:rPr>
                <w:rFonts w:ascii="Arial Narrow" w:hAnsi="Arial Narrow" w:cs="Arial"/>
                <w:sz w:val="20"/>
              </w:rPr>
              <w:t>398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22 848</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13 044</w:t>
            </w:r>
          </w:p>
        </w:tc>
        <w:tc>
          <w:tcPr>
            <w:tcW w:w="112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DC4A60" w:rsidP="00AE49BA">
            <w:pPr>
              <w:jc w:val="right"/>
              <w:rPr>
                <w:rFonts w:ascii="Arial Narrow" w:hAnsi="Arial Narrow" w:cs="Arial"/>
                <w:sz w:val="20"/>
              </w:rPr>
            </w:pPr>
            <w:r w:rsidRPr="00DC4A60">
              <w:rPr>
                <w:rFonts w:ascii="Arial Narrow" w:hAnsi="Arial Narrow" w:cs="Arial"/>
                <w:sz w:val="20"/>
              </w:rPr>
              <w:t>797</w:t>
            </w:r>
          </w:p>
        </w:tc>
      </w:tr>
      <w:tr>
        <w:tblPrEx>
          <w:tblW w:w="9194" w:type="dxa"/>
          <w:tblInd w:w="56" w:type="dxa"/>
          <w:tblLayout w:type="fixed"/>
          <w:tblCellMar>
            <w:left w:w="70" w:type="dxa"/>
            <w:right w:w="70" w:type="dxa"/>
          </w:tblCellMar>
        </w:tblPrEx>
        <w:trPr>
          <w:trHeight w:val="225"/>
        </w:trPr>
        <w:tc>
          <w:tcPr>
            <w:tcW w:w="4694"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5A7C86" w:rsidP="00AE49BA">
            <w:pPr>
              <w:rPr>
                <w:rFonts w:ascii="Arial Narrow" w:hAnsi="Arial Narrow" w:cs="Arial"/>
                <w:b/>
                <w:sz w:val="20"/>
              </w:rPr>
            </w:pPr>
            <w:r w:rsidRPr="005A7C86">
              <w:rPr>
                <w:rFonts w:ascii="Arial Narrow" w:hAnsi="Arial Narrow" w:cs="Arial"/>
                <w:b/>
                <w:sz w:val="20"/>
              </w:rPr>
              <w:t>Výdavky na verejnú správu spolu</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5A7C86" w:rsidP="00AE49BA">
            <w:pPr>
              <w:jc w:val="right"/>
              <w:rPr>
                <w:rFonts w:ascii="Arial Narrow" w:hAnsi="Arial Narrow" w:cs="Arial"/>
                <w:b/>
                <w:bCs/>
                <w:sz w:val="20"/>
              </w:rPr>
            </w:pPr>
            <w:r w:rsidRPr="005A7C86">
              <w:rPr>
                <w:rFonts w:ascii="Arial Narrow" w:hAnsi="Arial Narrow" w:cs="Arial"/>
                <w:b/>
                <w:bCs/>
                <w:sz w:val="20"/>
              </w:rPr>
              <w:t>65 704</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DC4A60" w:rsidP="00AE49BA">
            <w:pPr>
              <w:jc w:val="right"/>
              <w:rPr>
                <w:rFonts w:ascii="Arial Narrow" w:hAnsi="Arial Narrow" w:cs="Arial"/>
                <w:b/>
                <w:bCs/>
                <w:sz w:val="20"/>
              </w:rPr>
            </w:pPr>
            <w:r w:rsidRPr="00DC4A60">
              <w:rPr>
                <w:rFonts w:ascii="Arial Narrow" w:hAnsi="Arial Narrow" w:cs="Arial"/>
                <w:b/>
                <w:bCs/>
                <w:sz w:val="20"/>
              </w:rPr>
              <w:t>88 671</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DC4A60" w:rsidP="00AE49BA">
            <w:pPr>
              <w:jc w:val="right"/>
              <w:rPr>
                <w:rFonts w:ascii="Arial Narrow" w:hAnsi="Arial Narrow" w:cs="Arial"/>
                <w:b/>
                <w:bCs/>
                <w:sz w:val="20"/>
              </w:rPr>
            </w:pPr>
            <w:r w:rsidRPr="00DC4A60">
              <w:rPr>
                <w:rFonts w:ascii="Arial Narrow" w:hAnsi="Arial Narrow" w:cs="Arial"/>
                <w:b/>
                <w:bCs/>
                <w:sz w:val="20"/>
              </w:rPr>
              <w:t>76 764</w:t>
            </w:r>
          </w:p>
        </w:tc>
        <w:tc>
          <w:tcPr>
            <w:tcW w:w="11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DC4A60" w:rsidP="00AE49BA">
            <w:pPr>
              <w:jc w:val="right"/>
              <w:rPr>
                <w:rFonts w:ascii="Arial Narrow" w:hAnsi="Arial Narrow" w:cs="Arial"/>
                <w:b/>
                <w:bCs/>
                <w:sz w:val="20"/>
              </w:rPr>
            </w:pPr>
            <w:r w:rsidRPr="00DC4A60">
              <w:rPr>
                <w:rFonts w:ascii="Arial Narrow" w:hAnsi="Arial Narrow" w:cs="Arial"/>
                <w:b/>
                <w:bCs/>
                <w:sz w:val="20"/>
              </w:rPr>
              <w:t>64 540</w:t>
            </w:r>
          </w:p>
        </w:tc>
      </w:tr>
    </w:tbl>
    <w:p w:rsidR="00AE49BA" w:rsidRPr="00846A90" w:rsidP="00AE49BA">
      <w:pPr>
        <w:jc w:val="both"/>
        <w:rPr>
          <w:rFonts w:ascii="Arial Narrow" w:hAnsi="Arial Narrow" w:cs="Times New Roman"/>
          <w:sz w:val="22"/>
          <w:szCs w:val="22"/>
        </w:rPr>
      </w:pPr>
    </w:p>
    <w:p w:rsidR="00AE49BA" w:rsidRPr="00846A90" w:rsidP="00AE49BA">
      <w:pPr>
        <w:ind w:firstLine="708"/>
        <w:jc w:val="both"/>
        <w:rPr>
          <w:rFonts w:ascii="Arial Narrow" w:hAnsi="Arial Narrow" w:cs="Times New Roman"/>
          <w:sz w:val="22"/>
          <w:szCs w:val="22"/>
        </w:rPr>
      </w:pPr>
      <w:r w:rsidRPr="00846A90">
        <w:rPr>
          <w:rFonts w:ascii="Arial Narrow" w:hAnsi="Arial Narrow" w:cs="Times New Roman"/>
          <w:b/>
          <w:sz w:val="22"/>
          <w:szCs w:val="22"/>
        </w:rPr>
        <w:t>Obvodné úrady</w:t>
      </w:r>
      <w:r w:rsidRPr="00846A90">
        <w:rPr>
          <w:rFonts w:ascii="Arial Narrow" w:hAnsi="Arial Narrow" w:cs="Times New Roman"/>
          <w:sz w:val="22"/>
          <w:szCs w:val="22"/>
        </w:rPr>
        <w:t xml:space="preserve"> zabezpečujú najmä plnenie úloh v oblasti všeobecnej vnútornej správy, živnostenského podnikania a civilnej ochrany a krízového manažmentu. Celkový objem výdavkov v porovnaní s rokom 2006 klesá o </w:t>
      </w:r>
      <w:r w:rsidRPr="008228F3">
        <w:rPr>
          <w:rFonts w:ascii="Arial Narrow" w:hAnsi="Arial Narrow" w:cs="Times New Roman"/>
          <w:sz w:val="22"/>
          <w:szCs w:val="22"/>
        </w:rPr>
        <w:t>7,2 %, v porovnaní s rokom 2008 dochádza k poklesu o 2,4 %. Uvedená úspora súvisí so zrušením krajských úradov v roku 2007 a zmenou zaradenia príspevkových organizácií Inštitútu pre verejnú správu a</w:t>
      </w:r>
      <w:r>
        <w:rPr>
          <w:rFonts w:ascii="Arial Narrow" w:hAnsi="Arial Narrow" w:cs="Times New Roman"/>
          <w:sz w:val="22"/>
          <w:szCs w:val="22"/>
        </w:rPr>
        <w:t>   IVES-u</w:t>
      </w:r>
      <w:r w:rsidRPr="008228F3">
        <w:rPr>
          <w:rFonts w:ascii="Arial Narrow" w:hAnsi="Arial Narrow" w:cs="Times New Roman"/>
          <w:sz w:val="22"/>
          <w:szCs w:val="22"/>
        </w:rPr>
        <w:t>.</w:t>
      </w:r>
      <w:r>
        <w:rPr>
          <w:rFonts w:ascii="Arial Narrow" w:hAnsi="Arial Narrow" w:cs="Times New Roman"/>
          <w:sz w:val="22"/>
          <w:szCs w:val="22"/>
        </w:rPr>
        <w:t xml:space="preserve"> </w:t>
      </w:r>
      <w:r w:rsidRPr="00846A90">
        <w:rPr>
          <w:rFonts w:ascii="Arial Narrow" w:hAnsi="Arial Narrow" w:cs="Times New Roman"/>
          <w:sz w:val="22"/>
          <w:szCs w:val="22"/>
        </w:rPr>
        <w:t>V rámci všeobecnej vnútornej správy sa plnia úlohy na úseku priestupkov, matrík, na úseku územného a správneho usporiadania, štátnych symbolov, verejných zbierok a sčítania obyvateľov, na úseku volieb a referenda, na úseku hlásenia pobytu občanov a registra obyvateľov, na úseku registrácie, na úseku vydávania osobitných označení vozidiel a preukazov osobitných označení vozidiel a</w:t>
      </w:r>
      <w:r w:rsidRPr="00846A90">
        <w:rPr>
          <w:rFonts w:cs="Times New Roman"/>
        </w:rPr>
        <w:t xml:space="preserve"> </w:t>
      </w:r>
      <w:r w:rsidRPr="00846A90">
        <w:rPr>
          <w:rFonts w:ascii="Arial Narrow" w:hAnsi="Arial Narrow" w:cs="Times New Roman"/>
          <w:sz w:val="22"/>
          <w:szCs w:val="22"/>
        </w:rPr>
        <w:t>na úseku štátneho občianstva. Na prenesený výkon štátnej správy sa tu rozpočtujú výdavky na úseku matrík v sume 5,6 mil. eur a na úseku hlásenia pobytu občanov a registra obyvateľov v sume 1,8 mil. eur.  Výdavky na prenesený výkon štátnej správy sa rozpočtujú na úrovni roka 2008.</w:t>
      </w:r>
    </w:p>
    <w:p w:rsidR="00AE49BA" w:rsidRPr="00846A90" w:rsidP="00AE49BA">
      <w:pPr>
        <w:jc w:val="both"/>
        <w:rPr>
          <w:rFonts w:ascii="Arial Narrow" w:hAnsi="Arial Narrow" w:cs="Times New Roman"/>
          <w:sz w:val="22"/>
          <w:szCs w:val="22"/>
        </w:rPr>
      </w:pPr>
    </w:p>
    <w:p w:rsidR="00AE49BA" w:rsidRPr="00846A90" w:rsidP="00AE49BA">
      <w:pPr>
        <w:ind w:firstLine="708"/>
        <w:jc w:val="both"/>
        <w:rPr>
          <w:rFonts w:ascii="Arial Narrow" w:hAnsi="Arial Narrow" w:cs="Times New Roman"/>
          <w:sz w:val="22"/>
          <w:szCs w:val="22"/>
        </w:rPr>
      </w:pPr>
      <w:r w:rsidRPr="00846A90">
        <w:rPr>
          <w:rFonts w:ascii="Arial Narrow" w:hAnsi="Arial Narrow" w:cs="Times New Roman"/>
          <w:sz w:val="22"/>
          <w:szCs w:val="22"/>
        </w:rPr>
        <w:t xml:space="preserve">Na plnenie úloh štátnej správy </w:t>
      </w:r>
      <w:r w:rsidRPr="00846A90">
        <w:rPr>
          <w:rFonts w:ascii="Arial Narrow" w:hAnsi="Arial Narrow" w:cs="Times New Roman"/>
          <w:b/>
          <w:sz w:val="22"/>
          <w:szCs w:val="22"/>
        </w:rPr>
        <w:t>na úseku archívov a registratúr</w:t>
      </w:r>
      <w:r w:rsidRPr="00846A90">
        <w:rPr>
          <w:rFonts w:ascii="Arial Narrow" w:hAnsi="Arial Narrow" w:cs="Times New Roman"/>
          <w:sz w:val="22"/>
          <w:szCs w:val="22"/>
        </w:rPr>
        <w:t xml:space="preserve"> sú v pôsobnosti rezortu vnútra zriadené 2 štátne ústredné archívy a 8 štátnych archívov s územnou regionálnou pôsobnosťou, ktoré zabezpečujú starostlivosť o archívne dokumenty, ich odborné a vedecké spracovanie a sprístupnenie, ako aj využívanie na vedecké a iné účely. V súčasnej dobe dochádza k postupnej digitalizácii archivovaných materiálov, avšak ich prevedenie do elektronickej formy je závislé od limitovaných finančných zdrojov a personálnych kapacít. V porovnaní s rokom 2006 dochádza k nárastu výdavkov o</w:t>
      </w:r>
      <w:r>
        <w:rPr>
          <w:rFonts w:ascii="Arial Narrow" w:hAnsi="Arial Narrow" w:cs="Times New Roman"/>
          <w:sz w:val="22"/>
          <w:szCs w:val="22"/>
        </w:rPr>
        <w:t> </w:t>
      </w:r>
      <w:r w:rsidRPr="00460227">
        <w:rPr>
          <w:rFonts w:ascii="Arial Narrow" w:hAnsi="Arial Narrow" w:cs="Times New Roman"/>
          <w:sz w:val="22"/>
          <w:szCs w:val="22"/>
        </w:rPr>
        <w:t>13,6 %,</w:t>
      </w:r>
      <w:r w:rsidRPr="00846A90">
        <w:rPr>
          <w:rFonts w:ascii="Arial Narrow" w:hAnsi="Arial Narrow" w:cs="Times New Roman"/>
          <w:sz w:val="22"/>
          <w:szCs w:val="22"/>
        </w:rPr>
        <w:t xml:space="preserve"> v porovnaní s rokom 2008 rastú disponibilné zdroje </w:t>
      </w:r>
      <w:r w:rsidRPr="00460227">
        <w:rPr>
          <w:rFonts w:ascii="Arial Narrow" w:hAnsi="Arial Narrow" w:cs="Times New Roman"/>
          <w:sz w:val="22"/>
          <w:szCs w:val="22"/>
        </w:rPr>
        <w:t>o 25,6 %.</w:t>
      </w:r>
      <w:r w:rsidRPr="00846A90">
        <w:rPr>
          <w:rFonts w:ascii="Arial Narrow" w:hAnsi="Arial Narrow" w:cs="Times New Roman"/>
          <w:sz w:val="22"/>
          <w:szCs w:val="22"/>
        </w:rPr>
        <w:t xml:space="preserve"> V roku 2009 sa predpokladá začatie realizácie novostavby archívu hlavného mesta, keďže súčasné prenajaté priestory sú nevyhovujúce. Rozpočtované náklady sú vo výške 468 tis. eur, pričom celkové náklady sa odhadujú vo výške 6,3 mil. eur. </w:t>
        <w:tab/>
      </w:r>
    </w:p>
    <w:p w:rsidR="00AE49BA" w:rsidRPr="00846A90" w:rsidP="00AE49BA">
      <w:pPr>
        <w:jc w:val="both"/>
        <w:rPr>
          <w:rFonts w:ascii="Arial Narrow" w:hAnsi="Arial Narrow" w:cs="Times New Roman"/>
          <w:sz w:val="22"/>
          <w:szCs w:val="22"/>
        </w:rPr>
      </w:pPr>
    </w:p>
    <w:p w:rsidR="00AE49BA" w:rsidRPr="00846A90" w:rsidP="00AE49BA">
      <w:pPr>
        <w:ind w:firstLine="708"/>
        <w:jc w:val="both"/>
        <w:rPr>
          <w:rFonts w:ascii="Arial Narrow" w:hAnsi="Arial Narrow" w:cs="Times New Roman"/>
          <w:sz w:val="22"/>
          <w:szCs w:val="22"/>
          <w:highlight w:val="yellow"/>
        </w:rPr>
      </w:pPr>
      <w:r w:rsidRPr="00846A90">
        <w:rPr>
          <w:rFonts w:ascii="Arial Narrow" w:hAnsi="Arial Narrow" w:cs="Times New Roman"/>
          <w:b/>
          <w:sz w:val="22"/>
          <w:szCs w:val="22"/>
        </w:rPr>
        <w:t>Na zabezpečenie volieb</w:t>
      </w:r>
      <w:r w:rsidRPr="00846A90">
        <w:rPr>
          <w:rFonts w:ascii="Arial Narrow" w:hAnsi="Arial Narrow" w:cs="Times New Roman"/>
          <w:sz w:val="22"/>
          <w:szCs w:val="22"/>
        </w:rPr>
        <w:t xml:space="preserve"> do orgánov samosprávnych krajov, volieb prezidenta SR, volieb zástupcov do Európskeho parlamentu a doplňujúcich volieb sa v roku 2009 rozpočtujú výdavky v sume 22,8 mil. eur. Na zabezpečenie volieb do orgánov obcí a volieb do NR SR a doplňujúcich volieb sa v roku 2010 rozpočtujú výdavky v sume 13,0 mil. eur.</w:t>
      </w:r>
    </w:p>
    <w:p w:rsidR="00AE49BA" w:rsidP="00AE49BA">
      <w:pPr>
        <w:jc w:val="both"/>
        <w:rPr>
          <w:rFonts w:ascii="Arial Narrow" w:hAnsi="Arial Narrow" w:cs="Times New Roman"/>
          <w:sz w:val="22"/>
          <w:szCs w:val="22"/>
        </w:rPr>
      </w:pPr>
    </w:p>
    <w:p w:rsidR="00AE49BA" w:rsidRPr="00C77794" w:rsidP="00AE49BA">
      <w:pPr>
        <w:jc w:val="both"/>
        <w:rPr>
          <w:rFonts w:ascii="Arial Narrow" w:hAnsi="Arial Narrow" w:cs="Times New Roman"/>
          <w:b/>
          <w:sz w:val="22"/>
          <w:szCs w:val="22"/>
        </w:rPr>
      </w:pPr>
      <w:r>
        <w:rPr>
          <w:rFonts w:ascii="Arial Narrow" w:hAnsi="Arial Narrow" w:cs="Times New Roman"/>
          <w:b/>
          <w:sz w:val="22"/>
          <w:szCs w:val="22"/>
        </w:rPr>
        <w:t>S</w:t>
      </w:r>
      <w:r w:rsidRPr="00C77794">
        <w:rPr>
          <w:rFonts w:ascii="Arial Narrow" w:hAnsi="Arial Narrow" w:cs="Times New Roman"/>
          <w:b/>
          <w:sz w:val="22"/>
          <w:szCs w:val="22"/>
        </w:rPr>
        <w:t>údnictvo a väzenstvo</w:t>
      </w:r>
    </w:p>
    <w:p w:rsidR="00AE49BA" w:rsidRPr="00D72525" w:rsidP="00AE49BA">
      <w:pPr>
        <w:rPr>
          <w:rFonts w:ascii="Arial Narrow" w:hAnsi="Arial Narrow" w:cs="Times New Roman"/>
          <w:sz w:val="22"/>
          <w:szCs w:val="22"/>
        </w:rPr>
      </w:pPr>
    </w:p>
    <w:tbl>
      <w:tblPr>
        <w:tblW w:w="4983" w:type="pct"/>
        <w:tblInd w:w="70" w:type="dxa"/>
        <w:tblCellMar>
          <w:left w:w="70" w:type="dxa"/>
          <w:right w:w="70" w:type="dxa"/>
        </w:tblCellMar>
      </w:tblPr>
      <w:tblGrid>
        <w:gridCol w:w="4679"/>
        <w:gridCol w:w="1126"/>
        <w:gridCol w:w="1126"/>
        <w:gridCol w:w="1126"/>
        <w:gridCol w:w="1124"/>
      </w:tblGrid>
      <w:tr>
        <w:tblPrEx>
          <w:tblW w:w="4983" w:type="pct"/>
          <w:tblInd w:w="70" w:type="dxa"/>
          <w:tblCellMar>
            <w:left w:w="70" w:type="dxa"/>
            <w:right w:w="70" w:type="dxa"/>
          </w:tblCellMar>
        </w:tblPrEx>
        <w:trPr>
          <w:trHeight w:val="210"/>
        </w:trPr>
        <w:tc>
          <w:tcPr>
            <w:tcW w:w="2548"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AE49BA" w:rsidRPr="00EF219E" w:rsidP="00AE49BA">
            <w:pPr>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bCs/>
                <w:color w:val="FFFFFF"/>
                <w:sz w:val="20"/>
              </w:rPr>
              <w:t>(v tis. uer)</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612"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4983" w:type="pct"/>
          <w:tblInd w:w="70" w:type="dxa"/>
          <w:tblCellMar>
            <w:left w:w="70" w:type="dxa"/>
            <w:right w:w="70" w:type="dxa"/>
          </w:tblCellMar>
        </w:tblPrEx>
        <w:trPr>
          <w:trHeight w:val="210"/>
        </w:trPr>
        <w:tc>
          <w:tcPr>
            <w:tcW w:w="2548" w:type="pct"/>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Súdnictvo rezortu spravodlivosti</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129 210</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140 114</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137 933</w:t>
            </w:r>
          </w:p>
        </w:tc>
        <w:tc>
          <w:tcPr>
            <w:tcW w:w="612"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144 739</w:t>
            </w:r>
          </w:p>
        </w:tc>
      </w:tr>
      <w:tr>
        <w:tblPrEx>
          <w:tblW w:w="4983" w:type="pct"/>
          <w:tblInd w:w="70" w:type="dxa"/>
          <w:tblCellMar>
            <w:left w:w="70" w:type="dxa"/>
            <w:right w:w="70" w:type="dxa"/>
          </w:tblCellMar>
        </w:tblPrEx>
        <w:trPr>
          <w:trHeight w:val="210"/>
        </w:trPr>
        <w:tc>
          <w:tcPr>
            <w:tcW w:w="2548" w:type="pct"/>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Kancelária Ústavného súdu SR</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3 693</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5 669</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3 165</w:t>
            </w:r>
          </w:p>
        </w:tc>
        <w:tc>
          <w:tcPr>
            <w:tcW w:w="612"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3 323</w:t>
            </w:r>
          </w:p>
        </w:tc>
      </w:tr>
      <w:tr>
        <w:tblPrEx>
          <w:tblW w:w="4983" w:type="pct"/>
          <w:tblInd w:w="70" w:type="dxa"/>
          <w:tblCellMar>
            <w:left w:w="70" w:type="dxa"/>
            <w:right w:w="70" w:type="dxa"/>
          </w:tblCellMar>
        </w:tblPrEx>
        <w:trPr>
          <w:trHeight w:val="210"/>
        </w:trPr>
        <w:tc>
          <w:tcPr>
            <w:tcW w:w="2548" w:type="pct"/>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Najvyšší súd SR</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7 680</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7 522</w:t>
            </w:r>
          </w:p>
        </w:tc>
        <w:tc>
          <w:tcPr>
            <w:tcW w:w="613"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8 065</w:t>
            </w:r>
          </w:p>
        </w:tc>
        <w:tc>
          <w:tcPr>
            <w:tcW w:w="612" w:type="pct"/>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8 611</w:t>
            </w:r>
          </w:p>
        </w:tc>
      </w:tr>
      <w:tr>
        <w:tblPrEx>
          <w:tblW w:w="4983" w:type="pct"/>
          <w:tblInd w:w="70" w:type="dxa"/>
          <w:tblCellMar>
            <w:left w:w="70" w:type="dxa"/>
            <w:right w:w="70" w:type="dxa"/>
          </w:tblCellMar>
        </w:tblPrEx>
        <w:trPr>
          <w:trHeight w:val="210"/>
        </w:trPr>
        <w:tc>
          <w:tcPr>
            <w:tcW w:w="2548" w:type="pct"/>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Výdavky na súdnictvo celkom</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140 583</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153 305</w:t>
            </w:r>
          </w:p>
        </w:tc>
        <w:tc>
          <w:tcPr>
            <w:tcW w:w="613" w:type="pct"/>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149 163</w:t>
            </w:r>
          </w:p>
        </w:tc>
        <w:tc>
          <w:tcPr>
            <w:tcW w:w="612" w:type="pct"/>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156 673</w:t>
            </w:r>
          </w:p>
        </w:tc>
      </w:tr>
    </w:tbl>
    <w:p w:rsidR="00AE49BA" w:rsidP="00AE49BA">
      <w:pPr>
        <w:jc w:val="both"/>
        <w:rPr>
          <w:rFonts w:ascii="Arial Narrow" w:hAnsi="Arial Narrow" w:cs="Arial Narrow"/>
          <w:sz w:val="22"/>
          <w:szCs w:val="22"/>
          <w:lang w:val="cs-CZ"/>
        </w:rPr>
      </w:pPr>
    </w:p>
    <w:p w:rsidR="00AE49BA" w:rsidRPr="00A03BE1" w:rsidP="00AE49BA">
      <w:pPr>
        <w:ind w:firstLine="708"/>
        <w:jc w:val="both"/>
        <w:rPr>
          <w:rFonts w:ascii="Arial Narrow" w:hAnsi="Arial Narrow" w:cs="Arial"/>
          <w:sz w:val="22"/>
          <w:szCs w:val="22"/>
        </w:rPr>
      </w:pPr>
      <w:r w:rsidRPr="002144A1">
        <w:rPr>
          <w:rFonts w:ascii="Arial Narrow" w:hAnsi="Arial Narrow" w:cs="Arial Narrow"/>
          <w:sz w:val="22"/>
          <w:szCs w:val="22"/>
          <w:lang w:val="cs-CZ"/>
        </w:rPr>
        <w:t xml:space="preserve">Pre </w:t>
      </w:r>
      <w:r w:rsidRPr="002144A1">
        <w:rPr>
          <w:rFonts w:ascii="Arial Narrow" w:hAnsi="Arial Narrow" w:cs="Arial Narrow"/>
          <w:b/>
          <w:sz w:val="22"/>
          <w:szCs w:val="22"/>
          <w:lang w:val="cs-CZ"/>
        </w:rPr>
        <w:t>súdnictvo</w:t>
      </w:r>
      <w:r>
        <w:rPr>
          <w:rFonts w:ascii="Arial Narrow" w:hAnsi="Arial Narrow" w:cs="Arial Narrow"/>
          <w:b/>
          <w:sz w:val="22"/>
          <w:szCs w:val="22"/>
          <w:lang w:val="cs-CZ"/>
        </w:rPr>
        <w:t xml:space="preserve"> v rámci rezortu spravodlivosti</w:t>
      </w:r>
      <w:r w:rsidRPr="002144A1">
        <w:rPr>
          <w:rFonts w:ascii="Arial Narrow" w:hAnsi="Arial Narrow" w:cs="Arial Narrow"/>
          <w:sz w:val="22"/>
          <w:szCs w:val="22"/>
          <w:lang w:val="cs-CZ"/>
        </w:rPr>
        <w:t xml:space="preserve"> sa rozpočtujú </w:t>
      </w:r>
      <w:r w:rsidRPr="002144A1">
        <w:rPr>
          <w:rFonts w:ascii="Arial Narrow" w:hAnsi="Arial Narrow" w:cs="Arial Narrow"/>
          <w:sz w:val="22"/>
          <w:szCs w:val="22"/>
        </w:rPr>
        <w:t>výdavky v </w:t>
      </w:r>
      <w:r w:rsidRPr="00985C1E">
        <w:rPr>
          <w:rFonts w:ascii="Arial Narrow" w:hAnsi="Arial Narrow" w:cs="Arial Narrow"/>
          <w:sz w:val="22"/>
          <w:szCs w:val="22"/>
        </w:rPr>
        <w:t>sume 1</w:t>
      </w:r>
      <w:r>
        <w:rPr>
          <w:rFonts w:ascii="Arial Narrow" w:hAnsi="Arial Narrow" w:cs="Arial Narrow"/>
          <w:sz w:val="22"/>
          <w:szCs w:val="22"/>
        </w:rPr>
        <w:t>40</w:t>
      </w:r>
      <w:r w:rsidRPr="00985C1E">
        <w:rPr>
          <w:rFonts w:ascii="Arial Narrow" w:hAnsi="Arial Narrow" w:cs="Arial Narrow"/>
          <w:sz w:val="22"/>
          <w:szCs w:val="22"/>
        </w:rPr>
        <w:t xml:space="preserve"> mil. eur</w:t>
      </w:r>
      <w:r w:rsidRPr="00985C1E">
        <w:rPr>
          <w:rFonts w:ascii="Arial Narrow" w:hAnsi="Arial Narrow" w:cs="Arial Narrow"/>
          <w:bCs/>
          <w:sz w:val="22"/>
          <w:szCs w:val="22"/>
        </w:rPr>
        <w:t xml:space="preserve">. </w:t>
      </w:r>
      <w:r w:rsidRPr="00985C1E">
        <w:rPr>
          <w:rFonts w:ascii="Arial Narrow" w:hAnsi="Arial Narrow" w:cs="Times New Roman"/>
          <w:sz w:val="22"/>
          <w:szCs w:val="22"/>
        </w:rPr>
        <w:t>V porovnaní s rokom 2006 sú tieto výdavky v roku 2009 vyššie o </w:t>
      </w:r>
      <w:r>
        <w:rPr>
          <w:rFonts w:ascii="Arial Narrow" w:hAnsi="Arial Narrow" w:cs="Times New Roman"/>
          <w:sz w:val="22"/>
          <w:szCs w:val="22"/>
        </w:rPr>
        <w:t>15</w:t>
      </w:r>
      <w:r w:rsidRPr="00985C1E">
        <w:rPr>
          <w:rFonts w:ascii="Arial Narrow" w:hAnsi="Arial Narrow" w:cs="Times New Roman"/>
          <w:sz w:val="22"/>
          <w:szCs w:val="22"/>
        </w:rPr>
        <w:t>,4 % a v porovnaní s rokom 2008 sú vyššie o </w:t>
      </w:r>
      <w:r>
        <w:rPr>
          <w:rFonts w:ascii="Arial Narrow" w:hAnsi="Arial Narrow" w:cs="Times New Roman"/>
          <w:sz w:val="22"/>
          <w:szCs w:val="22"/>
        </w:rPr>
        <w:t>8</w:t>
      </w:r>
      <w:r w:rsidRPr="00985C1E">
        <w:rPr>
          <w:rFonts w:ascii="Arial Narrow" w:hAnsi="Arial Narrow" w:cs="Times New Roman"/>
          <w:sz w:val="22"/>
          <w:szCs w:val="22"/>
        </w:rPr>
        <w:t>,</w:t>
      </w:r>
      <w:r>
        <w:rPr>
          <w:rFonts w:ascii="Arial Narrow" w:hAnsi="Arial Narrow" w:cs="Times New Roman"/>
          <w:sz w:val="22"/>
          <w:szCs w:val="22"/>
        </w:rPr>
        <w:t>4</w:t>
      </w:r>
      <w:r w:rsidRPr="00985C1E">
        <w:rPr>
          <w:rFonts w:ascii="Arial Narrow" w:hAnsi="Arial Narrow" w:cs="Times New Roman"/>
          <w:sz w:val="22"/>
          <w:szCs w:val="22"/>
        </w:rPr>
        <w:t>%. V</w:t>
      </w:r>
      <w:r w:rsidRPr="00985C1E">
        <w:rPr>
          <w:rFonts w:ascii="Arial Narrow" w:hAnsi="Arial Narrow" w:cs="Arial Narrow"/>
          <w:sz w:val="22"/>
          <w:szCs w:val="22"/>
        </w:rPr>
        <w:t xml:space="preserve">ýdavky pre </w:t>
      </w:r>
      <w:r w:rsidRPr="00985C1E">
        <w:rPr>
          <w:rFonts w:ascii="Arial Narrow" w:hAnsi="Arial Narrow" w:cs="Arial Narrow"/>
          <w:sz w:val="22"/>
          <w:szCs w:val="22"/>
          <w:lang w:val="cs-CZ"/>
        </w:rPr>
        <w:t xml:space="preserve">súdnictvo v rámci rezortu spravodlivosti </w:t>
      </w:r>
      <w:r w:rsidRPr="00985C1E">
        <w:rPr>
          <w:rFonts w:ascii="Arial Narrow" w:hAnsi="Arial Narrow" w:cs="Arial Narrow"/>
          <w:sz w:val="22"/>
          <w:szCs w:val="22"/>
        </w:rPr>
        <w:t xml:space="preserve">sú rozpočtované na </w:t>
      </w:r>
      <w:r w:rsidRPr="00985C1E">
        <w:rPr>
          <w:rFonts w:ascii="Arial Narrow" w:hAnsi="Arial Narrow" w:cs="Arial"/>
          <w:sz w:val="22"/>
          <w:szCs w:val="22"/>
        </w:rPr>
        <w:t>personálne a materiálno–technické zabezpečenie činnosti súdov a na efektívny výkon okresných a krajských súdov. Prostriedky slúžia i na zabezpečenie vzdelávacej činnosti s dôrazom na vzdelávanie sudcov.</w:t>
      </w:r>
    </w:p>
    <w:p w:rsidR="00AE49BA" w:rsidP="00AE49BA">
      <w:pPr>
        <w:jc w:val="both"/>
        <w:rPr>
          <w:rFonts w:ascii="Arial Narrow" w:hAnsi="Arial Narrow" w:cs="Arial"/>
          <w:sz w:val="22"/>
          <w:szCs w:val="22"/>
        </w:rPr>
      </w:pPr>
    </w:p>
    <w:p w:rsidR="00AE49BA" w:rsidRPr="00AA66FD" w:rsidP="00AE49BA">
      <w:pPr>
        <w:ind w:firstLine="708"/>
        <w:jc w:val="both"/>
        <w:rPr>
          <w:rFonts w:ascii="Arial Narrow" w:hAnsi="Arial Narrow" w:cs="Times New Roman"/>
          <w:sz w:val="22"/>
          <w:szCs w:val="22"/>
        </w:rPr>
      </w:pPr>
      <w:r w:rsidRPr="00AA66FD">
        <w:rPr>
          <w:rFonts w:ascii="Arial Narrow" w:hAnsi="Arial Narrow" w:cs="Times New Roman"/>
          <w:sz w:val="22"/>
          <w:szCs w:val="22"/>
        </w:rPr>
        <w:t xml:space="preserve">Pre </w:t>
      </w:r>
      <w:r w:rsidRPr="00AA66FD">
        <w:rPr>
          <w:rFonts w:ascii="Arial Narrow" w:hAnsi="Arial Narrow" w:cs="Times New Roman"/>
          <w:b/>
          <w:sz w:val="22"/>
          <w:szCs w:val="22"/>
        </w:rPr>
        <w:t>Kancelári</w:t>
      </w:r>
      <w:r>
        <w:rPr>
          <w:rFonts w:ascii="Arial Narrow" w:hAnsi="Arial Narrow" w:cs="Times New Roman"/>
          <w:b/>
          <w:sz w:val="22"/>
          <w:szCs w:val="22"/>
        </w:rPr>
        <w:t>u</w:t>
      </w:r>
      <w:r w:rsidRPr="00AA66FD">
        <w:rPr>
          <w:rFonts w:ascii="Arial Narrow" w:hAnsi="Arial Narrow" w:cs="Times New Roman"/>
          <w:sz w:val="22"/>
          <w:szCs w:val="22"/>
        </w:rPr>
        <w:t xml:space="preserve"> </w:t>
      </w:r>
      <w:r w:rsidRPr="00AA66FD">
        <w:rPr>
          <w:rFonts w:ascii="Arial Narrow" w:hAnsi="Arial Narrow" w:cs="Times New Roman"/>
          <w:b/>
          <w:sz w:val="22"/>
          <w:szCs w:val="22"/>
        </w:rPr>
        <w:t>Ústavného súdu SR</w:t>
      </w:r>
      <w:r w:rsidRPr="00AA66FD">
        <w:rPr>
          <w:rFonts w:ascii="Arial Narrow" w:hAnsi="Arial Narrow" w:cs="Times New Roman"/>
          <w:sz w:val="22"/>
          <w:szCs w:val="22"/>
        </w:rPr>
        <w:t xml:space="preserve"> sa</w:t>
      </w:r>
      <w:r w:rsidRPr="00AA66FD">
        <w:rPr>
          <w:rFonts w:ascii="Arial Narrow" w:hAnsi="Arial Narrow" w:cs="Arial Narrow"/>
          <w:sz w:val="22"/>
          <w:szCs w:val="22"/>
        </w:rPr>
        <w:t xml:space="preserve"> na rok 2009 </w:t>
      </w:r>
      <w:r w:rsidRPr="00AA66FD">
        <w:rPr>
          <w:rFonts w:ascii="Arial Narrow" w:hAnsi="Arial Narrow" w:cs="Times New Roman"/>
          <w:sz w:val="22"/>
          <w:szCs w:val="22"/>
        </w:rPr>
        <w:t>rozpočtujú v</w:t>
      </w:r>
      <w:r w:rsidRPr="00AA66FD">
        <w:rPr>
          <w:rFonts w:ascii="Arial Narrow" w:hAnsi="Arial Narrow" w:cs="Arial Narrow"/>
          <w:sz w:val="22"/>
          <w:szCs w:val="22"/>
        </w:rPr>
        <w:t>ýdavky n</w:t>
      </w:r>
      <w:r w:rsidRPr="00AA66FD">
        <w:rPr>
          <w:rFonts w:ascii="Arial Narrow" w:hAnsi="Arial Narrow" w:cs="Times New Roman"/>
          <w:sz w:val="22"/>
          <w:szCs w:val="22"/>
        </w:rPr>
        <w:t>a zabezpečenie kvalifikovaného výkonu súdnej moci vrátane zabezpečenia ochrany ústavnosti v presne vymedzených prípadoch s osobitným zreteľom na ochranu práv a slobôd a súladnosť slovenského právneho poriadku. V porovnaní s rokom 2006 sú výdavky kapitoly v roku 2009 vyššie o </w:t>
      </w:r>
      <w:r>
        <w:rPr>
          <w:rFonts w:ascii="Arial Narrow" w:hAnsi="Arial Narrow" w:cs="Times New Roman"/>
          <w:sz w:val="22"/>
          <w:szCs w:val="22"/>
        </w:rPr>
        <w:t>135</w:t>
      </w:r>
      <w:r w:rsidRPr="00AA66FD">
        <w:rPr>
          <w:rFonts w:ascii="Arial Narrow" w:hAnsi="Arial Narrow" w:cs="Times New Roman"/>
          <w:sz w:val="22"/>
          <w:szCs w:val="22"/>
        </w:rPr>
        <w:t xml:space="preserve"> % a v porovnaní s rokom 2008 sú vyššie o </w:t>
      </w:r>
      <w:r>
        <w:rPr>
          <w:rFonts w:ascii="Arial Narrow" w:hAnsi="Arial Narrow" w:cs="Times New Roman"/>
          <w:sz w:val="22"/>
          <w:szCs w:val="22"/>
        </w:rPr>
        <w:t>53</w:t>
      </w:r>
      <w:r w:rsidRPr="00AA66FD">
        <w:rPr>
          <w:rFonts w:ascii="Arial Narrow" w:hAnsi="Arial Narrow" w:cs="Times New Roman"/>
          <w:sz w:val="22"/>
          <w:szCs w:val="22"/>
        </w:rPr>
        <w:t xml:space="preserve"> %.</w:t>
      </w:r>
    </w:p>
    <w:p w:rsidR="00AE49BA" w:rsidP="00AE49BA">
      <w:pPr>
        <w:jc w:val="both"/>
        <w:rPr>
          <w:rFonts w:ascii="Arial Narrow" w:hAnsi="Arial Narrow" w:cs="Arial Narrow"/>
          <w:sz w:val="22"/>
          <w:szCs w:val="22"/>
        </w:rPr>
      </w:pPr>
    </w:p>
    <w:p w:rsidR="00AE49BA" w:rsidRPr="00284C5F" w:rsidP="00AE49BA">
      <w:pPr>
        <w:ind w:firstLine="708"/>
        <w:jc w:val="both"/>
        <w:rPr>
          <w:rFonts w:ascii="Arial Narrow" w:hAnsi="Arial Narrow" w:cs="Arial Narrow"/>
          <w:sz w:val="22"/>
          <w:szCs w:val="22"/>
        </w:rPr>
      </w:pPr>
      <w:r w:rsidRPr="00FA2474">
        <w:rPr>
          <w:rFonts w:ascii="Arial Narrow" w:hAnsi="Arial Narrow" w:cs="Arial Narrow"/>
          <w:sz w:val="22"/>
          <w:szCs w:val="22"/>
        </w:rPr>
        <w:t>Výdavky</w:t>
      </w:r>
      <w:r>
        <w:rPr>
          <w:rFonts w:ascii="Arial Narrow" w:hAnsi="Arial Narrow" w:cs="Arial Narrow"/>
          <w:sz w:val="22"/>
          <w:szCs w:val="22"/>
        </w:rPr>
        <w:t xml:space="preserve"> rozpočtované pre </w:t>
      </w:r>
      <w:r w:rsidRPr="00FA2474">
        <w:rPr>
          <w:rFonts w:ascii="Arial Narrow" w:hAnsi="Arial Narrow" w:cs="Arial Narrow"/>
          <w:b/>
          <w:sz w:val="22"/>
          <w:szCs w:val="22"/>
        </w:rPr>
        <w:t>Najvyšší súd SR</w:t>
      </w:r>
      <w:r>
        <w:rPr>
          <w:rFonts w:ascii="Arial Narrow" w:hAnsi="Arial Narrow" w:cs="Arial Narrow"/>
          <w:sz w:val="22"/>
          <w:szCs w:val="22"/>
        </w:rPr>
        <w:t xml:space="preserve"> sú určené</w:t>
      </w:r>
      <w:r w:rsidRPr="00225872">
        <w:rPr>
          <w:rFonts w:ascii="Arial Narrow" w:hAnsi="Arial Narrow" w:cs="Arial Narrow"/>
          <w:b/>
          <w:sz w:val="22"/>
          <w:szCs w:val="22"/>
        </w:rPr>
        <w:t xml:space="preserve"> </w:t>
      </w:r>
      <w:r w:rsidRPr="004D2732">
        <w:rPr>
          <w:rFonts w:ascii="Arial Narrow" w:hAnsi="Arial Narrow" w:cs="Arial Narrow"/>
          <w:sz w:val="22"/>
          <w:szCs w:val="22"/>
        </w:rPr>
        <w:t>na</w:t>
      </w:r>
      <w:r w:rsidRPr="00F838E3">
        <w:rPr>
          <w:rFonts w:ascii="Arial Narrow" w:hAnsi="Arial Narrow" w:cs="Arial Narrow"/>
          <w:sz w:val="22"/>
          <w:szCs w:val="22"/>
        </w:rPr>
        <w:t xml:space="preserve"> </w:t>
      </w:r>
      <w:r w:rsidRPr="00D84B74">
        <w:rPr>
          <w:rFonts w:ascii="Arial Narrow" w:hAnsi="Arial Narrow" w:cs="Times New Roman"/>
          <w:sz w:val="22"/>
          <w:szCs w:val="22"/>
        </w:rPr>
        <w:t xml:space="preserve">zabezpečenie kvalifikovaného výkonu </w:t>
      </w:r>
      <w:r>
        <w:rPr>
          <w:rFonts w:ascii="Arial Narrow" w:hAnsi="Arial Narrow" w:cs="Times New Roman"/>
          <w:sz w:val="22"/>
          <w:szCs w:val="22"/>
        </w:rPr>
        <w:t>sú</w:t>
      </w:r>
      <w:r w:rsidRPr="00D84B74">
        <w:rPr>
          <w:rFonts w:ascii="Arial Narrow" w:hAnsi="Arial Narrow" w:cs="Times New Roman"/>
          <w:sz w:val="22"/>
          <w:szCs w:val="22"/>
        </w:rPr>
        <w:t>dnej moci vrátane zabezpečenia ochrany ústavnosti v presne vymedzených prípadoch s osobitným zreteľom na ochranu práv a slobôd a súladnosť slovenského právneho poriadku.</w:t>
      </w:r>
      <w:r>
        <w:rPr>
          <w:rFonts w:ascii="Arial Narrow" w:hAnsi="Arial Narrow" w:cs="Times New Roman"/>
          <w:sz w:val="22"/>
          <w:szCs w:val="22"/>
        </w:rPr>
        <w:t xml:space="preserve"> V porovnaní </w:t>
      </w:r>
      <w:r w:rsidRPr="005E2A99">
        <w:rPr>
          <w:rFonts w:ascii="Arial Narrow" w:hAnsi="Arial Narrow" w:cs="Times New Roman"/>
          <w:sz w:val="22"/>
          <w:szCs w:val="22"/>
        </w:rPr>
        <w:t>s rokom 2006 sú výdavky kapitoly v roku 2009 vyššie o </w:t>
      </w:r>
      <w:r>
        <w:rPr>
          <w:rFonts w:ascii="Arial Narrow" w:hAnsi="Arial Narrow" w:cs="Times New Roman"/>
          <w:sz w:val="22"/>
          <w:szCs w:val="22"/>
        </w:rPr>
        <w:t>8</w:t>
      </w:r>
      <w:r w:rsidRPr="005E2A99">
        <w:rPr>
          <w:rFonts w:ascii="Arial Narrow" w:hAnsi="Arial Narrow" w:cs="Times New Roman"/>
          <w:sz w:val="22"/>
          <w:szCs w:val="22"/>
        </w:rPr>
        <w:t>,</w:t>
      </w:r>
      <w:r>
        <w:rPr>
          <w:rFonts w:ascii="Arial Narrow" w:hAnsi="Arial Narrow" w:cs="Times New Roman"/>
          <w:sz w:val="22"/>
          <w:szCs w:val="22"/>
        </w:rPr>
        <w:t>7</w:t>
      </w:r>
      <w:r w:rsidRPr="005E2A99">
        <w:rPr>
          <w:rFonts w:ascii="Arial Narrow" w:hAnsi="Arial Narrow" w:cs="Times New Roman"/>
          <w:sz w:val="22"/>
          <w:szCs w:val="22"/>
        </w:rPr>
        <w:t xml:space="preserve"> % a v porovnaní s rokom 2008 sú </w:t>
      </w:r>
      <w:r>
        <w:rPr>
          <w:rFonts w:ascii="Arial Narrow" w:hAnsi="Arial Narrow" w:cs="Times New Roman"/>
          <w:sz w:val="22"/>
          <w:szCs w:val="22"/>
        </w:rPr>
        <w:t xml:space="preserve">nižšie o 2,1 %. </w:t>
      </w:r>
      <w:r>
        <w:rPr>
          <w:rFonts w:ascii="Arial Narrow" w:hAnsi="Arial Narrow" w:cs="Arial Narrow"/>
          <w:sz w:val="22"/>
          <w:szCs w:val="22"/>
        </w:rPr>
        <w:t xml:space="preserve">V rámci </w:t>
      </w:r>
      <w:r w:rsidRPr="00FA2474">
        <w:rPr>
          <w:rFonts w:ascii="Arial Narrow" w:hAnsi="Arial Narrow" w:cs="Times New Roman"/>
          <w:sz w:val="22"/>
          <w:szCs w:val="22"/>
        </w:rPr>
        <w:t>N</w:t>
      </w:r>
      <w:r>
        <w:rPr>
          <w:rFonts w:ascii="Arial Narrow" w:hAnsi="Arial Narrow" w:cs="Times New Roman"/>
          <w:sz w:val="22"/>
          <w:szCs w:val="22"/>
        </w:rPr>
        <w:t>ajvyššieho súdu SR</w:t>
      </w:r>
      <w:r>
        <w:rPr>
          <w:rFonts w:ascii="Arial Narrow" w:hAnsi="Arial Narrow" w:cs="Arial Narrow"/>
          <w:sz w:val="22"/>
          <w:szCs w:val="22"/>
        </w:rPr>
        <w:t xml:space="preserve"> sú rozpočtované prostriedky</w:t>
      </w:r>
      <w:r w:rsidRPr="00284C5F">
        <w:rPr>
          <w:rFonts w:ascii="Arial Narrow" w:hAnsi="Arial Narrow" w:cs="Arial Narrow"/>
          <w:sz w:val="22"/>
          <w:szCs w:val="22"/>
        </w:rPr>
        <w:t xml:space="preserve"> </w:t>
      </w:r>
      <w:r>
        <w:rPr>
          <w:rFonts w:ascii="Arial Narrow" w:hAnsi="Arial Narrow" w:cs="Arial Narrow"/>
          <w:sz w:val="22"/>
          <w:szCs w:val="22"/>
        </w:rPr>
        <w:t xml:space="preserve">aj </w:t>
      </w:r>
      <w:r w:rsidRPr="00284C5F">
        <w:rPr>
          <w:rFonts w:ascii="Arial Narrow" w:hAnsi="Arial Narrow" w:cs="Arial Narrow"/>
          <w:sz w:val="22"/>
          <w:szCs w:val="22"/>
        </w:rPr>
        <w:t xml:space="preserve">na činnosť </w:t>
      </w:r>
      <w:r w:rsidRPr="00663A5C">
        <w:rPr>
          <w:rFonts w:ascii="Arial Narrow" w:hAnsi="Arial Narrow" w:cs="Arial Narrow"/>
          <w:sz w:val="22"/>
          <w:szCs w:val="22"/>
        </w:rPr>
        <w:t>Kancelárie súdnej rady SR</w:t>
      </w:r>
      <w:r>
        <w:rPr>
          <w:rFonts w:ascii="Arial Narrow" w:hAnsi="Arial Narrow" w:cs="Arial Narrow"/>
          <w:sz w:val="22"/>
          <w:szCs w:val="22"/>
        </w:rPr>
        <w:t>.</w:t>
      </w:r>
    </w:p>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Arial"/>
          <w:sz w:val="22"/>
          <w:szCs w:val="22"/>
        </w:rPr>
      </w:pPr>
      <w:r>
        <w:rPr>
          <w:rFonts w:ascii="Arial Narrow" w:hAnsi="Arial Narrow" w:cs="Arial Narrow"/>
          <w:sz w:val="22"/>
          <w:szCs w:val="22"/>
        </w:rPr>
        <w:t>V</w:t>
      </w:r>
      <w:r w:rsidRPr="00D55228">
        <w:rPr>
          <w:rFonts w:ascii="Arial Narrow" w:hAnsi="Arial Narrow" w:cs="Arial Narrow"/>
          <w:sz w:val="22"/>
          <w:szCs w:val="22"/>
        </w:rPr>
        <w:t xml:space="preserve">ýdavky </w:t>
      </w:r>
      <w:r w:rsidRPr="00D55228">
        <w:rPr>
          <w:rFonts w:ascii="Arial Narrow" w:hAnsi="Arial Narrow" w:cs="Times New Roman"/>
          <w:b/>
          <w:sz w:val="22"/>
          <w:szCs w:val="22"/>
        </w:rPr>
        <w:t>Generáln</w:t>
      </w:r>
      <w:r>
        <w:rPr>
          <w:rFonts w:ascii="Arial Narrow" w:hAnsi="Arial Narrow" w:cs="Times New Roman"/>
          <w:b/>
          <w:sz w:val="22"/>
          <w:szCs w:val="22"/>
        </w:rPr>
        <w:t>ej</w:t>
      </w:r>
      <w:r w:rsidRPr="00D55228">
        <w:rPr>
          <w:rFonts w:ascii="Arial Narrow" w:hAnsi="Arial Narrow" w:cs="Times New Roman"/>
          <w:b/>
          <w:sz w:val="22"/>
          <w:szCs w:val="22"/>
        </w:rPr>
        <w:t xml:space="preserve"> prokuratúr</w:t>
      </w:r>
      <w:r>
        <w:rPr>
          <w:rFonts w:ascii="Arial Narrow" w:hAnsi="Arial Narrow" w:cs="Times New Roman"/>
          <w:b/>
          <w:sz w:val="22"/>
          <w:szCs w:val="22"/>
        </w:rPr>
        <w:t>y</w:t>
      </w:r>
      <w:r w:rsidRPr="00D55228">
        <w:rPr>
          <w:rFonts w:ascii="Arial Narrow" w:hAnsi="Arial Narrow" w:cs="Times New Roman"/>
          <w:b/>
          <w:sz w:val="22"/>
          <w:szCs w:val="22"/>
        </w:rPr>
        <w:t xml:space="preserve"> SR</w:t>
      </w:r>
      <w:r w:rsidRPr="00D55228">
        <w:rPr>
          <w:rFonts w:ascii="Arial Narrow" w:hAnsi="Arial Narrow" w:cs="Arial Narrow"/>
          <w:sz w:val="22"/>
          <w:szCs w:val="22"/>
        </w:rPr>
        <w:t xml:space="preserve"> sú rozpočtované </w:t>
      </w:r>
      <w:r w:rsidRPr="00F07C8D">
        <w:rPr>
          <w:rFonts w:ascii="Arial Narrow" w:hAnsi="Arial Narrow" w:cs="Times New Roman"/>
          <w:sz w:val="22"/>
          <w:szCs w:val="22"/>
        </w:rPr>
        <w:t>na presadzovanie zákonnosti</w:t>
      </w:r>
      <w:r w:rsidRPr="00F07C8D">
        <w:rPr>
          <w:rFonts w:ascii="Arial Narrow" w:hAnsi="Arial Narrow" w:cs="Times New Roman"/>
          <w:sz w:val="22"/>
          <w:szCs w:val="22"/>
          <w:lang w:eastAsia="en-US"/>
        </w:rPr>
        <w:t>, a</w:t>
      </w:r>
      <w:r w:rsidRPr="00F07C8D">
        <w:rPr>
          <w:rFonts w:ascii="Arial Narrow" w:hAnsi="Arial Narrow" w:cs="Arial"/>
          <w:sz w:val="22"/>
          <w:szCs w:val="22"/>
        </w:rPr>
        <w:t xml:space="preserve"> efektivity vo vyšetrovacích a prokurátorských praktikách </w:t>
      </w:r>
      <w:r>
        <w:rPr>
          <w:rFonts w:ascii="Arial Narrow" w:hAnsi="Arial Narrow" w:cs="Arial"/>
          <w:sz w:val="22"/>
          <w:szCs w:val="22"/>
        </w:rPr>
        <w:t>na</w:t>
      </w:r>
      <w:r w:rsidRPr="00F07C8D">
        <w:rPr>
          <w:rFonts w:ascii="Arial Narrow" w:hAnsi="Arial Narrow" w:cs="Arial"/>
          <w:sz w:val="22"/>
          <w:szCs w:val="22"/>
        </w:rPr>
        <w:t xml:space="preserve"> kvalitn</w:t>
      </w:r>
      <w:r>
        <w:rPr>
          <w:rFonts w:ascii="Arial Narrow" w:hAnsi="Arial Narrow" w:cs="Arial"/>
          <w:sz w:val="22"/>
          <w:szCs w:val="22"/>
        </w:rPr>
        <w:t>ý</w:t>
      </w:r>
      <w:r w:rsidRPr="00F07C8D">
        <w:rPr>
          <w:rFonts w:ascii="Arial Narrow" w:hAnsi="Arial Narrow" w:cs="Arial"/>
          <w:sz w:val="22"/>
          <w:szCs w:val="22"/>
        </w:rPr>
        <w:t xml:space="preserve"> výkon a účinnos</w:t>
      </w:r>
      <w:r>
        <w:rPr>
          <w:rFonts w:ascii="Arial Narrow" w:hAnsi="Arial Narrow" w:cs="Arial"/>
          <w:sz w:val="22"/>
          <w:szCs w:val="22"/>
        </w:rPr>
        <w:t>ť</w:t>
      </w:r>
      <w:r w:rsidRPr="00F07C8D">
        <w:rPr>
          <w:rFonts w:ascii="Arial Narrow" w:hAnsi="Arial Narrow" w:cs="Arial"/>
          <w:sz w:val="22"/>
          <w:szCs w:val="22"/>
        </w:rPr>
        <w:t xml:space="preserve"> prokurátorského dozoru v trestnom konaní</w:t>
      </w:r>
      <w:r>
        <w:rPr>
          <w:rFonts w:ascii="Arial Narrow" w:hAnsi="Arial Narrow" w:cs="Arial"/>
          <w:sz w:val="22"/>
          <w:szCs w:val="22"/>
        </w:rPr>
        <w:t>, d</w:t>
      </w:r>
      <w:r w:rsidRPr="00F07C8D">
        <w:rPr>
          <w:rFonts w:ascii="Arial Narrow" w:hAnsi="Arial Narrow" w:cs="Arial"/>
          <w:sz w:val="22"/>
          <w:szCs w:val="22"/>
        </w:rPr>
        <w:t>održiavanie zákonov v netrestnej obla</w:t>
      </w:r>
      <w:r w:rsidRPr="00F07C8D">
        <w:rPr>
          <w:rFonts w:ascii="Arial Narrow" w:hAnsi="Arial Narrow" w:cs="Arial"/>
          <w:sz w:val="22"/>
          <w:szCs w:val="22"/>
        </w:rPr>
        <w:t>s</w:t>
      </w:r>
      <w:r w:rsidRPr="00F07C8D">
        <w:rPr>
          <w:rFonts w:ascii="Arial Narrow" w:hAnsi="Arial Narrow" w:cs="Arial"/>
          <w:sz w:val="22"/>
          <w:szCs w:val="22"/>
        </w:rPr>
        <w:t>ti</w:t>
      </w:r>
      <w:r>
        <w:rPr>
          <w:rFonts w:ascii="Arial Narrow" w:hAnsi="Arial Narrow" w:cs="Arial"/>
          <w:sz w:val="22"/>
          <w:szCs w:val="22"/>
        </w:rPr>
        <w:t xml:space="preserve"> pre </w:t>
      </w:r>
      <w:r w:rsidRPr="00F07C8D">
        <w:rPr>
          <w:rFonts w:ascii="Arial Narrow" w:hAnsi="Arial Narrow" w:cs="Arial"/>
          <w:sz w:val="22"/>
          <w:szCs w:val="22"/>
        </w:rPr>
        <w:t>skvalitnenie postupu a rozhodovania orgánov verejnej správy</w:t>
      </w:r>
      <w:r>
        <w:rPr>
          <w:rFonts w:ascii="Arial Narrow" w:hAnsi="Arial Narrow" w:cs="Arial"/>
          <w:sz w:val="22"/>
          <w:szCs w:val="22"/>
        </w:rPr>
        <w:t xml:space="preserve"> a na</w:t>
      </w:r>
      <w:r w:rsidRPr="00F07C8D">
        <w:rPr>
          <w:rFonts w:ascii="Arial Narrow" w:hAnsi="Arial Narrow" w:cs="Arial"/>
          <w:sz w:val="22"/>
          <w:szCs w:val="22"/>
        </w:rPr>
        <w:t xml:space="preserve"> </w:t>
      </w:r>
      <w:r>
        <w:rPr>
          <w:rFonts w:ascii="Arial Narrow" w:hAnsi="Arial Narrow" w:cs="Arial"/>
          <w:sz w:val="22"/>
          <w:szCs w:val="22"/>
        </w:rPr>
        <w:t>v</w:t>
      </w:r>
      <w:r w:rsidRPr="00F07C8D">
        <w:rPr>
          <w:rFonts w:ascii="Arial Narrow" w:hAnsi="Arial Narrow" w:cs="Arial"/>
          <w:sz w:val="22"/>
          <w:szCs w:val="22"/>
        </w:rPr>
        <w:t>ytvorenie priaznivých materiálnych a finančných podmienok na plnenie úloh rezortu prokuratúry.</w:t>
      </w:r>
      <w:r>
        <w:rPr>
          <w:rFonts w:ascii="Arial Narrow" w:hAnsi="Arial Narrow" w:cs="Arial"/>
          <w:sz w:val="22"/>
          <w:szCs w:val="22"/>
        </w:rPr>
        <w:t xml:space="preserve"> </w:t>
      </w:r>
    </w:p>
    <w:p w:rsidR="00AE49BA" w:rsidRPr="00AA66FD" w:rsidP="00AE49BA">
      <w:pPr>
        <w:jc w:val="both"/>
        <w:outlineLvl w:val="0"/>
        <w:rPr>
          <w:rFonts w:ascii="Arial Narrow" w:hAnsi="Arial Narrow" w:cs="Arial Narrow"/>
          <w:b/>
          <w:bCs/>
          <w:sz w:val="22"/>
          <w:szCs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8"/>
        <w:gridCol w:w="1125"/>
        <w:gridCol w:w="1126"/>
        <w:gridCol w:w="1126"/>
        <w:gridCol w:w="1126"/>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Generálna prokuratúra SR</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54 760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59 018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61 701</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65 780</w:t>
            </w:r>
          </w:p>
        </w:tc>
      </w:tr>
    </w:tbl>
    <w:p w:rsidR="00AE49BA" w:rsidRPr="002629A1" w:rsidP="00AE49BA">
      <w:pPr>
        <w:jc w:val="both"/>
        <w:rPr>
          <w:rFonts w:ascii="Arial Narrow" w:hAnsi="Arial Narrow" w:cs="Times New Roman"/>
          <w:sz w:val="22"/>
          <w:szCs w:val="22"/>
        </w:rPr>
      </w:pPr>
    </w:p>
    <w:p w:rsidR="00AE49BA" w:rsidP="00AE49BA">
      <w:pPr>
        <w:ind w:firstLine="708"/>
        <w:jc w:val="both"/>
        <w:rPr>
          <w:rFonts w:ascii="Arial Narrow" w:hAnsi="Arial Narrow" w:cs="Arial Narrow"/>
          <w:sz w:val="22"/>
          <w:szCs w:val="22"/>
        </w:rPr>
      </w:pPr>
      <w:r>
        <w:rPr>
          <w:rFonts w:ascii="Arial Narrow" w:hAnsi="Arial Narrow" w:cs="Arial Narrow"/>
          <w:sz w:val="22"/>
          <w:szCs w:val="22"/>
        </w:rPr>
        <w:t>P</w:t>
      </w:r>
      <w:r w:rsidRPr="00752B85">
        <w:rPr>
          <w:rFonts w:ascii="Arial Narrow" w:hAnsi="Arial Narrow" w:cs="Arial Narrow"/>
          <w:sz w:val="22"/>
          <w:szCs w:val="22"/>
        </w:rPr>
        <w:t xml:space="preserve">re </w:t>
      </w:r>
      <w:r w:rsidRPr="002837D9">
        <w:rPr>
          <w:rFonts w:ascii="Arial Narrow" w:hAnsi="Arial Narrow" w:cs="Arial Narrow"/>
          <w:b/>
          <w:sz w:val="22"/>
          <w:szCs w:val="22"/>
        </w:rPr>
        <w:t>väzenstvo</w:t>
      </w:r>
      <w:r w:rsidRPr="00752B85">
        <w:rPr>
          <w:rFonts w:ascii="Arial Narrow" w:hAnsi="Arial Narrow" w:cs="Arial Narrow"/>
          <w:sz w:val="22"/>
          <w:szCs w:val="22"/>
        </w:rPr>
        <w:t xml:space="preserve"> </w:t>
      </w:r>
      <w:r>
        <w:rPr>
          <w:rFonts w:ascii="Arial Narrow" w:hAnsi="Arial Narrow" w:cs="Arial Narrow"/>
          <w:sz w:val="22"/>
          <w:szCs w:val="22"/>
        </w:rPr>
        <w:t xml:space="preserve">sa v </w:t>
      </w:r>
      <w:r w:rsidRPr="00743333">
        <w:rPr>
          <w:rFonts w:ascii="Arial Narrow" w:hAnsi="Arial Narrow" w:cs="Arial Narrow"/>
          <w:sz w:val="22"/>
          <w:szCs w:val="22"/>
        </w:rPr>
        <w:t>rok</w:t>
      </w:r>
      <w:r>
        <w:rPr>
          <w:rFonts w:ascii="Arial Narrow" w:hAnsi="Arial Narrow" w:cs="Arial Narrow"/>
          <w:sz w:val="22"/>
          <w:szCs w:val="22"/>
        </w:rPr>
        <w:t>u</w:t>
      </w:r>
      <w:r w:rsidRPr="00743333">
        <w:rPr>
          <w:rFonts w:ascii="Arial Narrow" w:hAnsi="Arial Narrow" w:cs="Arial Narrow"/>
          <w:sz w:val="22"/>
          <w:szCs w:val="22"/>
        </w:rPr>
        <w:t xml:space="preserve"> 2009 </w:t>
      </w:r>
      <w:r>
        <w:rPr>
          <w:rFonts w:ascii="Arial Narrow" w:hAnsi="Arial Narrow" w:cs="Arial Narrow"/>
          <w:sz w:val="22"/>
          <w:szCs w:val="22"/>
        </w:rPr>
        <w:t xml:space="preserve">rozpočtujú výdavky pre predpokladaný priemerný </w:t>
      </w:r>
      <w:r w:rsidRPr="00F06F66">
        <w:rPr>
          <w:rFonts w:ascii="Arial Narrow" w:hAnsi="Arial Narrow" w:cs="Arial Narrow"/>
          <w:sz w:val="22"/>
          <w:szCs w:val="22"/>
        </w:rPr>
        <w:t xml:space="preserve">počet </w:t>
      </w:r>
      <w:r>
        <w:rPr>
          <w:rFonts w:ascii="Arial Narrow" w:hAnsi="Arial Narrow" w:cs="Arial Narrow"/>
          <w:sz w:val="22"/>
          <w:szCs w:val="22"/>
        </w:rPr>
        <w:t>8</w:t>
      </w:r>
      <w:r w:rsidRPr="00F06F66">
        <w:rPr>
          <w:rFonts w:ascii="Arial Narrow" w:hAnsi="Arial Narrow" w:cs="Arial Narrow"/>
          <w:sz w:val="22"/>
          <w:szCs w:val="22"/>
        </w:rPr>
        <w:t> </w:t>
      </w:r>
      <w:r>
        <w:rPr>
          <w:rFonts w:ascii="Arial Narrow" w:hAnsi="Arial Narrow" w:cs="Arial Narrow"/>
          <w:sz w:val="22"/>
          <w:szCs w:val="22"/>
        </w:rPr>
        <w:t>591</w:t>
      </w:r>
      <w:r w:rsidRPr="00F06F66">
        <w:rPr>
          <w:rFonts w:ascii="Arial Narrow" w:hAnsi="Arial Narrow" w:cs="Arial Narrow"/>
          <w:sz w:val="22"/>
          <w:szCs w:val="22"/>
        </w:rPr>
        <w:t xml:space="preserve"> väznených</w:t>
      </w:r>
      <w:r>
        <w:rPr>
          <w:rFonts w:ascii="Arial Narrow" w:hAnsi="Arial Narrow" w:cs="Arial Narrow"/>
          <w:sz w:val="22"/>
          <w:szCs w:val="22"/>
        </w:rPr>
        <w:t xml:space="preserve"> osôb, čo v priemere na jedného väzňa ročne</w:t>
      </w:r>
      <w:r w:rsidRPr="00B231EF">
        <w:rPr>
          <w:rFonts w:ascii="Arial Narrow" w:hAnsi="Arial Narrow" w:cs="Arial Narrow"/>
          <w:sz w:val="22"/>
          <w:szCs w:val="22"/>
        </w:rPr>
        <w:t xml:space="preserve"> </w:t>
      </w:r>
      <w:r>
        <w:rPr>
          <w:rFonts w:ascii="Arial Narrow" w:hAnsi="Arial Narrow" w:cs="Arial Narrow"/>
          <w:sz w:val="22"/>
          <w:szCs w:val="22"/>
        </w:rPr>
        <w:t>predstavuje sumu 15,8 tis. eur</w:t>
      </w:r>
      <w:r w:rsidRPr="00E82406">
        <w:rPr>
          <w:rFonts w:ascii="Arial Narrow" w:hAnsi="Arial Narrow" w:cs="Arial Narrow"/>
          <w:sz w:val="22"/>
          <w:szCs w:val="22"/>
        </w:rPr>
        <w:t>.</w:t>
      </w:r>
      <w:r>
        <w:rPr>
          <w:rFonts w:ascii="Arial Narrow" w:hAnsi="Arial Narrow" w:cs="Arial Narrow"/>
          <w:sz w:val="22"/>
          <w:szCs w:val="22"/>
        </w:rPr>
        <w:t xml:space="preserve"> </w:t>
      </w:r>
      <w:r w:rsidRPr="005E2A99">
        <w:rPr>
          <w:rFonts w:ascii="Arial Narrow" w:hAnsi="Arial Narrow" w:cs="Times New Roman"/>
          <w:sz w:val="22"/>
          <w:szCs w:val="22"/>
        </w:rPr>
        <w:t xml:space="preserve">V porovnaní s rokom 2006 sú výdavky </w:t>
      </w:r>
      <w:r>
        <w:rPr>
          <w:rFonts w:ascii="Arial Narrow" w:hAnsi="Arial Narrow" w:cs="Times New Roman"/>
          <w:sz w:val="22"/>
          <w:szCs w:val="22"/>
        </w:rPr>
        <w:t>väzenstva</w:t>
      </w:r>
      <w:r w:rsidRPr="005E2A99">
        <w:rPr>
          <w:rFonts w:ascii="Arial Narrow" w:hAnsi="Arial Narrow" w:cs="Times New Roman"/>
          <w:sz w:val="22"/>
          <w:szCs w:val="22"/>
        </w:rPr>
        <w:t xml:space="preserve"> v roku 2009 vyššie o</w:t>
      </w:r>
      <w:r>
        <w:rPr>
          <w:rFonts w:ascii="Arial Narrow" w:hAnsi="Arial Narrow" w:cs="Times New Roman"/>
          <w:sz w:val="22"/>
          <w:szCs w:val="22"/>
        </w:rPr>
        <w:t> 18,9</w:t>
      </w:r>
      <w:r w:rsidRPr="005E2A99">
        <w:rPr>
          <w:rFonts w:ascii="Arial Narrow" w:hAnsi="Arial Narrow" w:cs="Times New Roman"/>
          <w:sz w:val="22"/>
          <w:szCs w:val="22"/>
        </w:rPr>
        <w:t xml:space="preserve"> % a v porovnaní s rokom 2008 sú vyššie o</w:t>
      </w:r>
      <w:r>
        <w:rPr>
          <w:rFonts w:ascii="Arial Narrow" w:hAnsi="Arial Narrow" w:cs="Times New Roman"/>
          <w:sz w:val="22"/>
          <w:szCs w:val="22"/>
        </w:rPr>
        <w:t> 13,6 %</w:t>
      </w:r>
      <w:r w:rsidRPr="005E2A99">
        <w:rPr>
          <w:rFonts w:ascii="Arial Narrow" w:hAnsi="Arial Narrow" w:cs="Times New Roman"/>
          <w:sz w:val="22"/>
          <w:szCs w:val="22"/>
        </w:rPr>
        <w:t>.</w:t>
      </w:r>
      <w:r w:rsidRPr="007775A4">
        <w:rPr>
          <w:rFonts w:ascii="Arial Narrow" w:hAnsi="Arial Narrow" w:cs="Times New Roman"/>
          <w:sz w:val="22"/>
          <w:szCs w:val="22"/>
        </w:rPr>
        <w:t xml:space="preserve"> </w:t>
      </w:r>
      <w:r>
        <w:rPr>
          <w:rFonts w:ascii="Arial Narrow" w:hAnsi="Arial Narrow" w:cs="Times New Roman"/>
          <w:sz w:val="22"/>
          <w:szCs w:val="22"/>
        </w:rPr>
        <w:t>V</w:t>
      </w:r>
      <w:r w:rsidRPr="005F1148">
        <w:rPr>
          <w:rFonts w:ascii="Arial Narrow" w:hAnsi="Arial Narrow" w:cs="Times New Roman"/>
          <w:sz w:val="22"/>
          <w:szCs w:val="22"/>
        </w:rPr>
        <w:t xml:space="preserve">ýdavky na riešenie potrieb </w:t>
      </w:r>
      <w:r w:rsidRPr="002837D9">
        <w:rPr>
          <w:rFonts w:ascii="Arial Narrow" w:hAnsi="Arial Narrow" w:cs="Times New Roman"/>
          <w:bCs/>
          <w:sz w:val="22"/>
          <w:szCs w:val="22"/>
        </w:rPr>
        <w:t>väzenstva</w:t>
      </w:r>
      <w:r>
        <w:rPr>
          <w:rFonts w:ascii="Arial Narrow" w:hAnsi="Arial Narrow" w:cs="Times New Roman"/>
          <w:b/>
          <w:bCs/>
          <w:sz w:val="22"/>
          <w:szCs w:val="22"/>
        </w:rPr>
        <w:t xml:space="preserve"> </w:t>
      </w:r>
      <w:r w:rsidRPr="005F1148">
        <w:rPr>
          <w:rFonts w:ascii="Arial Narrow" w:hAnsi="Arial Narrow" w:cs="Times New Roman"/>
          <w:sz w:val="22"/>
          <w:szCs w:val="22"/>
        </w:rPr>
        <w:t>pokrývajú finančné zabezpečenie výkonu väzby a výkonu trestu odňatia slobody</w:t>
      </w:r>
      <w:r>
        <w:rPr>
          <w:rFonts w:ascii="Arial Narrow" w:hAnsi="Arial Narrow" w:cs="Times New Roman"/>
          <w:sz w:val="22"/>
          <w:szCs w:val="22"/>
        </w:rPr>
        <w:t xml:space="preserve">, vrátane </w:t>
      </w:r>
      <w:r w:rsidRPr="005F1148">
        <w:rPr>
          <w:rFonts w:ascii="Arial Narrow" w:hAnsi="Arial Narrow" w:cs="Times New Roman"/>
          <w:sz w:val="22"/>
          <w:szCs w:val="22"/>
        </w:rPr>
        <w:t>súvisiacej ochrany a stráženia objektov</w:t>
      </w:r>
      <w:r>
        <w:rPr>
          <w:rFonts w:ascii="Arial Narrow" w:hAnsi="Arial Narrow" w:cs="Times New Roman"/>
          <w:sz w:val="22"/>
          <w:szCs w:val="22"/>
        </w:rPr>
        <w:t>, ako aj</w:t>
      </w:r>
      <w:r w:rsidRPr="005F1148">
        <w:rPr>
          <w:rFonts w:ascii="Arial Narrow" w:hAnsi="Arial Narrow" w:cs="Times New Roman"/>
          <w:sz w:val="22"/>
          <w:szCs w:val="22"/>
        </w:rPr>
        <w:t xml:space="preserve"> zabezpečenia ochrany poriadku a bezpečnosti v súdnych objektoch. </w:t>
      </w:r>
      <w:r w:rsidRPr="00E82406">
        <w:rPr>
          <w:rFonts w:ascii="Arial Narrow" w:hAnsi="Arial Narrow" w:cs="Arial Narrow"/>
          <w:sz w:val="22"/>
          <w:szCs w:val="22"/>
        </w:rPr>
        <w:t xml:space="preserve">Plánovaný stav zamestnancov </w:t>
      </w:r>
      <w:r w:rsidRPr="00E82406">
        <w:rPr>
          <w:rFonts w:ascii="Arial Narrow" w:hAnsi="Arial Narrow" w:cs="Arial Narrow"/>
          <w:sz w:val="22"/>
          <w:szCs w:val="22"/>
          <w:lang w:val="cs-CZ"/>
        </w:rPr>
        <w:t>ZVJS</w:t>
      </w:r>
      <w:r w:rsidRPr="00E82406">
        <w:rPr>
          <w:rFonts w:ascii="Arial Narrow" w:hAnsi="Arial Narrow" w:cs="Arial Narrow"/>
          <w:sz w:val="22"/>
          <w:szCs w:val="22"/>
        </w:rPr>
        <w:t xml:space="preserve"> SR</w:t>
      </w:r>
      <w:r w:rsidRPr="006B3382">
        <w:rPr>
          <w:rFonts w:ascii="Arial Narrow" w:hAnsi="Arial Narrow" w:cs="Arial Narrow"/>
          <w:b/>
          <w:sz w:val="22"/>
          <w:szCs w:val="22"/>
        </w:rPr>
        <w:t xml:space="preserve"> </w:t>
      </w:r>
      <w:r w:rsidRPr="00B5662F">
        <w:rPr>
          <w:rFonts w:ascii="Arial Narrow" w:hAnsi="Arial Narrow" w:cs="Arial Narrow"/>
          <w:sz w:val="22"/>
          <w:szCs w:val="22"/>
        </w:rPr>
        <w:t>na rok 200</w:t>
      </w:r>
      <w:r>
        <w:rPr>
          <w:rFonts w:ascii="Arial Narrow" w:hAnsi="Arial Narrow" w:cs="Arial Narrow"/>
          <w:sz w:val="22"/>
          <w:szCs w:val="22"/>
        </w:rPr>
        <w:t xml:space="preserve">9 </w:t>
      </w:r>
      <w:r w:rsidRPr="00FB702E">
        <w:rPr>
          <w:rFonts w:ascii="Arial Narrow" w:hAnsi="Arial Narrow" w:cs="Arial Narrow"/>
          <w:sz w:val="22"/>
          <w:szCs w:val="22"/>
        </w:rPr>
        <w:t>je 5 450 osôb, z toho 5 073 príslušníkov ZVJS SR a 377 zamestnancov zamestnávaných vo verejnom záujme.</w:t>
      </w:r>
      <w:r>
        <w:rPr>
          <w:rFonts w:ascii="Arial Narrow" w:hAnsi="Arial Narrow" w:cs="Arial Narrow"/>
          <w:sz w:val="22"/>
          <w:szCs w:val="22"/>
        </w:rPr>
        <w:t xml:space="preserve"> </w:t>
      </w:r>
    </w:p>
    <w:p w:rsidR="00AE49BA" w:rsidP="00AE49BA">
      <w:pPr>
        <w:jc w:val="both"/>
        <w:rPr>
          <w:rFonts w:ascii="Arial Narrow" w:hAnsi="Arial Narrow" w:cs="Times New Roman"/>
          <w:sz w:val="22"/>
          <w:szCs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8"/>
        <w:gridCol w:w="1125"/>
        <w:gridCol w:w="1126"/>
        <w:gridCol w:w="1126"/>
        <w:gridCol w:w="1126"/>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both"/>
              <w:rPr>
                <w:rFonts w:ascii="Arial Narrow" w:hAnsi="Arial Narrow" w:cs="Arial"/>
                <w:color w:val="FFFFFF"/>
                <w:sz w:val="20"/>
              </w:rPr>
            </w:pPr>
            <w:r w:rsidRPr="00EF219E">
              <w:rPr>
                <w:rFonts w:ascii="Arial Narrow" w:hAnsi="Arial Narrow" w:cs="Arial"/>
                <w:color w:val="FFFFFF"/>
                <w:sz w:val="20"/>
              </w:rPr>
              <w:t> </w:t>
            </w:r>
            <w:r w:rsidRPr="00EF219E">
              <w:rPr>
                <w:rFonts w:ascii="Arial Narrow" w:hAnsi="Arial Narrow" w:cs="Arial"/>
                <w:b/>
                <w:color w:val="FFFFFF"/>
                <w:sz w:val="20"/>
              </w:rPr>
              <w:t>(v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2009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2010</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textDirection w:val="lrTb"/>
            <w:vAlign w:val="bottom"/>
          </w:tcPr>
          <w:p w:rsidR="00AE49BA" w:rsidRPr="00EF219E" w:rsidP="00AE49BA">
            <w:pPr>
              <w:jc w:val="center"/>
              <w:rPr>
                <w:rFonts w:ascii="Arial Narrow" w:hAnsi="Arial Narrow" w:cs="Arial"/>
                <w:b/>
                <w:bCs/>
                <w:color w:val="FFFFFF"/>
                <w:sz w:val="20"/>
              </w:rPr>
            </w:pPr>
            <w:r w:rsidRPr="00EF219E">
              <w:rPr>
                <w:rFonts w:ascii="Arial Narrow" w:hAnsi="Arial Narrow" w:cs="Arial"/>
                <w:b/>
                <w:bCs/>
                <w:color w:val="FFFFFF"/>
                <w:sz w:val="20"/>
              </w:rPr>
              <w:t>2011</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Výdavky na riešenie potrieb väzenstva</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119 729</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135 971</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129 137</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133 000</w:t>
            </w:r>
          </w:p>
        </w:tc>
      </w:tr>
    </w:tbl>
    <w:p w:rsidR="00AE49BA" w:rsidP="00AE49BA">
      <w:pPr>
        <w:ind w:firstLine="708"/>
        <w:jc w:val="both"/>
        <w:rPr>
          <w:rFonts w:ascii="Arial Narrow" w:hAnsi="Arial Narrow" w:cs="Times New Roman"/>
          <w:sz w:val="22"/>
          <w:szCs w:val="22"/>
        </w:rPr>
      </w:pPr>
    </w:p>
    <w:p w:rsidR="00AE49BA" w:rsidRPr="005F1148" w:rsidP="00AE49BA">
      <w:pPr>
        <w:tabs>
          <w:tab w:val="left" w:pos="720"/>
        </w:tabs>
        <w:jc w:val="both"/>
        <w:rPr>
          <w:rFonts w:ascii="Arial Narrow" w:hAnsi="Arial Narrow" w:cs="Arial"/>
          <w:sz w:val="22"/>
          <w:szCs w:val="22"/>
        </w:rPr>
      </w:pPr>
      <w:r>
        <w:rPr>
          <w:rFonts w:ascii="Arial Narrow" w:hAnsi="Arial Narrow" w:cs="Arial Narrow"/>
          <w:sz w:val="22"/>
          <w:szCs w:val="22"/>
        </w:rPr>
        <w:tab/>
        <w:t>V</w:t>
      </w:r>
      <w:r w:rsidRPr="00186155">
        <w:rPr>
          <w:rFonts w:ascii="Arial Narrow" w:hAnsi="Arial Narrow" w:cs="Arial"/>
          <w:sz w:val="22"/>
          <w:szCs w:val="22"/>
        </w:rPr>
        <w:t> ústavoch na výkon väzby a v ústavoch na výkon trestu odňatia slobody</w:t>
      </w:r>
      <w:r>
        <w:rPr>
          <w:rFonts w:ascii="Arial Narrow" w:hAnsi="Arial Narrow" w:cs="Arial"/>
          <w:sz w:val="22"/>
          <w:szCs w:val="22"/>
        </w:rPr>
        <w:t xml:space="preserve"> bolo ku </w:t>
      </w:r>
      <w:r w:rsidRPr="006E2DC1">
        <w:rPr>
          <w:rFonts w:ascii="Arial Narrow" w:hAnsi="Arial Narrow" w:cs="Arial"/>
          <w:sz w:val="22"/>
          <w:szCs w:val="22"/>
        </w:rPr>
        <w:t xml:space="preserve">dňu </w:t>
      </w:r>
      <w:r>
        <w:rPr>
          <w:rFonts w:ascii="Arial Narrow" w:hAnsi="Arial Narrow" w:cs="Arial"/>
          <w:sz w:val="22"/>
          <w:szCs w:val="22"/>
        </w:rPr>
        <w:t>1.</w:t>
      </w:r>
      <w:r w:rsidRPr="006E2DC1">
        <w:rPr>
          <w:rFonts w:ascii="Arial Narrow" w:hAnsi="Arial Narrow" w:cs="Arial"/>
          <w:sz w:val="22"/>
          <w:szCs w:val="22"/>
        </w:rPr>
        <w:t xml:space="preserve"> </w:t>
      </w:r>
      <w:r>
        <w:rPr>
          <w:rFonts w:ascii="Arial Narrow" w:hAnsi="Arial Narrow" w:cs="Arial"/>
          <w:sz w:val="22"/>
          <w:szCs w:val="22"/>
        </w:rPr>
        <w:t>októbru</w:t>
      </w:r>
      <w:r w:rsidRPr="00C563A9">
        <w:rPr>
          <w:rFonts w:ascii="Arial Narrow" w:hAnsi="Arial Narrow" w:cs="Arial"/>
          <w:sz w:val="22"/>
          <w:szCs w:val="22"/>
        </w:rPr>
        <w:t xml:space="preserve"> 2008</w:t>
      </w:r>
      <w:r w:rsidRPr="005F1148">
        <w:rPr>
          <w:rFonts w:ascii="Arial Narrow" w:hAnsi="Arial Narrow" w:cs="Arial"/>
          <w:sz w:val="22"/>
          <w:szCs w:val="22"/>
        </w:rPr>
        <w:t xml:space="preserve"> umiestnených 8 </w:t>
      </w:r>
      <w:r>
        <w:rPr>
          <w:rFonts w:ascii="Arial Narrow" w:hAnsi="Arial Narrow" w:cs="Arial"/>
          <w:sz w:val="22"/>
          <w:szCs w:val="22"/>
        </w:rPr>
        <w:t>236</w:t>
      </w:r>
      <w:r w:rsidRPr="005F1148">
        <w:rPr>
          <w:rFonts w:ascii="Arial Narrow" w:hAnsi="Arial Narrow" w:cs="Arial"/>
          <w:sz w:val="22"/>
          <w:szCs w:val="22"/>
        </w:rPr>
        <w:t xml:space="preserve"> osôb, z toho 1 </w:t>
      </w:r>
      <w:r>
        <w:rPr>
          <w:rFonts w:ascii="Arial Narrow" w:hAnsi="Arial Narrow" w:cs="Arial"/>
          <w:sz w:val="22"/>
          <w:szCs w:val="22"/>
        </w:rPr>
        <w:t>675</w:t>
      </w:r>
      <w:r w:rsidRPr="005F1148">
        <w:rPr>
          <w:rFonts w:ascii="Arial Narrow" w:hAnsi="Arial Narrow" w:cs="Arial"/>
          <w:sz w:val="22"/>
          <w:szCs w:val="22"/>
        </w:rPr>
        <w:t xml:space="preserve"> obvinen</w:t>
      </w:r>
      <w:r>
        <w:rPr>
          <w:rFonts w:ascii="Arial Narrow" w:hAnsi="Arial Narrow" w:cs="Arial"/>
          <w:sz w:val="22"/>
          <w:szCs w:val="22"/>
        </w:rPr>
        <w:t>ý</w:t>
      </w:r>
      <w:r w:rsidRPr="005F1148">
        <w:rPr>
          <w:rFonts w:ascii="Arial Narrow" w:hAnsi="Arial Narrow" w:cs="Arial"/>
          <w:sz w:val="22"/>
          <w:szCs w:val="22"/>
        </w:rPr>
        <w:t xml:space="preserve">ch a 6 </w:t>
      </w:r>
      <w:r>
        <w:rPr>
          <w:rFonts w:ascii="Arial Narrow" w:hAnsi="Arial Narrow" w:cs="Arial"/>
          <w:sz w:val="22"/>
          <w:szCs w:val="22"/>
        </w:rPr>
        <w:t>561</w:t>
      </w:r>
      <w:r w:rsidRPr="005F1148">
        <w:rPr>
          <w:rFonts w:ascii="Arial Narrow" w:hAnsi="Arial Narrow" w:cs="Arial"/>
          <w:sz w:val="22"/>
          <w:szCs w:val="22"/>
        </w:rPr>
        <w:t xml:space="preserve"> odsúdených. Vývoj priemerných počto</w:t>
      </w:r>
      <w:r>
        <w:rPr>
          <w:rFonts w:ascii="Arial Narrow" w:hAnsi="Arial Narrow" w:cs="Arial"/>
          <w:sz w:val="22"/>
          <w:szCs w:val="22"/>
        </w:rPr>
        <w:t>v</w:t>
      </w:r>
      <w:r w:rsidRPr="005F1148">
        <w:rPr>
          <w:rFonts w:ascii="Arial Narrow" w:hAnsi="Arial Narrow" w:cs="Arial"/>
          <w:sz w:val="22"/>
          <w:szCs w:val="22"/>
        </w:rPr>
        <w:t xml:space="preserve"> obvinených a odsúdených v minulých </w:t>
      </w:r>
      <w:r w:rsidRPr="00440338">
        <w:rPr>
          <w:rFonts w:ascii="Arial Narrow" w:hAnsi="Arial Narrow" w:cs="Arial"/>
          <w:sz w:val="22"/>
          <w:szCs w:val="22"/>
        </w:rPr>
        <w:t xml:space="preserve">rokoch a očakávané priemerné počty v rokoch 2008 </w:t>
      </w:r>
      <w:r>
        <w:rPr>
          <w:rFonts w:ascii="Arial Narrow" w:hAnsi="Arial Narrow" w:cs="Arial"/>
          <w:sz w:val="22"/>
          <w:szCs w:val="22"/>
        </w:rPr>
        <w:t>a</w:t>
      </w:r>
      <w:r w:rsidRPr="00440338">
        <w:rPr>
          <w:rFonts w:ascii="Arial Narrow" w:hAnsi="Arial Narrow" w:cs="Arial"/>
          <w:sz w:val="22"/>
          <w:szCs w:val="22"/>
        </w:rPr>
        <w:t> 2009</w:t>
      </w:r>
      <w:r w:rsidRPr="005F1148">
        <w:rPr>
          <w:rFonts w:ascii="Arial Narrow" w:hAnsi="Arial Narrow" w:cs="Arial"/>
          <w:sz w:val="22"/>
          <w:szCs w:val="22"/>
        </w:rPr>
        <w:t xml:space="preserve"> sú uvedené v tabuľke: </w:t>
      </w:r>
    </w:p>
    <w:p w:rsidR="00AE49BA" w:rsidRPr="001C4AEA" w:rsidP="00AE49BA">
      <w:pPr>
        <w:tabs>
          <w:tab w:val="left" w:pos="720"/>
        </w:tabs>
        <w:jc w:val="both"/>
        <w:rPr>
          <w:rFonts w:ascii="Arial Narrow" w:hAnsi="Arial Narrow" w:cs="Arial Narrow"/>
          <w:b/>
          <w:bCs/>
          <w:iCs/>
          <w:sz w:val="22"/>
          <w:szCs w:val="22"/>
        </w:rPr>
      </w:pPr>
    </w:p>
    <w:tbl>
      <w:tblPr>
        <w:tblW w:w="4983" w:type="pct"/>
        <w:tblInd w:w="70" w:type="dxa"/>
        <w:tblCellMar>
          <w:left w:w="70" w:type="dxa"/>
          <w:right w:w="70" w:type="dxa"/>
        </w:tblCellMar>
      </w:tblPr>
      <w:tblGrid>
        <w:gridCol w:w="2349"/>
        <w:gridCol w:w="854"/>
        <w:gridCol w:w="854"/>
        <w:gridCol w:w="854"/>
        <w:gridCol w:w="854"/>
        <w:gridCol w:w="854"/>
        <w:gridCol w:w="854"/>
        <w:gridCol w:w="854"/>
        <w:gridCol w:w="854"/>
      </w:tblGrid>
      <w:tr>
        <w:tblPrEx>
          <w:tblW w:w="4983" w:type="pct"/>
          <w:tblInd w:w="70" w:type="dxa"/>
          <w:tblCellMar>
            <w:left w:w="70" w:type="dxa"/>
            <w:right w:w="70" w:type="dxa"/>
          </w:tblCellMar>
        </w:tblPrEx>
        <w:trPr>
          <w:trHeight w:val="195"/>
        </w:trPr>
        <w:tc>
          <w:tcPr>
            <w:tcW w:w="1280"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Priemerný počet osôb</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2002</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2003</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2004</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2005</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2006</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2007</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2008</w:t>
            </w:r>
          </w:p>
        </w:tc>
        <w:tc>
          <w:tcPr>
            <w:tcW w:w="465"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2009</w:t>
            </w:r>
          </w:p>
        </w:tc>
      </w:tr>
      <w:tr>
        <w:tblPrEx>
          <w:tblW w:w="4983" w:type="pct"/>
          <w:tblInd w:w="70" w:type="dxa"/>
          <w:tblCellMar>
            <w:left w:w="70" w:type="dxa"/>
            <w:right w:w="70" w:type="dxa"/>
          </w:tblCellMar>
        </w:tblPrEx>
        <w:trPr>
          <w:trHeight w:val="195"/>
        </w:trPr>
        <w:tc>
          <w:tcPr>
            <w:tcW w:w="1280" w:type="pct"/>
            <w:tcBorders>
              <w:top w:val="nil"/>
              <w:left w:val="single" w:sz="8" w:space="0" w:color="auto"/>
              <w:bottom w:val="single" w:sz="8" w:space="0" w:color="auto"/>
              <w:right w:val="single" w:sz="8" w:space="0" w:color="auto"/>
              <w:tl2br w:val="nil"/>
              <w:tr2bl w:val="nil"/>
            </w:tcBorders>
            <w:shd w:val="clear" w:color="auto" w:fill="FFFFFF"/>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Obvinení</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2 123</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2 843</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3 103</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3 042</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2 477</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2 040</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1 882</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1 977</w:t>
            </w:r>
          </w:p>
        </w:tc>
      </w:tr>
      <w:tr>
        <w:tblPrEx>
          <w:tblW w:w="4983" w:type="pct"/>
          <w:tblInd w:w="70" w:type="dxa"/>
          <w:tblCellMar>
            <w:left w:w="70" w:type="dxa"/>
            <w:right w:w="70" w:type="dxa"/>
          </w:tblCellMar>
        </w:tblPrEx>
        <w:trPr>
          <w:trHeight w:val="195"/>
        </w:trPr>
        <w:tc>
          <w:tcPr>
            <w:tcW w:w="1280" w:type="pct"/>
            <w:tcBorders>
              <w:top w:val="nil"/>
              <w:left w:val="single" w:sz="8" w:space="0" w:color="auto"/>
              <w:bottom w:val="single" w:sz="8" w:space="0" w:color="auto"/>
              <w:right w:val="single" w:sz="8" w:space="0" w:color="auto"/>
              <w:tl2br w:val="nil"/>
              <w:tr2bl w:val="nil"/>
            </w:tcBorders>
            <w:shd w:val="clear" w:color="auto" w:fill="FFFFFF"/>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Odsúdení</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5 550</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5 770</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6 226</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6 285</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6 244</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6 225</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6 468</w:t>
            </w:r>
          </w:p>
        </w:tc>
        <w:tc>
          <w:tcPr>
            <w:tcW w:w="465"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6 614</w:t>
            </w:r>
          </w:p>
        </w:tc>
      </w:tr>
      <w:tr>
        <w:tblPrEx>
          <w:tblW w:w="4983" w:type="pct"/>
          <w:tblInd w:w="70" w:type="dxa"/>
          <w:tblCellMar>
            <w:left w:w="70" w:type="dxa"/>
            <w:right w:w="70" w:type="dxa"/>
          </w:tblCellMar>
        </w:tblPrEx>
        <w:trPr>
          <w:trHeight w:val="195"/>
        </w:trPr>
        <w:tc>
          <w:tcPr>
            <w:tcW w:w="1280" w:type="pct"/>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Spolu</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7 673</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8 613</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9 329</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9 327</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8 721</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8 265</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8 350</w:t>
            </w:r>
          </w:p>
        </w:tc>
        <w:tc>
          <w:tcPr>
            <w:tcW w:w="465"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8 591</w:t>
            </w:r>
          </w:p>
        </w:tc>
      </w:tr>
    </w:tbl>
    <w:p w:rsidR="00AE49BA" w:rsidP="00AE49BA">
      <w:pPr>
        <w:jc w:val="both"/>
        <w:rPr>
          <w:rFonts w:ascii="Arial Narrow" w:hAnsi="Arial Narrow" w:cs="Arial Narrow"/>
          <w:b/>
          <w:bCs/>
          <w:sz w:val="22"/>
          <w:szCs w:val="22"/>
        </w:rPr>
      </w:pPr>
    </w:p>
    <w:p w:rsidR="00AE49BA" w:rsidRPr="005F1148" w:rsidP="00AE49BA">
      <w:pPr>
        <w:ind w:firstLine="708"/>
        <w:jc w:val="both"/>
        <w:rPr>
          <w:rFonts w:ascii="Arial Narrow" w:hAnsi="Arial Narrow" w:cs="Arial Narrow"/>
          <w:sz w:val="22"/>
          <w:szCs w:val="22"/>
        </w:rPr>
      </w:pPr>
      <w:r w:rsidRPr="005F1148">
        <w:rPr>
          <w:rFonts w:ascii="Arial Narrow" w:hAnsi="Arial Narrow" w:cs="Arial Narrow"/>
          <w:sz w:val="22"/>
          <w:szCs w:val="22"/>
        </w:rPr>
        <w:t>Do konca roka 200</w:t>
      </w:r>
      <w:r>
        <w:rPr>
          <w:rFonts w:ascii="Arial Narrow" w:hAnsi="Arial Narrow" w:cs="Arial Narrow"/>
          <w:sz w:val="22"/>
          <w:szCs w:val="22"/>
        </w:rPr>
        <w:t>9</w:t>
      </w:r>
      <w:r w:rsidRPr="005F1148">
        <w:rPr>
          <w:rFonts w:ascii="Arial Narrow" w:hAnsi="Arial Narrow" w:cs="Arial Narrow"/>
          <w:sz w:val="22"/>
          <w:szCs w:val="22"/>
        </w:rPr>
        <w:t xml:space="preserve"> bude predpokladaná </w:t>
      </w:r>
      <w:r w:rsidRPr="0026655D">
        <w:rPr>
          <w:rFonts w:ascii="Arial Narrow" w:hAnsi="Arial Narrow" w:cs="Arial Narrow"/>
          <w:sz w:val="22"/>
          <w:szCs w:val="22"/>
        </w:rPr>
        <w:t>kapacita väzenských objektov</w:t>
      </w:r>
      <w:r w:rsidRPr="005F1148">
        <w:rPr>
          <w:rFonts w:ascii="Arial Narrow" w:hAnsi="Arial Narrow" w:cs="Arial Narrow"/>
          <w:sz w:val="22"/>
          <w:szCs w:val="22"/>
        </w:rPr>
        <w:t xml:space="preserve"> v Zbore väzenskej a justičnej stráže SR </w:t>
      </w:r>
      <w:r>
        <w:rPr>
          <w:rFonts w:ascii="Arial Narrow" w:hAnsi="Arial Narrow" w:cs="Arial Narrow"/>
          <w:sz w:val="22"/>
          <w:szCs w:val="22"/>
        </w:rPr>
        <w:t>9</w:t>
      </w:r>
      <w:r w:rsidRPr="005F1148">
        <w:rPr>
          <w:rFonts w:ascii="Arial Narrow" w:hAnsi="Arial Narrow" w:cs="Arial Narrow"/>
          <w:sz w:val="22"/>
          <w:szCs w:val="22"/>
        </w:rPr>
        <w:t xml:space="preserve"> </w:t>
      </w:r>
      <w:r>
        <w:rPr>
          <w:rFonts w:ascii="Arial Narrow" w:hAnsi="Arial Narrow" w:cs="Arial Narrow"/>
          <w:sz w:val="22"/>
          <w:szCs w:val="22"/>
        </w:rPr>
        <w:t>383</w:t>
      </w:r>
      <w:r w:rsidRPr="005F1148">
        <w:rPr>
          <w:rFonts w:ascii="Arial Narrow" w:hAnsi="Arial Narrow" w:cs="Arial Narrow"/>
          <w:sz w:val="22"/>
          <w:szCs w:val="22"/>
        </w:rPr>
        <w:t xml:space="preserve"> väznených osôb, čo </w:t>
      </w:r>
      <w:r>
        <w:rPr>
          <w:rFonts w:ascii="Arial Narrow" w:hAnsi="Arial Narrow" w:cs="Arial Narrow"/>
          <w:sz w:val="22"/>
          <w:szCs w:val="22"/>
        </w:rPr>
        <w:t xml:space="preserve">predstavuje mierny pokles </w:t>
      </w:r>
      <w:r w:rsidRPr="005F1148">
        <w:rPr>
          <w:rFonts w:ascii="Arial Narrow" w:hAnsi="Arial Narrow" w:cs="Arial Narrow"/>
          <w:sz w:val="22"/>
          <w:szCs w:val="22"/>
        </w:rPr>
        <w:t>kapacity</w:t>
      </w:r>
      <w:r>
        <w:rPr>
          <w:rFonts w:ascii="Arial Narrow" w:hAnsi="Arial Narrow" w:cs="Arial Narrow"/>
          <w:sz w:val="22"/>
          <w:szCs w:val="22"/>
        </w:rPr>
        <w:t xml:space="preserve"> oproti roku 2007, ktorý je spôsobený </w:t>
      </w:r>
      <w:r w:rsidRPr="005F1148">
        <w:rPr>
          <w:rFonts w:ascii="Arial Narrow" w:hAnsi="Arial Narrow" w:cs="Arial"/>
          <w:sz w:val="22"/>
          <w:szCs w:val="22"/>
        </w:rPr>
        <w:t>realizáci</w:t>
      </w:r>
      <w:r>
        <w:rPr>
          <w:rFonts w:ascii="Arial Narrow" w:hAnsi="Arial Narrow" w:cs="Arial"/>
          <w:sz w:val="22"/>
          <w:szCs w:val="22"/>
        </w:rPr>
        <w:t>o</w:t>
      </w:r>
      <w:r w:rsidRPr="005F1148">
        <w:rPr>
          <w:rFonts w:ascii="Arial Narrow" w:hAnsi="Arial Narrow" w:cs="Arial"/>
          <w:sz w:val="22"/>
          <w:szCs w:val="22"/>
        </w:rPr>
        <w:t xml:space="preserve">u opatrení </w:t>
      </w:r>
      <w:r>
        <w:rPr>
          <w:rFonts w:ascii="Arial Narrow" w:hAnsi="Arial Narrow" w:cs="Arial"/>
          <w:sz w:val="22"/>
          <w:szCs w:val="22"/>
        </w:rPr>
        <w:t xml:space="preserve">vyplývajúcich z vládou schválených </w:t>
      </w:r>
      <w:r w:rsidRPr="00A1658B">
        <w:rPr>
          <w:rFonts w:ascii="Arial Narrow" w:hAnsi="Arial Narrow" w:cs="Arial"/>
          <w:sz w:val="22"/>
          <w:szCs w:val="22"/>
        </w:rPr>
        <w:t xml:space="preserve">odporúčaní </w:t>
      </w:r>
      <w:r w:rsidRPr="00A1658B">
        <w:rPr>
          <w:rFonts w:ascii="Arial Narrow" w:hAnsi="Arial Narrow" w:cs="Tahoma"/>
          <w:bCs/>
          <w:sz w:val="22"/>
          <w:szCs w:val="22"/>
        </w:rPr>
        <w:t>Európsk</w:t>
      </w:r>
      <w:r>
        <w:rPr>
          <w:rFonts w:ascii="Arial Narrow" w:hAnsi="Arial Narrow" w:cs="Tahoma"/>
          <w:bCs/>
          <w:sz w:val="22"/>
          <w:szCs w:val="22"/>
        </w:rPr>
        <w:t>eho</w:t>
      </w:r>
      <w:r w:rsidRPr="00A1658B">
        <w:rPr>
          <w:rFonts w:ascii="Arial Narrow" w:hAnsi="Arial Narrow" w:cs="Tahoma"/>
          <w:bCs/>
          <w:sz w:val="22"/>
          <w:szCs w:val="22"/>
        </w:rPr>
        <w:t xml:space="preserve"> výbor</w:t>
      </w:r>
      <w:r>
        <w:rPr>
          <w:rFonts w:ascii="Arial Narrow" w:hAnsi="Arial Narrow" w:cs="Tahoma"/>
          <w:bCs/>
          <w:sz w:val="22"/>
          <w:szCs w:val="22"/>
        </w:rPr>
        <w:t>u</w:t>
      </w:r>
      <w:r w:rsidRPr="00A1658B">
        <w:rPr>
          <w:rFonts w:ascii="Arial Narrow" w:hAnsi="Arial Narrow" w:cs="Tahoma"/>
          <w:bCs/>
          <w:sz w:val="22"/>
          <w:szCs w:val="22"/>
        </w:rPr>
        <w:t xml:space="preserve"> na zabránenie mučenia a neľudského či ponižujúceho zaobchádzania alebo trestania </w:t>
      </w:r>
      <w:r w:rsidRPr="00A1658B">
        <w:rPr>
          <w:rFonts w:ascii="Arial Narrow" w:hAnsi="Arial Narrow" w:cs="Arial"/>
          <w:sz w:val="22"/>
          <w:szCs w:val="22"/>
        </w:rPr>
        <w:t>na zvýšenie minimálnej</w:t>
      </w:r>
      <w:r w:rsidRPr="005F1148">
        <w:rPr>
          <w:rFonts w:ascii="Arial Narrow" w:hAnsi="Arial Narrow" w:cs="Arial"/>
          <w:sz w:val="22"/>
          <w:szCs w:val="22"/>
        </w:rPr>
        <w:t xml:space="preserve"> ubytovacej plochy pre jedného obvineného a odsúdeného z 3,5 m² na 4,0  m².</w:t>
      </w:r>
    </w:p>
    <w:p w:rsidR="00AE49BA" w:rsidP="00AE49BA">
      <w:pPr>
        <w:tabs>
          <w:tab w:val="left" w:pos="720"/>
        </w:tabs>
        <w:jc w:val="both"/>
        <w:rPr>
          <w:rFonts w:ascii="Arial Narrow" w:hAnsi="Arial Narrow" w:cs="Arial Narrow"/>
          <w:sz w:val="22"/>
          <w:szCs w:val="22"/>
        </w:rPr>
      </w:pPr>
    </w:p>
    <w:tbl>
      <w:tblPr>
        <w:tblW w:w="4983" w:type="pct"/>
        <w:tblInd w:w="70" w:type="dxa"/>
        <w:tblCellMar>
          <w:left w:w="70" w:type="dxa"/>
          <w:right w:w="70" w:type="dxa"/>
        </w:tblCellMar>
      </w:tblPr>
      <w:tblGrid>
        <w:gridCol w:w="2338"/>
        <w:gridCol w:w="855"/>
        <w:gridCol w:w="856"/>
        <w:gridCol w:w="856"/>
        <w:gridCol w:w="856"/>
        <w:gridCol w:w="856"/>
        <w:gridCol w:w="856"/>
        <w:gridCol w:w="856"/>
        <w:gridCol w:w="852"/>
      </w:tblGrid>
      <w:tr>
        <w:tblPrEx>
          <w:tblW w:w="4983" w:type="pct"/>
          <w:tblInd w:w="70" w:type="dxa"/>
          <w:tblCellMar>
            <w:left w:w="70" w:type="dxa"/>
            <w:right w:w="70" w:type="dxa"/>
          </w:tblCellMar>
        </w:tblPrEx>
        <w:trPr>
          <w:trHeight w:val="210"/>
        </w:trPr>
        <w:tc>
          <w:tcPr>
            <w:tcW w:w="1274" w:type="pct"/>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center"/>
          </w:tcPr>
          <w:p w:rsidR="00AE49BA" w:rsidRPr="00EF219E" w:rsidP="00AE49BA">
            <w:pPr>
              <w:rPr>
                <w:rFonts w:ascii="Arial Narrow" w:hAnsi="Arial Narrow" w:cs="Arial"/>
                <w:b/>
                <w:bCs/>
                <w:sz w:val="20"/>
              </w:rPr>
            </w:pPr>
            <w:r w:rsidRPr="00EF219E">
              <w:rPr>
                <w:rFonts w:ascii="Arial Narrow" w:hAnsi="Arial Narrow" w:cs="Arial"/>
                <w:b/>
                <w:bCs/>
                <w:sz w:val="20"/>
              </w:rPr>
              <w:t>Celková ubytovacia kapacita</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2002</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2003</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2004</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2005</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2006</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2007</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2008</w:t>
            </w:r>
          </w:p>
        </w:tc>
        <w:tc>
          <w:tcPr>
            <w:tcW w:w="466" w:type="pct"/>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AE49BA" w:rsidRPr="00EF219E" w:rsidP="00AE49BA">
            <w:pPr>
              <w:jc w:val="center"/>
              <w:rPr>
                <w:rFonts w:ascii="Arial Narrow" w:hAnsi="Arial Narrow" w:cs="Arial"/>
                <w:b/>
                <w:bCs/>
                <w:sz w:val="20"/>
              </w:rPr>
            </w:pPr>
            <w:r w:rsidRPr="00EF219E">
              <w:rPr>
                <w:rFonts w:ascii="Arial Narrow" w:hAnsi="Arial Narrow" w:cs="Arial"/>
                <w:b/>
                <w:bCs/>
                <w:sz w:val="20"/>
              </w:rPr>
              <w:t>2009</w:t>
            </w:r>
          </w:p>
        </w:tc>
      </w:tr>
      <w:tr>
        <w:tblPrEx>
          <w:tblW w:w="4983" w:type="pct"/>
          <w:tblInd w:w="70" w:type="dxa"/>
          <w:tblCellMar>
            <w:left w:w="70" w:type="dxa"/>
            <w:right w:w="70" w:type="dxa"/>
          </w:tblCellMar>
        </w:tblPrEx>
        <w:trPr>
          <w:trHeight w:val="210"/>
        </w:trPr>
        <w:tc>
          <w:tcPr>
            <w:tcW w:w="1274" w:type="pct"/>
            <w:tcBorders>
              <w:top w:val="nil"/>
              <w:left w:val="single" w:sz="8" w:space="0" w:color="auto"/>
              <w:bottom w:val="single" w:sz="8" w:space="0" w:color="auto"/>
              <w:right w:val="single" w:sz="8" w:space="0" w:color="auto"/>
              <w:tl2br w:val="nil"/>
              <w:tr2bl w:val="nil"/>
            </w:tcBorders>
            <w:shd w:val="clear" w:color="auto" w:fill="FFFFFF"/>
            <w:textDirection w:val="lrTb"/>
            <w:vAlign w:val="bottom"/>
          </w:tcPr>
          <w:p w:rsidR="00AE49BA" w:rsidRPr="00EF219E" w:rsidP="00AE49BA">
            <w:pPr>
              <w:rPr>
                <w:rFonts w:ascii="Arial Narrow" w:hAnsi="Arial Narrow" w:cs="Arial"/>
                <w:bCs/>
                <w:sz w:val="20"/>
              </w:rPr>
            </w:pPr>
            <w:r w:rsidRPr="00EF219E">
              <w:rPr>
                <w:rFonts w:ascii="Arial Narrow" w:hAnsi="Arial Narrow" w:cs="Arial"/>
                <w:bCs/>
                <w:sz w:val="20"/>
              </w:rPr>
              <w:t>osoba / m²</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4</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bCs/>
                <w:sz w:val="20"/>
              </w:rPr>
            </w:pPr>
            <w:r w:rsidRPr="00EF219E">
              <w:rPr>
                <w:rFonts w:ascii="Arial Narrow" w:hAnsi="Arial Narrow" w:cs="Arial"/>
                <w:bCs/>
                <w:sz w:val="20"/>
              </w:rPr>
              <w:t>4</w:t>
            </w:r>
          </w:p>
        </w:tc>
      </w:tr>
      <w:tr>
        <w:tblPrEx>
          <w:tblW w:w="4983" w:type="pct"/>
          <w:tblInd w:w="70" w:type="dxa"/>
          <w:tblCellMar>
            <w:left w:w="70" w:type="dxa"/>
            <w:right w:w="70" w:type="dxa"/>
          </w:tblCellMar>
        </w:tblPrEx>
        <w:trPr>
          <w:trHeight w:val="210"/>
        </w:trPr>
        <w:tc>
          <w:tcPr>
            <w:tcW w:w="1274" w:type="pct"/>
            <w:tcBorders>
              <w:top w:val="nil"/>
              <w:left w:val="single" w:sz="8" w:space="0" w:color="auto"/>
              <w:bottom w:val="single" w:sz="8" w:space="0" w:color="auto"/>
              <w:right w:val="single" w:sz="8" w:space="0" w:color="auto"/>
              <w:tl2br w:val="nil"/>
              <w:tr2bl w:val="nil"/>
            </w:tcBorders>
            <w:shd w:val="clear" w:color="auto" w:fill="FFFFFF"/>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Obvinení</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2 700</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3 120</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3 273</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3 651</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3 673</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2 817</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2 817</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2 817</w:t>
            </w:r>
          </w:p>
        </w:tc>
      </w:tr>
      <w:tr>
        <w:tblPrEx>
          <w:tblW w:w="4983" w:type="pct"/>
          <w:tblInd w:w="70" w:type="dxa"/>
          <w:tblCellMar>
            <w:left w:w="70" w:type="dxa"/>
            <w:right w:w="70" w:type="dxa"/>
          </w:tblCellMar>
        </w:tblPrEx>
        <w:trPr>
          <w:trHeight w:val="210"/>
        </w:trPr>
        <w:tc>
          <w:tcPr>
            <w:tcW w:w="1274" w:type="pct"/>
            <w:tcBorders>
              <w:top w:val="nil"/>
              <w:left w:val="single" w:sz="8" w:space="0" w:color="auto"/>
              <w:bottom w:val="single" w:sz="8" w:space="0" w:color="auto"/>
              <w:right w:val="single" w:sz="8" w:space="0" w:color="auto"/>
              <w:tl2br w:val="nil"/>
              <w:tr2bl w:val="nil"/>
            </w:tcBorders>
            <w:shd w:val="clear" w:color="auto" w:fill="FFFFFF"/>
            <w:textDirection w:val="lrTb"/>
            <w:vAlign w:val="bottom"/>
          </w:tcPr>
          <w:p w:rsidR="00AE49BA" w:rsidRPr="00EF219E" w:rsidP="00AE49BA">
            <w:pPr>
              <w:rPr>
                <w:rFonts w:ascii="Arial Narrow" w:hAnsi="Arial Narrow" w:cs="Arial"/>
                <w:sz w:val="20"/>
              </w:rPr>
            </w:pPr>
            <w:r w:rsidRPr="00EF219E">
              <w:rPr>
                <w:rFonts w:ascii="Arial Narrow" w:hAnsi="Arial Narrow" w:cs="Arial"/>
                <w:sz w:val="20"/>
              </w:rPr>
              <w:t>Odsúdení</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6 735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6 470</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7 328</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6 985</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6 932</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7 771</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6 566</w:t>
            </w:r>
          </w:p>
        </w:tc>
        <w:tc>
          <w:tcPr>
            <w:tcW w:w="466" w:type="pct"/>
            <w:tcBorders>
              <w:top w:val="nil"/>
              <w:left w:val="nil"/>
              <w:bottom w:val="single" w:sz="8" w:space="0" w:color="auto"/>
              <w:right w:val="single" w:sz="8" w:space="0" w:color="auto"/>
              <w:tl2br w:val="nil"/>
              <w:tr2bl w:val="nil"/>
            </w:tcBorders>
            <w:shd w:val="clear" w:color="auto" w:fill="FFFFFF"/>
            <w:textDirection w:val="lrTb"/>
            <w:vAlign w:val="bottom"/>
          </w:tcPr>
          <w:p w:rsidR="00AE49BA" w:rsidRPr="00EF219E" w:rsidP="00AE49BA">
            <w:pPr>
              <w:jc w:val="right"/>
              <w:rPr>
                <w:rFonts w:ascii="Arial Narrow" w:hAnsi="Arial Narrow" w:cs="Arial"/>
                <w:sz w:val="20"/>
              </w:rPr>
            </w:pPr>
            <w:r w:rsidRPr="00EF219E">
              <w:rPr>
                <w:rFonts w:ascii="Arial Narrow" w:hAnsi="Arial Narrow" w:cs="Arial"/>
                <w:sz w:val="20"/>
              </w:rPr>
              <w:t>6 566</w:t>
            </w:r>
          </w:p>
        </w:tc>
      </w:tr>
      <w:tr>
        <w:tblPrEx>
          <w:tblW w:w="4983" w:type="pct"/>
          <w:tblInd w:w="70" w:type="dxa"/>
          <w:tblCellMar>
            <w:left w:w="70" w:type="dxa"/>
            <w:right w:w="70" w:type="dxa"/>
          </w:tblCellMar>
        </w:tblPrEx>
        <w:trPr>
          <w:trHeight w:val="210"/>
        </w:trPr>
        <w:tc>
          <w:tcPr>
            <w:tcW w:w="1274" w:type="pct"/>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bottom"/>
          </w:tcPr>
          <w:p w:rsidR="00AE49BA" w:rsidRPr="00EF219E" w:rsidP="00AE49BA">
            <w:pPr>
              <w:rPr>
                <w:rFonts w:ascii="Arial Narrow" w:hAnsi="Arial Narrow" w:cs="Arial"/>
                <w:b/>
                <w:bCs/>
                <w:sz w:val="20"/>
              </w:rPr>
            </w:pPr>
            <w:r w:rsidRPr="00EF219E">
              <w:rPr>
                <w:rFonts w:ascii="Arial Narrow" w:hAnsi="Arial Narrow" w:cs="Arial"/>
                <w:b/>
                <w:bCs/>
                <w:sz w:val="20"/>
              </w:rPr>
              <w:t>Obvinení a  odsúdení spolu:</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9 435</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9 590</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10 601</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10 636</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10 605</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10 588</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9 383</w:t>
            </w:r>
          </w:p>
        </w:tc>
        <w:tc>
          <w:tcPr>
            <w:tcW w:w="466" w:type="pct"/>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9BA" w:rsidRPr="00EF219E" w:rsidP="00AE49BA">
            <w:pPr>
              <w:jc w:val="right"/>
              <w:rPr>
                <w:rFonts w:ascii="Arial Narrow" w:hAnsi="Arial Narrow" w:cs="Arial"/>
                <w:b/>
                <w:bCs/>
                <w:sz w:val="20"/>
              </w:rPr>
            </w:pPr>
            <w:r w:rsidRPr="00EF219E">
              <w:rPr>
                <w:rFonts w:ascii="Arial Narrow" w:hAnsi="Arial Narrow" w:cs="Arial"/>
                <w:b/>
                <w:bCs/>
                <w:sz w:val="20"/>
              </w:rPr>
              <w:t>9 383</w:t>
            </w:r>
          </w:p>
        </w:tc>
      </w:tr>
    </w:tbl>
    <w:p w:rsidR="00AE49BA" w:rsidP="00AE49BA">
      <w:pPr>
        <w:jc w:val="both"/>
        <w:rPr>
          <w:rFonts w:ascii="Arial Narrow" w:hAnsi="Arial Narrow" w:cs="Arial Narrow"/>
          <w:sz w:val="22"/>
          <w:szCs w:val="22"/>
        </w:rPr>
      </w:pPr>
    </w:p>
    <w:p w:rsidR="00AE49BA" w:rsidP="00AE49BA">
      <w:pPr>
        <w:ind w:firstLine="708"/>
        <w:jc w:val="both"/>
        <w:rPr>
          <w:rFonts w:ascii="Arial Narrow" w:hAnsi="Arial Narrow" w:cs="Times New Roman"/>
          <w:sz w:val="22"/>
        </w:rPr>
      </w:pPr>
      <w:r>
        <w:rPr>
          <w:rFonts w:ascii="Arial Narrow" w:hAnsi="Arial Narrow" w:cs="Arial Narrow"/>
          <w:sz w:val="22"/>
          <w:szCs w:val="22"/>
        </w:rPr>
        <w:t xml:space="preserve">Kapitálové </w:t>
      </w:r>
      <w:r w:rsidRPr="00752B85">
        <w:rPr>
          <w:rFonts w:ascii="Arial Narrow" w:hAnsi="Arial Narrow" w:cs="Arial"/>
          <w:sz w:val="22"/>
          <w:szCs w:val="22"/>
        </w:rPr>
        <w:t>výdavky na rok 2009</w:t>
      </w:r>
      <w:r>
        <w:rPr>
          <w:rFonts w:ascii="Arial Narrow" w:hAnsi="Arial Narrow" w:cs="Arial"/>
          <w:sz w:val="22"/>
          <w:szCs w:val="22"/>
        </w:rPr>
        <w:t xml:space="preserve"> sú rozpočtované</w:t>
      </w:r>
      <w:r w:rsidRPr="00752B85">
        <w:rPr>
          <w:rFonts w:ascii="Arial Narrow" w:hAnsi="Arial Narrow" w:cs="Arial"/>
          <w:sz w:val="22"/>
          <w:szCs w:val="22"/>
        </w:rPr>
        <w:t xml:space="preserve"> </w:t>
      </w:r>
      <w:r w:rsidRPr="005F1148">
        <w:rPr>
          <w:rFonts w:ascii="Arial Narrow" w:hAnsi="Arial Narrow" w:cs="Times New Roman"/>
          <w:sz w:val="22"/>
          <w:szCs w:val="22"/>
        </w:rPr>
        <w:t>na registrované investičné akcie, pričom sa zohľadňuje pokračovanie rekonštrukcie ústavu Levoča</w:t>
      </w:r>
      <w:r>
        <w:rPr>
          <w:rFonts w:ascii="Arial Narrow" w:hAnsi="Arial Narrow" w:cs="Times New Roman"/>
          <w:sz w:val="22"/>
          <w:szCs w:val="22"/>
        </w:rPr>
        <w:t xml:space="preserve"> a </w:t>
      </w:r>
      <w:r>
        <w:rPr>
          <w:rFonts w:ascii="Arial Narrow" w:hAnsi="Arial Narrow" w:cs="Arial"/>
          <w:sz w:val="22"/>
          <w:szCs w:val="22"/>
        </w:rPr>
        <w:t>Bratislava-Chorvátska,</w:t>
      </w:r>
      <w:r w:rsidRPr="005F1148">
        <w:rPr>
          <w:rFonts w:ascii="Arial Narrow" w:hAnsi="Arial Narrow" w:cs="Times New Roman"/>
          <w:sz w:val="22"/>
          <w:szCs w:val="22"/>
        </w:rPr>
        <w:t xml:space="preserve"> rekonštrukcia vychádzkových dvorcov v ústavoch Žilina a Prešov a na prípravu zriadenia špecializovaného oddelenia pre matky s deťmi v ústave Nitra</w:t>
      </w:r>
      <w:r>
        <w:rPr>
          <w:rFonts w:ascii="Arial Narrow" w:hAnsi="Arial Narrow" w:cs="Times New Roman"/>
          <w:sz w:val="22"/>
          <w:szCs w:val="22"/>
        </w:rPr>
        <w:t>-</w:t>
      </w:r>
      <w:r w:rsidRPr="005F1148">
        <w:rPr>
          <w:rFonts w:ascii="Arial Narrow" w:hAnsi="Arial Narrow" w:cs="Times New Roman"/>
          <w:sz w:val="22"/>
          <w:szCs w:val="22"/>
        </w:rPr>
        <w:t>Chrenová</w:t>
      </w:r>
      <w:r>
        <w:rPr>
          <w:rFonts w:ascii="Arial Narrow" w:hAnsi="Arial Narrow" w:cs="Times New Roman"/>
          <w:sz w:val="22"/>
          <w:szCs w:val="22"/>
        </w:rPr>
        <w:t xml:space="preserve"> </w:t>
      </w:r>
      <w:r>
        <w:rPr>
          <w:rFonts w:ascii="Arial Narrow" w:hAnsi="Arial Narrow" w:cs="Arial"/>
          <w:sz w:val="22"/>
          <w:szCs w:val="22"/>
        </w:rPr>
        <w:t>a ukončenie rekonštrukcie Ústavu Ilava a na</w:t>
      </w:r>
      <w:r w:rsidRPr="00752B85">
        <w:rPr>
          <w:rFonts w:ascii="Arial Narrow" w:hAnsi="Arial Narrow" w:cs="Arial"/>
          <w:sz w:val="22"/>
          <w:szCs w:val="22"/>
        </w:rPr>
        <w:t xml:space="preserve"> nákup strojov, prístrojov, zariadení, techniky a</w:t>
      </w:r>
      <w:r>
        <w:rPr>
          <w:rFonts w:ascii="Arial Narrow" w:hAnsi="Arial Narrow" w:cs="Arial"/>
          <w:sz w:val="22"/>
          <w:szCs w:val="22"/>
        </w:rPr>
        <w:t> </w:t>
      </w:r>
      <w:r w:rsidRPr="00752B85">
        <w:rPr>
          <w:rFonts w:ascii="Arial Narrow" w:hAnsi="Arial Narrow" w:cs="Arial"/>
          <w:sz w:val="22"/>
          <w:szCs w:val="22"/>
        </w:rPr>
        <w:t>náradia</w:t>
      </w:r>
      <w:r>
        <w:rPr>
          <w:rFonts w:ascii="Arial Narrow" w:hAnsi="Arial Narrow" w:cs="Arial"/>
          <w:sz w:val="22"/>
          <w:szCs w:val="22"/>
        </w:rPr>
        <w:t>,</w:t>
      </w:r>
      <w:r w:rsidRPr="00752B85">
        <w:rPr>
          <w:rFonts w:ascii="Arial Narrow" w:hAnsi="Arial Narrow" w:cs="Arial"/>
          <w:sz w:val="22"/>
          <w:szCs w:val="22"/>
        </w:rPr>
        <w:t xml:space="preserve"> </w:t>
      </w:r>
      <w:r>
        <w:rPr>
          <w:rFonts w:ascii="Arial Narrow" w:hAnsi="Arial Narrow" w:cs="Arial"/>
          <w:sz w:val="22"/>
          <w:szCs w:val="22"/>
        </w:rPr>
        <w:t xml:space="preserve">ako i </w:t>
      </w:r>
      <w:r w:rsidRPr="00752B85">
        <w:rPr>
          <w:rFonts w:ascii="Arial Narrow" w:hAnsi="Arial Narrow" w:cs="Arial"/>
          <w:sz w:val="22"/>
          <w:szCs w:val="22"/>
        </w:rPr>
        <w:t xml:space="preserve">na </w:t>
      </w:r>
      <w:r w:rsidRPr="00A427CF">
        <w:rPr>
          <w:rFonts w:ascii="Arial Narrow" w:hAnsi="Arial Narrow" w:cs="Arial"/>
          <w:sz w:val="22"/>
          <w:szCs w:val="22"/>
        </w:rPr>
        <w:t xml:space="preserve">obstaranie signálno-bezpečnostnej techniky. </w:t>
      </w:r>
    </w:p>
    <w:p w:rsidR="00AE49BA" w:rsidP="00AE49BA">
      <w:pPr>
        <w:jc w:val="both"/>
        <w:rPr>
          <w:rFonts w:ascii="Arial Narrow" w:hAnsi="Arial Narrow" w:cs="Times New Roman"/>
          <w:sz w:val="22"/>
        </w:rPr>
      </w:pPr>
    </w:p>
    <w:p w:rsidR="00AE49BA" w:rsidP="00AE49BA">
      <w:pPr>
        <w:jc w:val="both"/>
        <w:rPr>
          <w:rFonts w:ascii="Arial Narrow" w:hAnsi="Arial Narrow" w:cs="Times New Roman"/>
          <w:sz w:val="22"/>
        </w:rPr>
      </w:pPr>
    </w:p>
    <w:p w:rsidR="00791FA9" w:rsidP="00791FA9">
      <w:pPr>
        <w:jc w:val="both"/>
        <w:rPr>
          <w:rFonts w:ascii="Arial Narrow" w:hAnsi="Arial Narrow" w:cs="Times New Roman"/>
          <w:b/>
          <w:kern w:val="32"/>
          <w:sz w:val="22"/>
        </w:rPr>
      </w:pPr>
    </w:p>
    <w:p w:rsidR="00AE49BA" w:rsidRPr="00270749" w:rsidP="00AE49BA">
      <w:pPr>
        <w:pBdr>
          <w:bottom w:val="single" w:sz="4" w:space="1" w:color="auto"/>
        </w:pBdr>
        <w:jc w:val="both"/>
        <w:rPr>
          <w:rFonts w:ascii="Arial Narrow" w:hAnsi="Arial Narrow" w:cs="Times New Roman"/>
          <w:b/>
          <w:kern w:val="32"/>
          <w:sz w:val="22"/>
        </w:rPr>
      </w:pPr>
      <w:r w:rsidRPr="00270749">
        <w:rPr>
          <w:rFonts w:ascii="Arial Narrow" w:hAnsi="Arial Narrow" w:cs="Times New Roman"/>
          <w:b/>
          <w:kern w:val="32"/>
          <w:sz w:val="22"/>
        </w:rPr>
        <w:t>Štátna správa a diplomacia</w:t>
      </w:r>
    </w:p>
    <w:p w:rsidR="00AE49BA" w:rsidRPr="00270749" w:rsidP="00AE49BA">
      <w:pPr>
        <w:jc w:val="both"/>
        <w:rPr>
          <w:rFonts w:ascii="Arial Narrow" w:hAnsi="Arial Narrow" w:cs="Times New Roman"/>
          <w:kern w:val="32"/>
          <w:sz w:val="22"/>
        </w:rPr>
      </w:pPr>
    </w:p>
    <w:p w:rsidR="00AE49BA" w:rsidRPr="00270749" w:rsidP="00AE49BA">
      <w:pPr>
        <w:jc w:val="both"/>
        <w:rPr>
          <w:rFonts w:ascii="Arial Narrow" w:hAnsi="Arial Narrow" w:cs="Times New Roman"/>
          <w:b/>
          <w:kern w:val="32"/>
          <w:sz w:val="22"/>
        </w:rPr>
      </w:pPr>
      <w:r w:rsidRPr="00270749">
        <w:rPr>
          <w:rFonts w:ascii="Arial Narrow" w:hAnsi="Arial Narrow" w:cs="Times New Roman"/>
          <w:b/>
          <w:kern w:val="32"/>
          <w:sz w:val="22"/>
        </w:rPr>
        <w:t>Štátna správa</w:t>
      </w:r>
    </w:p>
    <w:p w:rsidR="00AE49BA" w:rsidRPr="00270749" w:rsidP="00AE49BA">
      <w:pPr>
        <w:jc w:val="both"/>
        <w:rPr>
          <w:rFonts w:ascii="Arial Narrow" w:hAnsi="Arial Narrow" w:cs="Times New Roman"/>
          <w:color w:val="000000"/>
          <w:sz w:val="22"/>
        </w:rPr>
      </w:pPr>
    </w:p>
    <w:p w:rsidR="00AE49BA" w:rsidRPr="00270749" w:rsidP="00AE49BA">
      <w:pPr>
        <w:ind w:firstLine="708"/>
        <w:jc w:val="both"/>
        <w:rPr>
          <w:rFonts w:ascii="Arial Narrow" w:hAnsi="Arial Narrow" w:cs="Times New Roman"/>
          <w:color w:val="000000"/>
          <w:sz w:val="22"/>
        </w:rPr>
      </w:pPr>
      <w:r w:rsidRPr="00270749">
        <w:rPr>
          <w:rFonts w:ascii="Arial Narrow" w:hAnsi="Arial Narrow" w:cs="Times New Roman"/>
          <w:color w:val="000000"/>
          <w:sz w:val="22"/>
        </w:rPr>
        <w:t>V rozpočt</w:t>
      </w:r>
      <w:r>
        <w:rPr>
          <w:rFonts w:ascii="Arial Narrow" w:hAnsi="Arial Narrow" w:cs="Times New Roman"/>
          <w:color w:val="000000"/>
          <w:sz w:val="22"/>
        </w:rPr>
        <w:t>e</w:t>
      </w:r>
      <w:r w:rsidRPr="00270749">
        <w:rPr>
          <w:rFonts w:ascii="Arial Narrow" w:hAnsi="Arial Narrow" w:cs="Times New Roman"/>
          <w:color w:val="000000"/>
          <w:sz w:val="22"/>
        </w:rPr>
        <w:t xml:space="preserve"> </w:t>
      </w:r>
      <w:r w:rsidRPr="00270749">
        <w:rPr>
          <w:rFonts w:ascii="Arial Narrow" w:hAnsi="Arial Narrow" w:cs="Times New Roman"/>
          <w:b/>
          <w:color w:val="000000"/>
          <w:sz w:val="22"/>
        </w:rPr>
        <w:t>Kancelárie Národnej rady SR</w:t>
      </w:r>
      <w:r>
        <w:rPr>
          <w:rFonts w:ascii="Arial Narrow" w:hAnsi="Arial Narrow" w:cs="Times New Roman"/>
          <w:b/>
          <w:color w:val="000000"/>
          <w:sz w:val="22"/>
        </w:rPr>
        <w:t xml:space="preserve"> </w:t>
      </w:r>
      <w:r w:rsidRPr="00883856">
        <w:rPr>
          <w:rFonts w:ascii="Arial Narrow" w:hAnsi="Arial Narrow" w:cs="Times New Roman"/>
          <w:color w:val="000000"/>
          <w:sz w:val="22"/>
        </w:rPr>
        <w:t>sú</w:t>
      </w:r>
      <w:r>
        <w:rPr>
          <w:rFonts w:ascii="Arial Narrow" w:hAnsi="Arial Narrow" w:cs="Times New Roman"/>
          <w:color w:val="000000"/>
          <w:sz w:val="22"/>
        </w:rPr>
        <w:t xml:space="preserve"> zahrnuté</w:t>
      </w:r>
      <w:r w:rsidRPr="00883856">
        <w:rPr>
          <w:rFonts w:ascii="Arial Narrow" w:hAnsi="Arial Narrow" w:cs="Times New Roman"/>
          <w:color w:val="000000"/>
          <w:sz w:val="22"/>
        </w:rPr>
        <w:t xml:space="preserve"> na rok 2009</w:t>
      </w:r>
      <w:r>
        <w:rPr>
          <w:rFonts w:ascii="Arial Narrow" w:hAnsi="Arial Narrow" w:cs="Times New Roman"/>
          <w:b/>
          <w:color w:val="000000"/>
          <w:sz w:val="22"/>
        </w:rPr>
        <w:t xml:space="preserve"> </w:t>
      </w:r>
      <w:r>
        <w:rPr>
          <w:rFonts w:ascii="Arial Narrow" w:hAnsi="Arial Narrow" w:cs="Times New Roman"/>
          <w:color w:val="000000"/>
          <w:sz w:val="22"/>
        </w:rPr>
        <w:t xml:space="preserve"> výdavky v sume 42,4 mil.  eur  </w:t>
      </w:r>
      <w:r w:rsidRPr="00270749">
        <w:rPr>
          <w:rFonts w:ascii="Arial Narrow" w:hAnsi="Arial Narrow" w:cs="Times New Roman"/>
          <w:color w:val="000000"/>
          <w:sz w:val="22"/>
        </w:rPr>
        <w:t>na plnenie funkcií a činnosť poslancov a výborov NR SR, vrátane odmien asistentom poslancov, výdavkov na prevádzku poslaneckých pracovní v areáli NR SR, ako aj kancelárií vo vybraných sídlach v rámci územia SR, výdavkov na ubytovanie poslancov mimo ubytovacieho zariadenia NR SR, výdavky na činnosť poslaneckých klubov a výdavky na poslanecké pracovne. V rozpočte kapitoly sú zohľadnené aj výdavky na platy poslancov Európskeho parlamentu. Z kapitálových  výdavkov sa predovšetkým  zabezpečuje postupná rekonštrukcia Národnej kultúrnej pamiatky  Bratislavský hrad, a to najmä hradný palác. V porovnaní s rokom 2006 sú výdavky kapitoly v roku 2009 vyššie o </w:t>
      </w:r>
      <w:r>
        <w:rPr>
          <w:rFonts w:ascii="Arial Narrow" w:hAnsi="Arial Narrow" w:cs="Times New Roman"/>
          <w:color w:val="000000"/>
          <w:sz w:val="22"/>
        </w:rPr>
        <w:t>51</w:t>
      </w:r>
      <w:r w:rsidRPr="00270749">
        <w:rPr>
          <w:rFonts w:ascii="Arial Narrow" w:hAnsi="Arial Narrow" w:cs="Times New Roman"/>
          <w:color w:val="000000"/>
          <w:sz w:val="22"/>
        </w:rPr>
        <w:t>,</w:t>
      </w:r>
      <w:r>
        <w:rPr>
          <w:rFonts w:ascii="Arial Narrow" w:hAnsi="Arial Narrow" w:cs="Times New Roman"/>
          <w:color w:val="000000"/>
          <w:sz w:val="22"/>
        </w:rPr>
        <w:t>8</w:t>
      </w:r>
      <w:r w:rsidRPr="00270749">
        <w:rPr>
          <w:rFonts w:ascii="Arial Narrow" w:hAnsi="Arial Narrow" w:cs="Times New Roman"/>
          <w:color w:val="000000"/>
          <w:sz w:val="22"/>
        </w:rPr>
        <w:t xml:space="preserve"> % a v porovnaní s rokom 2008 sú </w:t>
      </w:r>
      <w:r>
        <w:rPr>
          <w:rFonts w:ascii="Arial Narrow" w:hAnsi="Arial Narrow" w:cs="Times New Roman"/>
          <w:color w:val="000000"/>
          <w:sz w:val="22"/>
        </w:rPr>
        <w:t>vyššie o 7,5 %</w:t>
      </w:r>
      <w:r w:rsidRPr="00270749">
        <w:rPr>
          <w:rFonts w:ascii="Arial Narrow" w:hAnsi="Arial Narrow" w:cs="Times New Roman"/>
          <w:color w:val="000000"/>
          <w:sz w:val="22"/>
        </w:rPr>
        <w:t xml:space="preserve">.   </w:t>
      </w:r>
    </w:p>
    <w:p w:rsidR="00AE49BA" w:rsidRPr="00270749" w:rsidP="00AE49BA">
      <w:pPr>
        <w:jc w:val="both"/>
        <w:rPr>
          <w:rFonts w:ascii="Arial Narrow" w:hAnsi="Arial Narrow" w:cs="Times New Roman"/>
          <w:color w:val="000000"/>
          <w:sz w:val="22"/>
        </w:rPr>
      </w:pPr>
    </w:p>
    <w:p w:rsidR="00AE49BA" w:rsidP="00AE49BA">
      <w:pPr>
        <w:ind w:firstLine="708"/>
        <w:jc w:val="both"/>
        <w:rPr>
          <w:rFonts w:ascii="Arial Narrow" w:hAnsi="Arial Narrow" w:cs="Times New Roman"/>
          <w:color w:val="000000"/>
          <w:sz w:val="22"/>
        </w:rPr>
      </w:pPr>
      <w:r w:rsidRPr="00270749">
        <w:rPr>
          <w:rFonts w:ascii="Arial Narrow" w:hAnsi="Arial Narrow" w:cs="Times New Roman"/>
          <w:color w:val="000000"/>
          <w:sz w:val="22"/>
        </w:rPr>
        <w:t>V </w:t>
      </w:r>
      <w:r>
        <w:rPr>
          <w:rFonts w:ascii="Arial Narrow" w:hAnsi="Arial Narrow" w:cs="Times New Roman"/>
          <w:color w:val="000000"/>
          <w:sz w:val="22"/>
        </w:rPr>
        <w:t>rámci</w:t>
      </w:r>
      <w:r w:rsidRPr="00270749">
        <w:rPr>
          <w:rFonts w:ascii="Arial Narrow" w:hAnsi="Arial Narrow" w:cs="Times New Roman"/>
          <w:color w:val="000000"/>
          <w:sz w:val="22"/>
        </w:rPr>
        <w:t xml:space="preserve"> výdavkov</w:t>
      </w:r>
      <w:r>
        <w:rPr>
          <w:rFonts w:ascii="Arial Narrow" w:hAnsi="Arial Narrow" w:cs="Times New Roman"/>
          <w:color w:val="000000"/>
          <w:sz w:val="22"/>
        </w:rPr>
        <w:t xml:space="preserve"> </w:t>
      </w:r>
      <w:r w:rsidRPr="00270749">
        <w:rPr>
          <w:rFonts w:ascii="Arial Narrow" w:hAnsi="Arial Narrow" w:cs="Times New Roman"/>
          <w:b/>
          <w:color w:val="000000"/>
          <w:sz w:val="22"/>
        </w:rPr>
        <w:t xml:space="preserve">Kancelárie prezidenta </w:t>
      </w:r>
      <w:r w:rsidRPr="0096038F">
        <w:rPr>
          <w:rFonts w:ascii="Arial Narrow" w:hAnsi="Arial Narrow" w:cs="Times New Roman"/>
          <w:b/>
          <w:color w:val="000000"/>
          <w:sz w:val="22"/>
        </w:rPr>
        <w:t>SR</w:t>
      </w:r>
      <w:r w:rsidRPr="00E655A6">
        <w:rPr>
          <w:rFonts w:ascii="Arial Narrow" w:hAnsi="Arial Narrow" w:cs="Times New Roman"/>
          <w:color w:val="000000"/>
          <w:sz w:val="22"/>
        </w:rPr>
        <w:t xml:space="preserve"> na rok 2009 v sume</w:t>
      </w:r>
      <w:r>
        <w:rPr>
          <w:rFonts w:ascii="Arial Narrow" w:hAnsi="Arial Narrow" w:cs="Times New Roman"/>
          <w:b/>
          <w:color w:val="000000"/>
          <w:sz w:val="22"/>
        </w:rPr>
        <w:t xml:space="preserve"> </w:t>
      </w:r>
      <w:r w:rsidRPr="00E655A6">
        <w:rPr>
          <w:rFonts w:ascii="Arial Narrow" w:hAnsi="Arial Narrow" w:cs="Times New Roman"/>
          <w:color w:val="000000"/>
          <w:sz w:val="22"/>
        </w:rPr>
        <w:t>3</w:t>
      </w:r>
      <w:r>
        <w:rPr>
          <w:rFonts w:ascii="Arial Narrow" w:hAnsi="Arial Narrow" w:cs="Times New Roman"/>
          <w:color w:val="000000"/>
          <w:sz w:val="22"/>
        </w:rPr>
        <w:t>,</w:t>
      </w:r>
      <w:r w:rsidRPr="00E655A6">
        <w:rPr>
          <w:rFonts w:ascii="Arial Narrow" w:hAnsi="Arial Narrow" w:cs="Times New Roman"/>
          <w:color w:val="000000"/>
          <w:sz w:val="22"/>
        </w:rPr>
        <w:t xml:space="preserve">9 </w:t>
      </w:r>
      <w:r>
        <w:rPr>
          <w:rFonts w:ascii="Arial Narrow" w:hAnsi="Arial Narrow" w:cs="Times New Roman"/>
          <w:color w:val="000000"/>
          <w:sz w:val="22"/>
        </w:rPr>
        <w:t>mil</w:t>
      </w:r>
      <w:r w:rsidRPr="00E655A6">
        <w:rPr>
          <w:rFonts w:ascii="Arial Narrow" w:hAnsi="Arial Narrow" w:cs="Times New Roman"/>
          <w:color w:val="000000"/>
          <w:sz w:val="22"/>
        </w:rPr>
        <w:t>. eur</w:t>
      </w:r>
      <w:r w:rsidRPr="00270749">
        <w:rPr>
          <w:rFonts w:ascii="Arial Narrow" w:hAnsi="Arial Narrow" w:cs="Times New Roman"/>
          <w:color w:val="000000"/>
          <w:sz w:val="22"/>
        </w:rPr>
        <w:t xml:space="preserve"> sa zabezpečujú </w:t>
      </w:r>
      <w:r>
        <w:rPr>
          <w:rFonts w:ascii="Arial Narrow" w:hAnsi="Arial Narrow" w:cs="Times New Roman"/>
          <w:color w:val="000000"/>
          <w:sz w:val="22"/>
        </w:rPr>
        <w:t>úlohy</w:t>
      </w:r>
      <w:r w:rsidRPr="00270749">
        <w:rPr>
          <w:rFonts w:ascii="Arial Narrow" w:hAnsi="Arial Narrow" w:cs="Times New Roman"/>
          <w:color w:val="000000"/>
          <w:sz w:val="22"/>
        </w:rPr>
        <w:t xml:space="preserve"> súvisiace so zabezpečením podmienok a všetkých činností potrebných pre výkon ústavných právomocí prezidenta republiky. Kapitálové výdavky vychádzajú z registra investícií a zabezpečuje sa nimi obstaranie výpočtovej techniky, osobných automob</w:t>
      </w:r>
      <w:r>
        <w:rPr>
          <w:rFonts w:ascii="Arial Narrow" w:hAnsi="Arial Narrow" w:cs="Times New Roman"/>
          <w:color w:val="000000"/>
          <w:sz w:val="22"/>
        </w:rPr>
        <w:t>ilov a interiérového vybavenia.</w:t>
      </w:r>
    </w:p>
    <w:p w:rsidR="00AE49BA" w:rsidRPr="00270749" w:rsidP="00AE49BA">
      <w:pPr>
        <w:jc w:val="both"/>
        <w:rPr>
          <w:rFonts w:ascii="Arial Narrow" w:hAnsi="Arial Narrow" w:cs="Times New Roman"/>
          <w:color w:val="000000"/>
          <w:sz w:val="22"/>
        </w:rPr>
      </w:pPr>
    </w:p>
    <w:p w:rsidR="00AE49BA" w:rsidRPr="00270749" w:rsidP="00AE49BA">
      <w:pPr>
        <w:ind w:firstLine="708"/>
        <w:jc w:val="both"/>
        <w:rPr>
          <w:rFonts w:ascii="Arial Narrow" w:hAnsi="Arial Narrow" w:cs="Times New Roman"/>
          <w:color w:val="000000"/>
          <w:sz w:val="22"/>
        </w:rPr>
      </w:pPr>
      <w:r w:rsidRPr="00270749">
        <w:rPr>
          <w:rFonts w:ascii="Arial Narrow" w:hAnsi="Arial Narrow" w:cs="Times New Roman"/>
          <w:color w:val="000000"/>
          <w:sz w:val="22"/>
        </w:rPr>
        <w:t>Výdavky</w:t>
      </w:r>
      <w:r>
        <w:rPr>
          <w:rFonts w:ascii="Arial Narrow" w:hAnsi="Arial Narrow" w:cs="Times New Roman"/>
          <w:color w:val="000000"/>
          <w:sz w:val="22"/>
        </w:rPr>
        <w:t xml:space="preserve"> </w:t>
      </w:r>
      <w:r w:rsidRPr="00270749">
        <w:rPr>
          <w:rFonts w:ascii="Arial Narrow" w:hAnsi="Arial Narrow" w:cs="Times New Roman"/>
          <w:color w:val="000000"/>
          <w:sz w:val="22"/>
        </w:rPr>
        <w:t xml:space="preserve"> </w:t>
      </w:r>
      <w:r w:rsidRPr="00270749">
        <w:rPr>
          <w:rFonts w:ascii="Arial Narrow" w:hAnsi="Arial Narrow" w:cs="Times New Roman"/>
          <w:b/>
          <w:color w:val="000000"/>
          <w:sz w:val="22"/>
        </w:rPr>
        <w:t>Úradu vlády SR</w:t>
      </w:r>
      <w:r w:rsidRPr="00270749">
        <w:rPr>
          <w:rFonts w:ascii="Arial Narrow" w:hAnsi="Arial Narrow" w:cs="Times New Roman"/>
          <w:color w:val="000000"/>
          <w:sz w:val="22"/>
        </w:rPr>
        <w:t xml:space="preserve"> na rok</w:t>
      </w:r>
      <w:r>
        <w:rPr>
          <w:rFonts w:ascii="Arial Narrow" w:hAnsi="Arial Narrow" w:cs="Times New Roman"/>
          <w:color w:val="000000"/>
          <w:sz w:val="22"/>
        </w:rPr>
        <w:t xml:space="preserve"> 2009  v sume </w:t>
      </w:r>
      <w:r w:rsidRPr="009A6135">
        <w:rPr>
          <w:rFonts w:ascii="Arial Narrow" w:hAnsi="Arial Narrow" w:cs="Times New Roman"/>
          <w:color w:val="000000"/>
          <w:sz w:val="22"/>
        </w:rPr>
        <w:t>3</w:t>
      </w:r>
      <w:r>
        <w:rPr>
          <w:rFonts w:ascii="Arial Narrow" w:hAnsi="Arial Narrow" w:cs="Times New Roman"/>
          <w:color w:val="000000"/>
          <w:sz w:val="22"/>
        </w:rPr>
        <w:t>3</w:t>
      </w:r>
      <w:r w:rsidRPr="009A6135">
        <w:rPr>
          <w:rFonts w:ascii="Arial Narrow" w:hAnsi="Arial Narrow" w:cs="Times New Roman"/>
          <w:color w:val="000000"/>
          <w:sz w:val="22"/>
        </w:rPr>
        <w:t>,</w:t>
      </w:r>
      <w:r>
        <w:rPr>
          <w:rFonts w:ascii="Arial Narrow" w:hAnsi="Arial Narrow" w:cs="Times New Roman"/>
          <w:color w:val="000000"/>
          <w:sz w:val="22"/>
        </w:rPr>
        <w:t>7 mil. eur</w:t>
      </w:r>
      <w:r w:rsidRPr="00270749">
        <w:rPr>
          <w:rFonts w:ascii="Arial Narrow" w:hAnsi="Arial Narrow" w:cs="Times New Roman"/>
          <w:color w:val="000000"/>
          <w:sz w:val="22"/>
        </w:rPr>
        <w:t xml:space="preserve">  zabezpečujú prostriedky na trvalý Euro Info servis v súvislosti so vstupom SR do eurozóny, na podporu menšinovej kultúrnej politiky, na riešenie problematiky rómskych komunít, na podporu športu, ako aj na zabezpečenie prevádzky vládnej siete Govnet a Ústredného portálu. Pre Správu zariadení Úradu vlády SR sa zabezpečujú prostriedky na chod účelových zariadení v oblasti poskytovania služieb, na správu a údržbu objektov ÚV SR, na obstaranie a správu hnuteľného majetku pre ÚV SR a na rekonštrukciu spojovacej chodby. V rámci výdavkov Úradu pre Slovákov žijúcich v zahraničí sa rozpočtujú predovšetkým prostriedky na podporu aktivít Slovákov žijúcich v zahraničí. </w:t>
      </w:r>
    </w:p>
    <w:p w:rsidR="00AE49BA" w:rsidRPr="00270749" w:rsidP="00AE49BA">
      <w:pPr>
        <w:jc w:val="both"/>
        <w:rPr>
          <w:rFonts w:ascii="Arial Narrow" w:hAnsi="Arial Narrow" w:cs="Times New Roman"/>
          <w:color w:val="000000"/>
          <w:sz w:val="22"/>
        </w:rPr>
      </w:pPr>
    </w:p>
    <w:p w:rsidR="00AE49BA" w:rsidRPr="00270749" w:rsidP="00AE49BA">
      <w:pPr>
        <w:ind w:firstLine="708"/>
        <w:jc w:val="both"/>
        <w:rPr>
          <w:rFonts w:ascii="Arial Narrow" w:hAnsi="Arial Narrow" w:cs="Times New Roman"/>
          <w:color w:val="000000"/>
          <w:sz w:val="22"/>
        </w:rPr>
      </w:pPr>
      <w:r>
        <w:rPr>
          <w:rFonts w:ascii="Arial Narrow" w:hAnsi="Arial Narrow" w:cs="Times New Roman"/>
          <w:color w:val="000000"/>
          <w:sz w:val="22"/>
        </w:rPr>
        <w:t>P</w:t>
      </w:r>
      <w:r w:rsidRPr="00270749">
        <w:rPr>
          <w:rFonts w:ascii="Arial Narrow" w:hAnsi="Arial Narrow" w:cs="Times New Roman"/>
          <w:color w:val="000000"/>
          <w:sz w:val="22"/>
        </w:rPr>
        <w:t xml:space="preserve">re </w:t>
      </w:r>
      <w:r w:rsidRPr="003567B1">
        <w:rPr>
          <w:rFonts w:ascii="Arial Narrow" w:hAnsi="Arial Narrow" w:cs="Times New Roman"/>
          <w:b/>
          <w:color w:val="000000"/>
          <w:sz w:val="22"/>
        </w:rPr>
        <w:t xml:space="preserve">Najvyšší kontrolný úrad SR </w:t>
      </w:r>
      <w:r w:rsidRPr="003567B1">
        <w:rPr>
          <w:rFonts w:ascii="Arial Narrow" w:hAnsi="Arial Narrow" w:cs="Times New Roman"/>
          <w:color w:val="000000"/>
          <w:sz w:val="22"/>
        </w:rPr>
        <w:t>sa</w:t>
      </w:r>
      <w:r>
        <w:rPr>
          <w:rFonts w:ascii="Arial Narrow" w:hAnsi="Arial Narrow" w:cs="Times New Roman"/>
          <w:color w:val="000000"/>
          <w:sz w:val="22"/>
        </w:rPr>
        <w:t xml:space="preserve"> v prostriedkoch rozpočtovaných na rok 2009 v sume 8,2 mil. eur</w:t>
      </w:r>
      <w:r w:rsidRPr="003567B1">
        <w:rPr>
          <w:rFonts w:ascii="Arial Narrow" w:hAnsi="Arial Narrow" w:cs="Times New Roman"/>
          <w:color w:val="000000"/>
          <w:sz w:val="22"/>
        </w:rPr>
        <w:t xml:space="preserve"> </w:t>
      </w:r>
      <w:r w:rsidRPr="00270749">
        <w:rPr>
          <w:rFonts w:ascii="Arial Narrow" w:hAnsi="Arial Narrow" w:cs="Times New Roman"/>
          <w:color w:val="000000"/>
          <w:sz w:val="22"/>
        </w:rPr>
        <w:t>zohľadňuj</w:t>
      </w:r>
      <w:r>
        <w:rPr>
          <w:rFonts w:ascii="Arial Narrow" w:hAnsi="Arial Narrow" w:cs="Times New Roman"/>
          <w:color w:val="000000"/>
          <w:sz w:val="22"/>
        </w:rPr>
        <w:t>e</w:t>
      </w:r>
      <w:r w:rsidRPr="00270749">
        <w:rPr>
          <w:rFonts w:ascii="Arial Narrow" w:hAnsi="Arial Narrow" w:cs="Times New Roman"/>
          <w:color w:val="000000"/>
          <w:sz w:val="22"/>
        </w:rPr>
        <w:t xml:space="preserve"> predovšetkým personálne posilnenie kapitoly v súvislosti so zriadením novej expozitúry v Trnave s cieľom zastúpenia úradu v každom krajskom meste. Z kapitálových výdavkov sa zabezpečuje predovšetkým obstaranie softvéru na automatizáciu procesov súvisiacich s budovaním a implementáciou kontrolórskeho IS, registratúrneho systému, dokument manažmentu a archivačného systému. V porovnaní s rokom 2006 sú výdavky kapitoly v roku 2009 vyššie o 38,0 % a v porovnaní s ro</w:t>
      </w:r>
      <w:r>
        <w:rPr>
          <w:rFonts w:ascii="Arial Narrow" w:hAnsi="Arial Narrow" w:cs="Times New Roman"/>
          <w:color w:val="000000"/>
          <w:sz w:val="22"/>
        </w:rPr>
        <w:t>kom 2008 sú vyššie o 11,1 %.</w:t>
      </w:r>
    </w:p>
    <w:p w:rsidR="00AE49BA" w:rsidRPr="00270749" w:rsidP="00AE49BA">
      <w:pPr>
        <w:jc w:val="both"/>
        <w:rPr>
          <w:rFonts w:ascii="Arial Narrow" w:hAnsi="Arial Narrow" w:cs="Times New Roman"/>
          <w:color w:val="000000"/>
          <w:sz w:val="22"/>
        </w:rPr>
      </w:pPr>
    </w:p>
    <w:p w:rsidR="00AE49BA" w:rsidRPr="00270749" w:rsidP="00AE49BA">
      <w:pPr>
        <w:jc w:val="both"/>
        <w:rPr>
          <w:rFonts w:ascii="Arial Narrow" w:hAnsi="Arial Narrow" w:cs="Times New Roman"/>
          <w:color w:val="000000"/>
          <w:sz w:val="22"/>
        </w:rPr>
      </w:pPr>
      <w:r>
        <w:rPr>
          <w:rFonts w:ascii="Arial Narrow" w:hAnsi="Arial Narrow" w:cs="Times New Roman"/>
          <w:color w:val="000000"/>
          <w:sz w:val="22"/>
        </w:rPr>
        <w:t xml:space="preserve">V rámci výdavkov </w:t>
      </w:r>
      <w:r w:rsidRPr="003567B1">
        <w:rPr>
          <w:rFonts w:ascii="Arial Narrow" w:hAnsi="Arial Narrow" w:cs="Times New Roman"/>
          <w:b/>
          <w:color w:val="000000"/>
          <w:sz w:val="22"/>
        </w:rPr>
        <w:t>Štatistick</w:t>
      </w:r>
      <w:r>
        <w:rPr>
          <w:rFonts w:ascii="Arial Narrow" w:hAnsi="Arial Narrow" w:cs="Times New Roman"/>
          <w:b/>
          <w:color w:val="000000"/>
          <w:sz w:val="22"/>
        </w:rPr>
        <w:t>ého</w:t>
      </w:r>
      <w:r w:rsidRPr="003567B1">
        <w:rPr>
          <w:rFonts w:ascii="Arial Narrow" w:hAnsi="Arial Narrow" w:cs="Times New Roman"/>
          <w:b/>
          <w:color w:val="000000"/>
          <w:sz w:val="22"/>
        </w:rPr>
        <w:t xml:space="preserve"> úrad</w:t>
      </w:r>
      <w:r>
        <w:rPr>
          <w:rFonts w:ascii="Arial Narrow" w:hAnsi="Arial Narrow" w:cs="Times New Roman"/>
          <w:b/>
          <w:color w:val="000000"/>
          <w:sz w:val="22"/>
        </w:rPr>
        <w:t>u</w:t>
      </w:r>
      <w:r w:rsidRPr="003567B1">
        <w:rPr>
          <w:rFonts w:ascii="Arial Narrow" w:hAnsi="Arial Narrow" w:cs="Times New Roman"/>
          <w:b/>
          <w:color w:val="000000"/>
          <w:sz w:val="22"/>
        </w:rPr>
        <w:t xml:space="preserve"> SR</w:t>
      </w:r>
      <w:r w:rsidRPr="00270749">
        <w:rPr>
          <w:rFonts w:ascii="Arial Narrow" w:hAnsi="Arial Narrow" w:cs="Times New Roman"/>
          <w:color w:val="000000"/>
          <w:sz w:val="22"/>
        </w:rPr>
        <w:t xml:space="preserve"> </w:t>
      </w:r>
      <w:r>
        <w:rPr>
          <w:rFonts w:ascii="Arial Narrow" w:hAnsi="Arial Narrow" w:cs="Times New Roman"/>
          <w:color w:val="000000"/>
          <w:sz w:val="22"/>
        </w:rPr>
        <w:t xml:space="preserve">rozpočtovaných na rok 2009 v sume </w:t>
      </w:r>
      <w:r w:rsidRPr="002C39F6">
        <w:rPr>
          <w:rFonts w:ascii="Arial Narrow" w:hAnsi="Arial Narrow" w:cs="Times New Roman"/>
          <w:color w:val="000000"/>
          <w:sz w:val="22"/>
        </w:rPr>
        <w:t>25,8 mil. eur</w:t>
      </w:r>
      <w:r>
        <w:rPr>
          <w:rFonts w:ascii="Arial Narrow" w:hAnsi="Arial Narrow" w:cs="Times New Roman"/>
          <w:color w:val="000000"/>
          <w:sz w:val="22"/>
        </w:rPr>
        <w:t xml:space="preserve"> </w:t>
      </w:r>
      <w:r w:rsidRPr="00270749">
        <w:rPr>
          <w:rFonts w:ascii="Arial Narrow" w:hAnsi="Arial Narrow" w:cs="Times New Roman"/>
          <w:color w:val="000000"/>
          <w:sz w:val="22"/>
        </w:rPr>
        <w:t xml:space="preserve">sa </w:t>
      </w:r>
      <w:r>
        <w:rPr>
          <w:rFonts w:ascii="Arial Narrow" w:hAnsi="Arial Narrow" w:cs="Times New Roman"/>
          <w:color w:val="000000"/>
          <w:sz w:val="22"/>
        </w:rPr>
        <w:t>zabezpečujú</w:t>
      </w:r>
      <w:r w:rsidRPr="00270749">
        <w:rPr>
          <w:rFonts w:ascii="Arial Narrow" w:hAnsi="Arial Narrow" w:cs="Times New Roman"/>
          <w:color w:val="000000"/>
          <w:sz w:val="22"/>
        </w:rPr>
        <w:t xml:space="preserve"> všetky nevyhnutné potreby kapitoly. </w:t>
      </w:r>
      <w:r>
        <w:rPr>
          <w:rFonts w:ascii="Arial Narrow" w:hAnsi="Arial Narrow" w:cs="Times New Roman"/>
          <w:color w:val="000000"/>
          <w:sz w:val="22"/>
        </w:rPr>
        <w:t>N</w:t>
      </w:r>
      <w:r w:rsidRPr="00270749">
        <w:rPr>
          <w:rFonts w:ascii="Arial Narrow" w:hAnsi="Arial Narrow" w:cs="Times New Roman"/>
          <w:color w:val="000000"/>
          <w:sz w:val="22"/>
        </w:rPr>
        <w:t xml:space="preserve">ad rámec bežných potrieb </w:t>
      </w:r>
      <w:r>
        <w:rPr>
          <w:rFonts w:ascii="Arial Narrow" w:hAnsi="Arial Narrow" w:cs="Times New Roman"/>
          <w:color w:val="000000"/>
          <w:sz w:val="22"/>
        </w:rPr>
        <w:t xml:space="preserve">sú </w:t>
      </w:r>
      <w:r w:rsidRPr="00270749">
        <w:rPr>
          <w:rFonts w:ascii="Arial Narrow" w:hAnsi="Arial Narrow" w:cs="Times New Roman"/>
          <w:color w:val="000000"/>
          <w:sz w:val="22"/>
        </w:rPr>
        <w:t>v príslušných rokoch zohľadnené aj výdavky na uskutočnenie volieb do VÚC, do NR SR, do EP a do orgánov samosprávy, ako aj výdavky potrebné pre prípravu sčítania obyvateľov, domov a bytov, ktoré sa má realizovať v roku 2011. V porovnaní s rokom 2006 sú výdavky kapitoly v roku 2009 vyššie o</w:t>
      </w:r>
      <w:r>
        <w:rPr>
          <w:rFonts w:ascii="Arial Narrow" w:hAnsi="Arial Narrow" w:cs="Times New Roman"/>
          <w:color w:val="000000"/>
          <w:sz w:val="22"/>
        </w:rPr>
        <w:t> </w:t>
      </w:r>
      <w:r w:rsidRPr="002C39F6">
        <w:rPr>
          <w:rFonts w:ascii="Arial Narrow" w:hAnsi="Arial Narrow" w:cs="Times New Roman"/>
          <w:color w:val="000000"/>
          <w:sz w:val="22"/>
        </w:rPr>
        <w:t>39,4 %</w:t>
      </w:r>
      <w:r w:rsidRPr="00270749">
        <w:rPr>
          <w:rFonts w:ascii="Arial Narrow" w:hAnsi="Arial Narrow" w:cs="Times New Roman"/>
          <w:color w:val="000000"/>
          <w:sz w:val="22"/>
        </w:rPr>
        <w:t xml:space="preserve"> a v porovnaní s rokom 2008 sú vyššie o </w:t>
      </w:r>
      <w:r w:rsidRPr="002C39F6">
        <w:rPr>
          <w:rFonts w:ascii="Arial Narrow" w:hAnsi="Arial Narrow" w:cs="Times New Roman"/>
          <w:color w:val="000000"/>
          <w:sz w:val="22"/>
        </w:rPr>
        <w:t>48,7 %.</w:t>
      </w:r>
      <w:r w:rsidRPr="00270749">
        <w:rPr>
          <w:rFonts w:ascii="Arial Narrow" w:hAnsi="Arial Narrow" w:cs="Times New Roman"/>
          <w:color w:val="000000"/>
          <w:sz w:val="22"/>
        </w:rPr>
        <w:t xml:space="preserve">  </w:t>
      </w:r>
    </w:p>
    <w:p w:rsidR="00AE49BA" w:rsidRPr="00270749" w:rsidP="00AE49BA">
      <w:pPr>
        <w:jc w:val="both"/>
        <w:rPr>
          <w:rFonts w:ascii="Arial Narrow" w:hAnsi="Arial Narrow" w:cs="Times New Roman"/>
          <w:color w:val="000000"/>
          <w:sz w:val="22"/>
        </w:rPr>
      </w:pPr>
    </w:p>
    <w:p w:rsidR="00AE49BA" w:rsidRPr="00270749" w:rsidP="00AE49BA">
      <w:pPr>
        <w:ind w:firstLine="708"/>
        <w:jc w:val="both"/>
        <w:rPr>
          <w:rFonts w:ascii="Arial Narrow" w:hAnsi="Arial Narrow" w:cs="Times New Roman"/>
          <w:color w:val="000000"/>
          <w:sz w:val="22"/>
        </w:rPr>
      </w:pPr>
      <w:r w:rsidRPr="00270749">
        <w:rPr>
          <w:rFonts w:ascii="Arial Narrow" w:hAnsi="Arial Narrow" w:cs="Times New Roman"/>
          <w:color w:val="000000"/>
          <w:sz w:val="22"/>
        </w:rPr>
        <w:t xml:space="preserve">V rozpočte výdavkov kapitoly </w:t>
      </w:r>
      <w:r w:rsidRPr="003567B1">
        <w:rPr>
          <w:rFonts w:ascii="Arial Narrow" w:hAnsi="Arial Narrow" w:cs="Times New Roman"/>
          <w:b/>
          <w:color w:val="000000"/>
          <w:sz w:val="22"/>
        </w:rPr>
        <w:t>Úrad pre verejné obstarávanie</w:t>
      </w:r>
      <w:r w:rsidRPr="00270749">
        <w:rPr>
          <w:rFonts w:ascii="Arial Narrow" w:hAnsi="Arial Narrow" w:cs="Times New Roman"/>
          <w:color w:val="000000"/>
          <w:sz w:val="22"/>
        </w:rPr>
        <w:t xml:space="preserve"> </w:t>
      </w:r>
      <w:r>
        <w:rPr>
          <w:rFonts w:ascii="Arial Narrow" w:hAnsi="Arial Narrow" w:cs="Times New Roman"/>
          <w:color w:val="000000"/>
          <w:sz w:val="22"/>
        </w:rPr>
        <w:t xml:space="preserve">na rok 2009 v sume 3,5 mil. eur </w:t>
      </w:r>
      <w:r w:rsidRPr="00270749">
        <w:rPr>
          <w:rFonts w:ascii="Arial Narrow" w:hAnsi="Arial Narrow" w:cs="Times New Roman"/>
          <w:color w:val="000000"/>
          <w:sz w:val="22"/>
        </w:rPr>
        <w:t>sa predovšetkým zabezpečujú prostriedky na budovanie a rozvoj elektronického verejného obstarávania, ktoré zabezpečí efektívne a transparentné verejné obstarávanie, bude viesť k finančným úsporám a k skráteniu lehôt v procese verejného obstarávania. V porovnaní s rokom 2006 sú výdavky kapitoly v roku  2009 vyššie o 62,7 % a v porovnaní s r</w:t>
      </w:r>
      <w:r>
        <w:rPr>
          <w:rFonts w:ascii="Arial Narrow" w:hAnsi="Arial Narrow" w:cs="Times New Roman"/>
          <w:color w:val="000000"/>
          <w:sz w:val="22"/>
        </w:rPr>
        <w:t>okom 2008 sú vyššie o 25,8 %.</w:t>
      </w:r>
    </w:p>
    <w:p w:rsidR="00AE49BA" w:rsidRPr="00270749" w:rsidP="00AE49BA">
      <w:pPr>
        <w:jc w:val="both"/>
        <w:rPr>
          <w:rFonts w:ascii="Arial Narrow" w:hAnsi="Arial Narrow" w:cs="Times New Roman"/>
          <w:color w:val="000000"/>
          <w:sz w:val="22"/>
        </w:rPr>
      </w:pPr>
    </w:p>
    <w:p w:rsidR="00AE49BA" w:rsidRPr="003567B1" w:rsidP="00AE49BA">
      <w:pPr>
        <w:jc w:val="both"/>
        <w:rPr>
          <w:rFonts w:ascii="Arial Narrow" w:hAnsi="Arial Narrow" w:cs="Times New Roman"/>
          <w:b/>
          <w:color w:val="000000"/>
          <w:sz w:val="22"/>
        </w:rPr>
      </w:pPr>
      <w:r w:rsidRPr="003567B1">
        <w:rPr>
          <w:rFonts w:ascii="Arial Narrow" w:hAnsi="Arial Narrow" w:cs="Times New Roman"/>
          <w:b/>
          <w:color w:val="000000"/>
          <w:sz w:val="22"/>
        </w:rPr>
        <w:t>Diplomacia</w:t>
      </w:r>
    </w:p>
    <w:p w:rsidR="00AE49BA" w:rsidRPr="00270749" w:rsidP="00AE49BA">
      <w:pPr>
        <w:jc w:val="both"/>
        <w:rPr>
          <w:rFonts w:ascii="Arial Narrow" w:hAnsi="Arial Narrow" w:cs="Times New Roman"/>
          <w:color w:val="000000"/>
          <w:sz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9"/>
        <w:gridCol w:w="1126"/>
        <w:gridCol w:w="1126"/>
        <w:gridCol w:w="1126"/>
        <w:gridCol w:w="1124"/>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4983" w:type="pct"/>
          <w:tblInd w:w="70" w:type="dxa"/>
          <w:tblCellMar>
            <w:left w:w="70" w:type="dxa"/>
            <w:right w:w="70" w:type="dxa"/>
          </w:tblCellMar>
        </w:tblPrEx>
        <w:trPr>
          <w:trHeight w:val="22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Zahraničná politika</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105 084</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114 827</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102 359</w:t>
            </w:r>
          </w:p>
        </w:tc>
        <w:tc>
          <w:tcPr>
            <w:tcW w:w="612"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104 204</w:t>
            </w:r>
          </w:p>
        </w:tc>
      </w:tr>
      <w:tr>
        <w:tblPrEx>
          <w:tblW w:w="4983" w:type="pct"/>
          <w:tblInd w:w="70" w:type="dxa"/>
          <w:tblCellMar>
            <w:left w:w="70" w:type="dxa"/>
            <w:right w:w="70" w:type="dxa"/>
          </w:tblCellMar>
        </w:tblPrEx>
        <w:trPr>
          <w:trHeight w:val="22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Oficiálna rozvojová pomoc</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5 509</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7 562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6 210</w:t>
            </w:r>
          </w:p>
        </w:tc>
        <w:tc>
          <w:tcPr>
            <w:tcW w:w="612"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6 455</w:t>
            </w:r>
          </w:p>
        </w:tc>
      </w:tr>
      <w:tr>
        <w:tblPrEx>
          <w:tblW w:w="4983" w:type="pct"/>
          <w:tblInd w:w="70" w:type="dxa"/>
          <w:tblCellMar>
            <w:left w:w="70" w:type="dxa"/>
            <w:right w:w="70" w:type="dxa"/>
          </w:tblCellMar>
        </w:tblPrEx>
        <w:trPr>
          <w:trHeight w:val="225"/>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Príspevky medzinárodným organizáciám</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6 973</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9 366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6 973</w:t>
            </w:r>
          </w:p>
        </w:tc>
        <w:tc>
          <w:tcPr>
            <w:tcW w:w="612"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6 973</w:t>
            </w:r>
          </w:p>
        </w:tc>
      </w:tr>
      <w:tr>
        <w:tblPrEx>
          <w:tblW w:w="4983" w:type="pct"/>
          <w:tblInd w:w="70" w:type="dxa"/>
          <w:tblCellMar>
            <w:left w:w="70" w:type="dxa"/>
            <w:right w:w="70" w:type="dxa"/>
          </w:tblCellMar>
        </w:tblPrEx>
        <w:trPr>
          <w:trHeight w:val="225"/>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rPr>
                <w:rFonts w:ascii="Arial Narrow" w:hAnsi="Arial Narrow" w:cs="Arial"/>
                <w:b/>
                <w:sz w:val="20"/>
              </w:rPr>
            </w:pPr>
            <w:r w:rsidRPr="009B10B5">
              <w:rPr>
                <w:rFonts w:ascii="Arial Narrow" w:hAnsi="Arial Narrow" w:cs="Arial"/>
                <w:b/>
                <w:sz w:val="20"/>
              </w:rPr>
              <w:t>Spolu zdroje určené pre diplomaciu</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117 567</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131 754</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115 543</w:t>
            </w:r>
          </w:p>
        </w:tc>
        <w:tc>
          <w:tcPr>
            <w:tcW w:w="612"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118 957</w:t>
            </w:r>
          </w:p>
        </w:tc>
      </w:tr>
    </w:tbl>
    <w:p w:rsidR="00AE49BA" w:rsidRPr="003567B1" w:rsidP="00AE49BA">
      <w:pPr>
        <w:jc w:val="both"/>
        <w:rPr>
          <w:rFonts w:ascii="Arial Narrow" w:hAnsi="Arial Narrow" w:cs="Times New Roman"/>
          <w:color w:val="000000"/>
          <w:sz w:val="22"/>
        </w:rPr>
      </w:pPr>
    </w:p>
    <w:p w:rsidR="00AE49BA" w:rsidP="00AE49BA">
      <w:pPr>
        <w:ind w:firstLine="708"/>
        <w:jc w:val="both"/>
        <w:rPr>
          <w:rFonts w:ascii="Arial Narrow" w:hAnsi="Arial Narrow" w:cs="Times New Roman"/>
          <w:color w:val="000000"/>
          <w:sz w:val="22"/>
        </w:rPr>
      </w:pPr>
      <w:r>
        <w:rPr>
          <w:rFonts w:ascii="Arial Narrow" w:hAnsi="Arial Narrow" w:cs="Times New Roman"/>
          <w:color w:val="000000"/>
          <w:sz w:val="22"/>
        </w:rPr>
        <w:t xml:space="preserve">V rámci výdavkov na </w:t>
      </w:r>
      <w:r w:rsidRPr="009B763B">
        <w:rPr>
          <w:rFonts w:ascii="Arial Narrow" w:hAnsi="Arial Narrow" w:cs="Times New Roman"/>
          <w:b/>
          <w:color w:val="000000"/>
          <w:sz w:val="22"/>
        </w:rPr>
        <w:t>zahraničnú politiku</w:t>
      </w:r>
      <w:r>
        <w:rPr>
          <w:rFonts w:ascii="Arial Narrow" w:hAnsi="Arial Narrow" w:cs="Times New Roman"/>
          <w:color w:val="000000"/>
          <w:sz w:val="22"/>
        </w:rPr>
        <w:t xml:space="preserve"> sa rozpočtujú prostriedky predovšetkým </w:t>
      </w:r>
      <w:r w:rsidRPr="003567B1">
        <w:rPr>
          <w:rFonts w:ascii="Arial Narrow" w:hAnsi="Arial Narrow" w:cs="Times New Roman"/>
          <w:color w:val="000000"/>
          <w:sz w:val="22"/>
        </w:rPr>
        <w:t>na zastupiteľské úrady SR v</w:t>
      </w:r>
      <w:r>
        <w:rPr>
          <w:rFonts w:ascii="Arial Narrow" w:hAnsi="Arial Narrow" w:cs="Times New Roman"/>
          <w:color w:val="000000"/>
          <w:sz w:val="22"/>
        </w:rPr>
        <w:t> </w:t>
      </w:r>
      <w:r w:rsidRPr="003567B1">
        <w:rPr>
          <w:rFonts w:ascii="Arial Narrow" w:hAnsi="Arial Narrow" w:cs="Times New Roman"/>
          <w:color w:val="000000"/>
          <w:sz w:val="22"/>
        </w:rPr>
        <w:t>zahraničí</w:t>
      </w:r>
      <w:r>
        <w:rPr>
          <w:rFonts w:ascii="Arial Narrow" w:hAnsi="Arial Narrow" w:cs="Times New Roman"/>
          <w:color w:val="000000"/>
          <w:sz w:val="22"/>
        </w:rPr>
        <w:t>, v rámci ktorých</w:t>
      </w:r>
      <w:r w:rsidRPr="003567B1">
        <w:rPr>
          <w:rFonts w:ascii="Arial Narrow" w:hAnsi="Arial Narrow" w:cs="Times New Roman"/>
          <w:color w:val="000000"/>
          <w:sz w:val="22"/>
        </w:rPr>
        <w:t xml:space="preserve"> sa </w:t>
      </w:r>
      <w:r>
        <w:rPr>
          <w:rFonts w:ascii="Arial Narrow" w:hAnsi="Arial Narrow" w:cs="Times New Roman"/>
          <w:color w:val="000000"/>
          <w:sz w:val="22"/>
        </w:rPr>
        <w:t xml:space="preserve">okrem osobných výdavkov zahraničnej služby </w:t>
      </w:r>
      <w:r w:rsidRPr="003567B1">
        <w:rPr>
          <w:rFonts w:ascii="Arial Narrow" w:hAnsi="Arial Narrow" w:cs="Times New Roman"/>
          <w:color w:val="000000"/>
          <w:sz w:val="22"/>
        </w:rPr>
        <w:t xml:space="preserve">zabezpečuje prenájom bytov, administratívnych budov, rezidencií, lekárske prehliadky počas výkonu zahraničnej služby, školné a zápisné pre deti zamestnancov zahraničnej služby. </w:t>
      </w:r>
      <w:r>
        <w:rPr>
          <w:rFonts w:ascii="Arial Narrow" w:hAnsi="Arial Narrow" w:cs="Times New Roman"/>
          <w:color w:val="000000"/>
          <w:sz w:val="22"/>
        </w:rPr>
        <w:t xml:space="preserve">Pre </w:t>
      </w:r>
      <w:r w:rsidRPr="003567B1">
        <w:rPr>
          <w:rFonts w:ascii="Arial Narrow" w:hAnsi="Arial Narrow" w:cs="Times New Roman"/>
          <w:color w:val="000000"/>
          <w:sz w:val="22"/>
        </w:rPr>
        <w:t xml:space="preserve">slovenské inštitúty v zahraničí sa zabezpečujú najmä výdavky súvisiace s propagáciou SR v zahraničí pri usporiadaní výstav, kultúrnych podujatí a programov. </w:t>
      </w:r>
    </w:p>
    <w:p w:rsidR="00AE49BA" w:rsidP="00AE49BA">
      <w:pPr>
        <w:jc w:val="both"/>
        <w:rPr>
          <w:rFonts w:ascii="Arial Narrow" w:hAnsi="Arial Narrow" w:cs="Times New Roman"/>
          <w:color w:val="000000"/>
          <w:sz w:val="22"/>
        </w:rPr>
      </w:pPr>
    </w:p>
    <w:p w:rsidR="00AE49BA" w:rsidP="00AE49BA">
      <w:pPr>
        <w:ind w:firstLine="708"/>
        <w:jc w:val="both"/>
        <w:rPr>
          <w:rFonts w:ascii="Arial Narrow" w:hAnsi="Arial Narrow" w:cs="Times New Roman"/>
          <w:color w:val="000000"/>
          <w:sz w:val="22"/>
        </w:rPr>
      </w:pPr>
      <w:r w:rsidRPr="003567B1">
        <w:rPr>
          <w:rFonts w:ascii="Arial Narrow" w:hAnsi="Arial Narrow" w:cs="Times New Roman"/>
          <w:color w:val="000000"/>
          <w:sz w:val="22"/>
        </w:rPr>
        <w:t>Na zabezpečenie plnenia záväzkov SR v oblasti vízovej politiky sa rozpočtujú výdavky na on-line elektronické prepojenie všetkých zložiek Schengenského informačného systému, t.j. prepojenie konzulárnych úradov v zahraničí s MZV SR a MV SR, Úradom hraničnej a cudzineckej polície a tiež následné prepojenie na Schengenský informačný systém EÚ. Kapitálovými výdavkami sa zabezpečujú predovšetkým rekonštrukčné práce na objektoch zastupiteľských úradov SR v zahraničí a výstavba nových objektov ZÚ SR</w:t>
      </w:r>
      <w:r>
        <w:rPr>
          <w:rFonts w:ascii="Arial Narrow" w:hAnsi="Arial Narrow" w:cs="Times New Roman"/>
          <w:color w:val="000000"/>
          <w:sz w:val="22"/>
        </w:rPr>
        <w:t>.</w:t>
      </w:r>
    </w:p>
    <w:p w:rsidR="00AE49BA" w:rsidRPr="003567B1" w:rsidP="00AE49BA">
      <w:pPr>
        <w:jc w:val="both"/>
        <w:rPr>
          <w:rFonts w:ascii="Arial Narrow" w:hAnsi="Arial Narrow" w:cs="Times New Roman"/>
          <w:color w:val="000000"/>
          <w:sz w:val="22"/>
        </w:rPr>
      </w:pPr>
    </w:p>
    <w:p w:rsidR="00AE49BA" w:rsidRPr="003567B1" w:rsidP="00AE49BA">
      <w:pPr>
        <w:ind w:firstLine="708"/>
        <w:jc w:val="both"/>
        <w:rPr>
          <w:rFonts w:ascii="Arial Narrow" w:hAnsi="Arial Narrow" w:cs="Times New Roman"/>
          <w:color w:val="000000"/>
          <w:sz w:val="22"/>
        </w:rPr>
      </w:pPr>
      <w:r w:rsidRPr="00D822E6">
        <w:rPr>
          <w:rFonts w:ascii="Arial Narrow" w:hAnsi="Arial Narrow" w:cs="Times New Roman"/>
          <w:color w:val="000000"/>
          <w:sz w:val="22"/>
        </w:rPr>
        <w:t xml:space="preserve">Z prostriedkov rozpočtovaných v rámci oblasti na </w:t>
      </w:r>
      <w:r w:rsidRPr="00D822E6">
        <w:rPr>
          <w:rFonts w:ascii="Arial Narrow" w:hAnsi="Arial Narrow" w:cs="Times New Roman"/>
          <w:b/>
          <w:color w:val="000000"/>
          <w:sz w:val="22"/>
        </w:rPr>
        <w:t>oficiálnu rozvojovú pomoc</w:t>
      </w:r>
      <w:r w:rsidRPr="00D822E6">
        <w:rPr>
          <w:rFonts w:ascii="Arial Narrow" w:hAnsi="Arial Narrow" w:cs="Times New Roman"/>
          <w:color w:val="000000"/>
          <w:sz w:val="22"/>
        </w:rPr>
        <w:t xml:space="preserve"> (ODA) sa zabezpečuje pomoc rozvojovým krajinám a krajinám v procese transformácie s tým, že prostriedky sú určené na projekty v prioritných krajinách a na projekty pre programovú krajinu Srbsko-Čierna Hora. V porovnaní s rokom 2006 sú výdavky na ODA v rámci oblasti diplomacia v roku 2009 vyššie o 41,7 % a v porovnaní s rokom 2008 sú vyššie o 37,3 %.</w:t>
      </w:r>
      <w:r w:rsidRPr="003567B1">
        <w:rPr>
          <w:rFonts w:ascii="Arial Narrow" w:hAnsi="Arial Narrow" w:cs="Times New Roman"/>
          <w:color w:val="000000"/>
          <w:sz w:val="22"/>
        </w:rPr>
        <w:t xml:space="preserve">   </w:t>
      </w:r>
    </w:p>
    <w:p w:rsidR="00AE49BA" w:rsidP="00AE49BA">
      <w:pPr>
        <w:jc w:val="both"/>
        <w:rPr>
          <w:rFonts w:ascii="Arial Narrow" w:hAnsi="Arial Narrow" w:cs="Times New Roman"/>
          <w:color w:val="000000"/>
          <w:sz w:val="22"/>
        </w:rPr>
      </w:pPr>
    </w:p>
    <w:p w:rsidR="00AE49BA" w:rsidRPr="009B763B" w:rsidP="00AE49BA">
      <w:pPr>
        <w:ind w:firstLine="708"/>
        <w:jc w:val="both"/>
        <w:rPr>
          <w:rFonts w:ascii="Arial Narrow" w:hAnsi="Arial Narrow" w:cs="Times New Roman"/>
          <w:color w:val="000000"/>
          <w:sz w:val="22"/>
        </w:rPr>
      </w:pPr>
      <w:r w:rsidRPr="009B763B">
        <w:rPr>
          <w:rFonts w:ascii="Arial Narrow" w:hAnsi="Arial Narrow" w:cs="Times New Roman"/>
          <w:color w:val="000000"/>
          <w:sz w:val="22"/>
        </w:rPr>
        <w:t xml:space="preserve">Okrem prostriedkov rozpočtovaných v rámci oblasti diplomacia sa do oficiálnej rozvojovej pomoci započítava 5,4 % z odvodu SR do všeobecného rozpočtu EÚ, odpustenie dlhov, príspevok SR do Fondu pre krajiny západného Balkánu (EBOR), do medzinárodného združenia pre rozvoj (IDA), do medzinárodnej banky pre obnovu a rozvoj (IBRD) a do Mnohostrannej agentúry pre investičné záruky (MIGA), časť príspevkov do medzinárodných organizácií a medzirezortný program ODA, na ktorom okrem MZV SR participujú Ministerstvo životného prostredia SR, Ministerstvo vnútra SR a Ministerstvo pôdohospodárstva SR. V porovnaní s rokom 2008 výdavky na ODA </w:t>
      </w:r>
      <w:r>
        <w:rPr>
          <w:rFonts w:ascii="Arial Narrow" w:hAnsi="Arial Narrow" w:cs="Times New Roman"/>
          <w:color w:val="000000"/>
          <w:sz w:val="22"/>
        </w:rPr>
        <w:t>vzrástli o</w:t>
      </w:r>
      <w:r w:rsidRPr="009B763B">
        <w:rPr>
          <w:rFonts w:ascii="Arial Narrow" w:hAnsi="Arial Narrow" w:cs="Times New Roman"/>
          <w:color w:val="000000"/>
          <w:sz w:val="22"/>
        </w:rPr>
        <w:t> </w:t>
      </w:r>
      <w:r>
        <w:rPr>
          <w:rFonts w:ascii="Arial Narrow" w:hAnsi="Arial Narrow" w:cs="Times New Roman"/>
          <w:color w:val="000000"/>
          <w:sz w:val="22"/>
        </w:rPr>
        <w:t>6</w:t>
      </w:r>
      <w:r w:rsidRPr="009B763B">
        <w:rPr>
          <w:rFonts w:ascii="Arial Narrow" w:hAnsi="Arial Narrow" w:cs="Times New Roman"/>
          <w:color w:val="000000"/>
          <w:sz w:val="22"/>
        </w:rPr>
        <w:t>,</w:t>
      </w:r>
      <w:r>
        <w:rPr>
          <w:rFonts w:ascii="Arial Narrow" w:hAnsi="Arial Narrow" w:cs="Times New Roman"/>
          <w:color w:val="000000"/>
          <w:sz w:val="22"/>
        </w:rPr>
        <w:t>0</w:t>
      </w:r>
      <w:r w:rsidRPr="009B763B">
        <w:rPr>
          <w:rFonts w:ascii="Arial Narrow" w:hAnsi="Arial Narrow" w:cs="Times New Roman"/>
          <w:color w:val="000000"/>
          <w:sz w:val="22"/>
        </w:rPr>
        <w:t xml:space="preserve"> %</w:t>
      </w:r>
      <w:r>
        <w:rPr>
          <w:rFonts w:ascii="Arial Narrow" w:hAnsi="Arial Narrow" w:cs="Times New Roman"/>
          <w:color w:val="000000"/>
          <w:sz w:val="22"/>
        </w:rPr>
        <w:t>.</w:t>
      </w:r>
      <w:r w:rsidRPr="009B763B">
        <w:rPr>
          <w:rFonts w:ascii="Arial Narrow" w:hAnsi="Arial Narrow" w:cs="Times New Roman"/>
          <w:color w:val="000000"/>
          <w:sz w:val="22"/>
        </w:rPr>
        <w:t xml:space="preserve"> </w:t>
      </w:r>
    </w:p>
    <w:p w:rsidR="00AE49BA" w:rsidRPr="003567B1" w:rsidP="00AE49BA">
      <w:pPr>
        <w:jc w:val="both"/>
        <w:rPr>
          <w:rFonts w:ascii="Arial Narrow" w:hAnsi="Arial Narrow" w:cs="Times New Roman"/>
          <w:color w:val="000000"/>
          <w:sz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8"/>
        <w:gridCol w:w="1125"/>
        <w:gridCol w:w="1126"/>
        <w:gridCol w:w="1126"/>
        <w:gridCol w:w="1126"/>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rPr>
                <w:rFonts w:ascii="Arial Narrow" w:hAnsi="Arial Narrow" w:cs="Arial"/>
                <w:b/>
                <w:bCs/>
                <w:color w:val="FFFFFF"/>
                <w:sz w:val="20"/>
              </w:rPr>
            </w:pPr>
            <w:r w:rsidRPr="0012379F">
              <w:rPr>
                <w:rFonts w:ascii="Arial Narrow" w:hAnsi="Arial Narrow" w:cs="Arial"/>
                <w:b/>
                <w:bCs/>
                <w:color w:val="FFFFFF"/>
                <w:sz w:val="20"/>
              </w:rPr>
              <w:t> (v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2009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2010</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12379F" w:rsidP="00AE49BA">
            <w:pPr>
              <w:jc w:val="center"/>
              <w:rPr>
                <w:rFonts w:ascii="Arial Narrow" w:hAnsi="Arial Narrow" w:cs="Arial"/>
                <w:b/>
                <w:bCs/>
                <w:color w:val="FFFFFF"/>
                <w:sz w:val="20"/>
              </w:rPr>
            </w:pPr>
            <w:r>
              <w:rPr>
                <w:rFonts w:ascii="Arial Narrow" w:hAnsi="Arial Narrow" w:cs="Arial"/>
                <w:b/>
                <w:bCs/>
                <w:color w:val="FFFFFF"/>
                <w:sz w:val="20"/>
              </w:rPr>
              <w:t>2011</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z odvodu SR do EÚ</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34 688</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36 540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41 100</w:t>
            </w:r>
          </w:p>
        </w:tc>
        <w:tc>
          <w:tcPr>
            <w:tcW w:w="61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33 459</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odpustenie dlhov</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1 810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EBOR</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299</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501</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750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1 002</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IDA</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1 162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Pr>
                <w:rFonts w:ascii="Arial Narrow" w:hAnsi="Arial Narrow" w:cs="Arial"/>
                <w:sz w:val="20"/>
              </w:rPr>
              <w:t>996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Pr>
                <w:rFonts w:ascii="Arial Narrow" w:hAnsi="Arial Narrow" w:cs="Arial"/>
                <w:sz w:val="20"/>
              </w:rPr>
              <w:t>996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Pr>
                <w:rFonts w:ascii="Arial Narrow" w:hAnsi="Arial Narrow" w:cs="Arial"/>
                <w:sz w:val="20"/>
              </w:rPr>
              <w:t>996</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IBRD+MIGA</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166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166</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Pr>
                <w:rFonts w:ascii="Arial Narrow" w:hAnsi="Arial Narrow" w:cs="Arial"/>
                <w:sz w:val="20"/>
              </w:rPr>
              <w:t>332</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Pr>
                <w:rFonts w:ascii="Arial Narrow" w:hAnsi="Arial Narrow" w:cs="Arial"/>
                <w:sz w:val="20"/>
              </w:rPr>
              <w:t>332</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Európsky rozvojový fond (odhad EK)</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0</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5 313</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Príspevky do medzinárodných organizácií</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1 328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1 328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1 328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1 328</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Medzirezortný program Oficiálna rozvojová pomoc</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7 504</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9 895</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8 553</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8 798</w:t>
            </w:r>
          </w:p>
        </w:tc>
      </w:tr>
      <w:tr>
        <w:tblPrEx>
          <w:tblW w:w="4983" w:type="pct"/>
          <w:tblInd w:w="70" w:type="dxa"/>
          <w:tblCellMar>
            <w:left w:w="70" w:type="dxa"/>
            <w:right w:w="70" w:type="dxa"/>
          </w:tblCellMar>
        </w:tblPrEx>
        <w:trPr>
          <w:trHeight w:val="210"/>
        </w:trPr>
        <w:tc>
          <w:tcPr>
            <w:tcW w:w="2548"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rPr>
                <w:rFonts w:ascii="Arial Narrow" w:hAnsi="Arial Narrow" w:cs="Arial"/>
                <w:b/>
                <w:sz w:val="20"/>
              </w:rPr>
            </w:pPr>
            <w:r w:rsidRPr="009B10B5">
              <w:rPr>
                <w:rFonts w:ascii="Arial Narrow" w:hAnsi="Arial Narrow" w:cs="Arial"/>
                <w:b/>
                <w:sz w:val="20"/>
              </w:rPr>
              <w:t>Celkové disponibilné zdroje ODA spolu</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46 957</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 xml:space="preserve">49 </w:t>
            </w:r>
            <w:r>
              <w:rPr>
                <w:rFonts w:ascii="Arial Narrow" w:hAnsi="Arial Narrow" w:cs="Arial"/>
                <w:b/>
                <w:sz w:val="20"/>
              </w:rPr>
              <w:t>426</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 xml:space="preserve">53 </w:t>
            </w:r>
            <w:r>
              <w:rPr>
                <w:rFonts w:ascii="Arial Narrow" w:hAnsi="Arial Narrow" w:cs="Arial"/>
                <w:b/>
                <w:sz w:val="20"/>
              </w:rPr>
              <w:t>059</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AE49BA" w:rsidRPr="009B10B5" w:rsidP="00AE49BA">
            <w:pPr>
              <w:jc w:val="right"/>
              <w:rPr>
                <w:rFonts w:ascii="Arial Narrow" w:hAnsi="Arial Narrow" w:cs="Arial"/>
                <w:b/>
                <w:sz w:val="20"/>
              </w:rPr>
            </w:pPr>
            <w:r w:rsidRPr="009B10B5">
              <w:rPr>
                <w:rFonts w:ascii="Arial Narrow" w:hAnsi="Arial Narrow" w:cs="Arial"/>
                <w:b/>
                <w:sz w:val="20"/>
              </w:rPr>
              <w:t xml:space="preserve">51 </w:t>
            </w:r>
            <w:r>
              <w:rPr>
                <w:rFonts w:ascii="Arial Narrow" w:hAnsi="Arial Narrow" w:cs="Arial"/>
                <w:b/>
                <w:sz w:val="20"/>
              </w:rPr>
              <w:t>228</w:t>
            </w:r>
          </w:p>
        </w:tc>
      </w:tr>
    </w:tbl>
    <w:p w:rsidR="00AE49BA" w:rsidRPr="009B763B" w:rsidP="00AE49BA">
      <w:pPr>
        <w:jc w:val="both"/>
        <w:rPr>
          <w:rFonts w:ascii="Arial Narrow" w:hAnsi="Arial Narrow" w:cs="Times New Roman"/>
          <w:color w:val="000000"/>
          <w:sz w:val="22"/>
        </w:rPr>
      </w:pPr>
    </w:p>
    <w:p w:rsidR="00AE49BA" w:rsidRPr="009B763B" w:rsidP="00AE49BA">
      <w:pPr>
        <w:ind w:firstLine="708"/>
        <w:jc w:val="both"/>
        <w:rPr>
          <w:rFonts w:ascii="Arial Narrow" w:hAnsi="Arial Narrow" w:cs="Times New Roman"/>
          <w:color w:val="000000"/>
          <w:sz w:val="22"/>
        </w:rPr>
      </w:pPr>
      <w:r w:rsidRPr="009B763B">
        <w:rPr>
          <w:rFonts w:ascii="Arial Narrow" w:hAnsi="Arial Narrow" w:cs="Times New Roman"/>
          <w:color w:val="000000"/>
          <w:sz w:val="22"/>
        </w:rPr>
        <w:t>V rámci oblasti diplomacia sa zohľadnili v kategórii bežných transferov aj výdavky na poplatky a príspevky za členstvo SR v medzinárodných organizáciách.  V porovnaní s rokom 2006 sú výdavky v tejto oblasti v roku 2009 nižšie o </w:t>
      </w:r>
      <w:r>
        <w:rPr>
          <w:rFonts w:ascii="Arial Narrow" w:hAnsi="Arial Narrow" w:cs="Times New Roman"/>
          <w:color w:val="000000"/>
          <w:sz w:val="22"/>
        </w:rPr>
        <w:t>27</w:t>
      </w:r>
      <w:r w:rsidRPr="009B763B">
        <w:rPr>
          <w:rFonts w:ascii="Arial Narrow" w:hAnsi="Arial Narrow" w:cs="Times New Roman"/>
          <w:color w:val="000000"/>
          <w:sz w:val="22"/>
        </w:rPr>
        <w:t>,</w:t>
      </w:r>
      <w:r>
        <w:rPr>
          <w:rFonts w:ascii="Arial Narrow" w:hAnsi="Arial Narrow" w:cs="Times New Roman"/>
          <w:color w:val="000000"/>
          <w:sz w:val="22"/>
        </w:rPr>
        <w:t>7</w:t>
      </w:r>
      <w:r w:rsidRPr="009B763B">
        <w:rPr>
          <w:rFonts w:ascii="Arial Narrow" w:hAnsi="Arial Narrow" w:cs="Times New Roman"/>
          <w:color w:val="000000"/>
          <w:sz w:val="22"/>
        </w:rPr>
        <w:t xml:space="preserve"> %, v porovnaní s rokom 2008 sú </w:t>
      </w:r>
      <w:r>
        <w:rPr>
          <w:rFonts w:ascii="Arial Narrow" w:hAnsi="Arial Narrow" w:cs="Times New Roman"/>
          <w:color w:val="000000"/>
          <w:sz w:val="22"/>
        </w:rPr>
        <w:t>vyššie o 34,3 %</w:t>
      </w:r>
      <w:r w:rsidRPr="009B763B">
        <w:rPr>
          <w:rFonts w:ascii="Arial Narrow" w:hAnsi="Arial Narrow" w:cs="Times New Roman"/>
          <w:color w:val="000000"/>
          <w:sz w:val="22"/>
        </w:rPr>
        <w:t xml:space="preserve">. K zníženiu výdavkov na príspevky medzinárodným organizáciám oproti roku 2006 došlo v súvislosti s ich decentralizáciou na zainteresované rozpočtové kapitoly podľa vecnej príslušnosti. </w:t>
      </w:r>
    </w:p>
    <w:p w:rsidR="00AE49BA" w:rsidRPr="009B763B" w:rsidP="00AE49BA">
      <w:pPr>
        <w:jc w:val="both"/>
        <w:rPr>
          <w:rFonts w:ascii="Arial Narrow" w:hAnsi="Arial Narrow" w:cs="Times New Roman"/>
          <w:color w:val="000000"/>
          <w:sz w:val="22"/>
        </w:rPr>
      </w:pPr>
    </w:p>
    <w:p w:rsidR="00AE49BA" w:rsidRPr="009B763B" w:rsidP="00AE49BA">
      <w:pPr>
        <w:ind w:firstLine="708"/>
        <w:jc w:val="both"/>
        <w:rPr>
          <w:rFonts w:ascii="Arial Narrow" w:hAnsi="Arial Narrow" w:cs="Times New Roman"/>
          <w:color w:val="000000"/>
          <w:sz w:val="22"/>
        </w:rPr>
      </w:pPr>
      <w:r w:rsidRPr="009B763B">
        <w:rPr>
          <w:rFonts w:ascii="Arial Narrow" w:hAnsi="Arial Narrow" w:cs="Times New Roman"/>
          <w:color w:val="000000"/>
          <w:sz w:val="22"/>
        </w:rPr>
        <w:t xml:space="preserve">Okrem poplatkov a príspevkov za členstvo SR v medzinárodných organizáciách sa uhrádzajú poplatky a príspevky aj za členstvo </w:t>
      </w:r>
      <w:r>
        <w:rPr>
          <w:rFonts w:ascii="Arial Narrow" w:hAnsi="Arial Narrow" w:cs="Times New Roman"/>
          <w:color w:val="000000"/>
          <w:sz w:val="22"/>
        </w:rPr>
        <w:t>jednotlivých</w:t>
      </w:r>
      <w:r w:rsidRPr="009B763B">
        <w:rPr>
          <w:rFonts w:ascii="Arial Narrow" w:hAnsi="Arial Narrow" w:cs="Times New Roman"/>
          <w:color w:val="000000"/>
          <w:sz w:val="22"/>
        </w:rPr>
        <w:t xml:space="preserve"> kapitol </w:t>
      </w:r>
      <w:r>
        <w:rPr>
          <w:rFonts w:ascii="Arial Narrow" w:hAnsi="Arial Narrow" w:cs="Times New Roman"/>
          <w:color w:val="000000"/>
          <w:sz w:val="22"/>
        </w:rPr>
        <w:t xml:space="preserve">štátneho rozpočtu </w:t>
      </w:r>
      <w:r w:rsidRPr="009B763B">
        <w:rPr>
          <w:rFonts w:ascii="Arial Narrow" w:hAnsi="Arial Narrow" w:cs="Times New Roman"/>
          <w:color w:val="000000"/>
          <w:sz w:val="22"/>
        </w:rPr>
        <w:t>v medzinárodných organizáciách. V porovnaní s rokom 2006 sú výdavky štátneho rozpočtu celkom za členstvo v medzinárodných organizáciách v roku 2009 vyššie o 1</w:t>
      </w:r>
      <w:r>
        <w:rPr>
          <w:rFonts w:ascii="Arial Narrow" w:hAnsi="Arial Narrow" w:cs="Times New Roman"/>
          <w:color w:val="000000"/>
          <w:sz w:val="22"/>
        </w:rPr>
        <w:t>3</w:t>
      </w:r>
      <w:r w:rsidRPr="009B763B">
        <w:rPr>
          <w:rFonts w:ascii="Arial Narrow" w:hAnsi="Arial Narrow" w:cs="Times New Roman"/>
          <w:color w:val="000000"/>
          <w:sz w:val="22"/>
        </w:rPr>
        <w:t>,</w:t>
      </w:r>
      <w:r>
        <w:rPr>
          <w:rFonts w:ascii="Arial Narrow" w:hAnsi="Arial Narrow" w:cs="Times New Roman"/>
          <w:color w:val="000000"/>
          <w:sz w:val="22"/>
        </w:rPr>
        <w:t>9</w:t>
      </w:r>
      <w:r w:rsidRPr="009B763B">
        <w:rPr>
          <w:rFonts w:ascii="Arial Narrow" w:hAnsi="Arial Narrow" w:cs="Times New Roman"/>
          <w:color w:val="000000"/>
          <w:sz w:val="22"/>
        </w:rPr>
        <w:t xml:space="preserve"> % a v porovnaní s rokom 2008 sú </w:t>
      </w:r>
      <w:r>
        <w:rPr>
          <w:rFonts w:ascii="Arial Narrow" w:hAnsi="Arial Narrow" w:cs="Times New Roman"/>
          <w:color w:val="000000"/>
          <w:sz w:val="22"/>
        </w:rPr>
        <w:t>nižšie</w:t>
      </w:r>
      <w:r w:rsidRPr="009B763B">
        <w:rPr>
          <w:rFonts w:ascii="Arial Narrow" w:hAnsi="Arial Narrow" w:cs="Times New Roman"/>
          <w:color w:val="000000"/>
          <w:sz w:val="22"/>
        </w:rPr>
        <w:t xml:space="preserve"> o</w:t>
      </w:r>
      <w:r>
        <w:rPr>
          <w:rFonts w:ascii="Arial Narrow" w:hAnsi="Arial Narrow" w:cs="Times New Roman"/>
          <w:color w:val="000000"/>
          <w:sz w:val="22"/>
        </w:rPr>
        <w:t> 7,5</w:t>
      </w:r>
      <w:r w:rsidRPr="009B763B">
        <w:rPr>
          <w:rFonts w:ascii="Arial Narrow" w:hAnsi="Arial Narrow" w:cs="Times New Roman"/>
          <w:color w:val="000000"/>
          <w:sz w:val="22"/>
        </w:rPr>
        <w:t xml:space="preserve"> %. </w:t>
      </w:r>
    </w:p>
    <w:p w:rsidR="00AE49BA" w:rsidRPr="009B763B" w:rsidP="00AE49BA">
      <w:pPr>
        <w:jc w:val="both"/>
        <w:rPr>
          <w:rFonts w:ascii="Arial Narrow" w:hAnsi="Arial Narrow" w:cs="Times New Roman"/>
          <w:color w:val="000000"/>
          <w:sz w:val="22"/>
        </w:rPr>
      </w:pPr>
    </w:p>
    <w:tbl>
      <w:tblPr>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79"/>
        <w:gridCol w:w="1126"/>
        <w:gridCol w:w="1126"/>
        <w:gridCol w:w="1126"/>
        <w:gridCol w:w="1124"/>
      </w:tblGrid>
      <w:tr>
        <w:tblPrEx>
          <w:tblW w:w="49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5"/>
        </w:trPr>
        <w:tc>
          <w:tcPr>
            <w:tcW w:w="2549"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9B10B5" w:rsidP="00AE49BA">
            <w:pPr>
              <w:rPr>
                <w:rFonts w:ascii="Arial Narrow" w:hAnsi="Arial Narrow" w:cs="Arial"/>
                <w:color w:val="FFFFFF"/>
                <w:sz w:val="20"/>
              </w:rPr>
            </w:pPr>
            <w:r w:rsidRPr="009B10B5">
              <w:rPr>
                <w:rFonts w:ascii="Arial Narrow" w:hAnsi="Arial Narrow" w:cs="Arial"/>
                <w:color w:val="FFFFFF"/>
                <w:sz w:val="20"/>
              </w:rPr>
              <w:t> </w:t>
            </w:r>
            <w:r w:rsidRPr="009B10B5">
              <w:rPr>
                <w:rFonts w:ascii="Arial Narrow" w:hAnsi="Arial Narrow" w:cs="Arial"/>
                <w:b/>
                <w:color w:val="FFFFFF"/>
                <w:sz w:val="20"/>
              </w:rPr>
              <w:t>(v tis. eur)</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9B10B5" w:rsidP="00AE49BA">
            <w:pPr>
              <w:jc w:val="center"/>
              <w:rPr>
                <w:rFonts w:ascii="Arial Narrow" w:hAnsi="Arial Narrow" w:cs="Arial"/>
                <w:b/>
                <w:bCs/>
                <w:color w:val="FFFFFF"/>
                <w:sz w:val="20"/>
              </w:rPr>
            </w:pPr>
            <w:r>
              <w:rPr>
                <w:rFonts w:ascii="Arial Narrow" w:hAnsi="Arial Narrow" w:cs="Arial"/>
                <w:b/>
                <w:bCs/>
                <w:color w:val="FFFFFF"/>
                <w:sz w:val="20"/>
              </w:rPr>
              <w:t>2006</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9B10B5" w:rsidP="00AE49BA">
            <w:pPr>
              <w:jc w:val="center"/>
              <w:rPr>
                <w:rFonts w:ascii="Arial Narrow" w:hAnsi="Arial Narrow" w:cs="Arial"/>
                <w:b/>
                <w:bCs/>
                <w:color w:val="FFFFFF"/>
                <w:sz w:val="20"/>
              </w:rPr>
            </w:pPr>
            <w:r>
              <w:rPr>
                <w:rFonts w:ascii="Arial Narrow" w:hAnsi="Arial Narrow" w:cs="Arial"/>
                <w:b/>
                <w:bCs/>
                <w:color w:val="FFFFFF"/>
                <w:sz w:val="20"/>
              </w:rPr>
              <w:t>2007</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9B10B5" w:rsidP="00AE49BA">
            <w:pPr>
              <w:jc w:val="center"/>
              <w:rPr>
                <w:rFonts w:ascii="Arial Narrow" w:hAnsi="Arial Narrow" w:cs="Arial"/>
                <w:b/>
                <w:bCs/>
                <w:color w:val="FFFFFF"/>
                <w:sz w:val="20"/>
              </w:rPr>
            </w:pPr>
            <w:r>
              <w:rPr>
                <w:rFonts w:ascii="Arial Narrow" w:hAnsi="Arial Narrow" w:cs="Arial"/>
                <w:b/>
                <w:bCs/>
                <w:color w:val="FFFFFF"/>
                <w:sz w:val="20"/>
              </w:rPr>
              <w:t>2008</w:t>
            </w:r>
          </w:p>
        </w:tc>
        <w:tc>
          <w:tcPr>
            <w:tcW w:w="613" w:type="pct"/>
            <w:tcBorders>
              <w:top w:val="single" w:sz="4" w:space="0" w:color="auto"/>
              <w:left w:val="single" w:sz="4" w:space="0" w:color="auto"/>
              <w:bottom w:val="single" w:sz="4" w:space="0" w:color="auto"/>
              <w:right w:val="single" w:sz="4" w:space="0" w:color="auto"/>
              <w:tl2br w:val="nil"/>
              <w:tr2bl w:val="nil"/>
            </w:tcBorders>
            <w:shd w:val="clear" w:color="auto" w:fill="000000"/>
            <w:noWrap/>
            <w:textDirection w:val="lrTb"/>
            <w:vAlign w:val="bottom"/>
          </w:tcPr>
          <w:p w:rsidR="00AE49BA" w:rsidRPr="009B10B5" w:rsidP="00AE49BA">
            <w:pPr>
              <w:jc w:val="center"/>
              <w:rPr>
                <w:rFonts w:ascii="Arial Narrow" w:hAnsi="Arial Narrow" w:cs="Arial"/>
                <w:b/>
                <w:bCs/>
                <w:color w:val="FFFFFF"/>
                <w:sz w:val="20"/>
              </w:rPr>
            </w:pPr>
            <w:r>
              <w:rPr>
                <w:rFonts w:ascii="Arial Narrow" w:hAnsi="Arial Narrow" w:cs="Arial"/>
                <w:b/>
                <w:bCs/>
                <w:color w:val="FFFFFF"/>
                <w:sz w:val="20"/>
              </w:rPr>
              <w:t>2009</w:t>
            </w:r>
          </w:p>
        </w:tc>
      </w:tr>
      <w:tr>
        <w:tblPrEx>
          <w:tblW w:w="4983" w:type="pct"/>
          <w:tblInd w:w="70" w:type="dxa"/>
          <w:tblCellMar>
            <w:left w:w="70" w:type="dxa"/>
            <w:right w:w="70" w:type="dxa"/>
          </w:tblCellMar>
        </w:tblPrEx>
        <w:trPr>
          <w:trHeight w:val="255"/>
        </w:trPr>
        <w:tc>
          <w:tcPr>
            <w:tcW w:w="2549"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rPr>
                <w:rFonts w:ascii="Arial Narrow" w:hAnsi="Arial Narrow" w:cs="Arial"/>
                <w:sz w:val="20"/>
              </w:rPr>
            </w:pPr>
            <w:r w:rsidRPr="009B10B5">
              <w:rPr>
                <w:rFonts w:ascii="Arial Narrow" w:hAnsi="Arial Narrow" w:cs="Arial"/>
                <w:sz w:val="20"/>
              </w:rPr>
              <w:t>Príspevky medzinárodným organizáciám zo ŠR</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32 933</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84 268</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40 524</w:t>
            </w:r>
          </w:p>
        </w:tc>
        <w:tc>
          <w:tcPr>
            <w:tcW w:w="613" w:type="pct"/>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E49BA" w:rsidRPr="009B10B5" w:rsidP="00AE49BA">
            <w:pPr>
              <w:jc w:val="right"/>
              <w:rPr>
                <w:rFonts w:ascii="Arial Narrow" w:hAnsi="Arial Narrow" w:cs="Arial"/>
                <w:sz w:val="20"/>
              </w:rPr>
            </w:pPr>
            <w:r w:rsidRPr="009B10B5">
              <w:rPr>
                <w:rFonts w:ascii="Arial Narrow" w:hAnsi="Arial Narrow" w:cs="Arial"/>
                <w:sz w:val="20"/>
              </w:rPr>
              <w:t>37 502</w:t>
            </w:r>
          </w:p>
        </w:tc>
      </w:tr>
    </w:tbl>
    <w:p w:rsidR="00AE49BA" w:rsidP="00AE49BA">
      <w:pPr>
        <w:jc w:val="both"/>
        <w:rPr>
          <w:rFonts w:ascii="Arial Narrow" w:hAnsi="Arial Narrow" w:cs="Times New Roman"/>
          <w:color w:val="000000"/>
          <w:sz w:val="22"/>
        </w:rPr>
      </w:pPr>
    </w:p>
    <w:p w:rsidR="00472216" w:rsidRPr="0087062F" w:rsidP="00472216">
      <w:pPr>
        <w:pStyle w:val="Heading1"/>
        <w:rPr>
          <w:rFonts w:ascii="Arial Narrow" w:hAnsi="Arial Narrow"/>
          <w:sz w:val="28"/>
        </w:rPr>
      </w:pPr>
      <w:bookmarkStart w:id="63" w:name="_Toc211592402"/>
      <w:r w:rsidRPr="0087062F">
        <w:rPr>
          <w:rFonts w:ascii="Arial Narrow" w:hAnsi="Arial Narrow"/>
          <w:sz w:val="28"/>
        </w:rPr>
        <w:t>5. Štátne finančné aktíva</w:t>
      </w:r>
      <w:bookmarkEnd w:id="52"/>
      <w:bookmarkEnd w:id="53"/>
      <w:bookmarkEnd w:id="54"/>
      <w:bookmarkEnd w:id="63"/>
    </w:p>
    <w:p w:rsidR="00472216" w:rsidRPr="00790C9C" w:rsidP="00472216">
      <w:pPr>
        <w:rPr>
          <w:rFonts w:ascii="Arial Narrow" w:hAnsi="Arial Narrow" w:cs="Times New Roman"/>
          <w:sz w:val="28"/>
        </w:rPr>
      </w:pPr>
    </w:p>
    <w:p w:rsidR="004938EB" w:rsidP="00472216">
      <w:pPr>
        <w:jc w:val="both"/>
        <w:rPr>
          <w:rFonts w:ascii="Arial Narrow" w:hAnsi="Arial Narrow" w:cs="Arial Narrow"/>
          <w:sz w:val="22"/>
          <w:szCs w:val="22"/>
        </w:rPr>
      </w:pPr>
      <w:bookmarkStart w:id="64" w:name="_Toc116476498"/>
      <w:bookmarkStart w:id="65" w:name="_Toc141529500"/>
      <w:r w:rsidR="00472216">
        <w:rPr>
          <w:rFonts w:ascii="Arial Narrow" w:hAnsi="Arial Narrow" w:cs="Arial Narrow"/>
          <w:sz w:val="22"/>
          <w:szCs w:val="22"/>
        </w:rPr>
        <w:t>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95.</w:t>
      </w:r>
    </w:p>
    <w:p w:rsidR="00472216" w:rsidP="00472216">
      <w:pPr>
        <w:jc w:val="both"/>
        <w:rPr>
          <w:rFonts w:ascii="Arial Narrow" w:hAnsi="Arial Narrow" w:cs="Arial Narrow"/>
          <w:sz w:val="22"/>
          <w:szCs w:val="22"/>
        </w:rPr>
      </w:pPr>
    </w:p>
    <w:tbl>
      <w:tblPr>
        <w:tblW w:w="9180" w:type="dxa"/>
        <w:jc w:val="center"/>
        <w:tblInd w:w="58" w:type="dxa"/>
        <w:tblCellMar>
          <w:left w:w="70" w:type="dxa"/>
          <w:right w:w="70" w:type="dxa"/>
        </w:tblCellMar>
      </w:tblPr>
      <w:tblGrid>
        <w:gridCol w:w="4700"/>
        <w:gridCol w:w="1120"/>
        <w:gridCol w:w="1120"/>
        <w:gridCol w:w="1120"/>
        <w:gridCol w:w="1120"/>
      </w:tblGrid>
      <w:tr>
        <w:tblPrEx>
          <w:tblW w:w="9180" w:type="dxa"/>
          <w:jc w:val="center"/>
          <w:tblInd w:w="58" w:type="dxa"/>
          <w:tblCellMar>
            <w:left w:w="70" w:type="dxa"/>
            <w:right w:w="70" w:type="dxa"/>
          </w:tblCellMar>
        </w:tblPrEx>
        <w:trPr>
          <w:trHeight w:val="645"/>
          <w:jc w:val="center"/>
        </w:trPr>
        <w:tc>
          <w:tcPr>
            <w:tcW w:w="4700" w:type="dxa"/>
            <w:tcBorders>
              <w:top w:val="single" w:sz="8" w:space="0" w:color="auto"/>
              <w:left w:val="single" w:sz="8" w:space="0" w:color="auto"/>
              <w:bottom w:val="single" w:sz="8" w:space="0" w:color="auto"/>
              <w:right w:val="single" w:sz="8" w:space="0" w:color="auto"/>
              <w:tl2br w:val="nil"/>
              <w:tr2bl w:val="nil"/>
            </w:tcBorders>
            <w:shd w:val="clear" w:color="auto" w:fill="000000"/>
            <w:textDirection w:val="lrTb"/>
            <w:vAlign w:val="center"/>
          </w:tcPr>
          <w:p w:rsidR="00472216" w:rsidRPr="006540EB" w:rsidP="00472216">
            <w:pPr>
              <w:rPr>
                <w:rFonts w:ascii="Arial Narrow" w:hAnsi="Arial Narrow" w:cs="Arial"/>
                <w:b/>
                <w:bCs/>
                <w:color w:val="FFFFFF"/>
                <w:sz w:val="20"/>
                <w:lang w:eastAsia="sk-SK"/>
              </w:rPr>
            </w:pPr>
            <w:r w:rsidRPr="006540EB">
              <w:rPr>
                <w:rFonts w:ascii="Arial Narrow" w:hAnsi="Arial Narrow" w:cs="Arial"/>
                <w:b/>
                <w:bCs/>
                <w:color w:val="FFFFFF"/>
                <w:sz w:val="20"/>
                <w:lang w:eastAsia="sk-SK"/>
              </w:rPr>
              <w:t>Akruál</w:t>
              <w:br/>
            </w:r>
            <w:r w:rsidRPr="006540EB">
              <w:rPr>
                <w:rFonts w:ascii="Arial Narrow" w:hAnsi="Arial Narrow" w:cs="Arial"/>
                <w:color w:val="FFFFFF"/>
                <w:sz w:val="16"/>
                <w:szCs w:val="16"/>
                <w:lang w:eastAsia="sk-SK"/>
              </w:rPr>
              <w:t>(v tis. eur)</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6540EB" w:rsidP="00472216">
            <w:pPr>
              <w:jc w:val="center"/>
              <w:rPr>
                <w:rFonts w:ascii="Arial Narrow" w:hAnsi="Arial Narrow" w:cs="Arial"/>
                <w:b/>
                <w:bCs/>
                <w:color w:val="FFFFFF"/>
                <w:sz w:val="20"/>
                <w:lang w:eastAsia="sk-SK"/>
              </w:rPr>
            </w:pPr>
            <w:r w:rsidRPr="006540EB">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6540EB" w:rsidP="00472216">
            <w:pPr>
              <w:jc w:val="center"/>
              <w:rPr>
                <w:rFonts w:ascii="Arial Narrow" w:hAnsi="Arial Narrow" w:cs="Arial"/>
                <w:b/>
                <w:bCs/>
                <w:color w:val="FFFFFF"/>
                <w:sz w:val="20"/>
                <w:lang w:eastAsia="sk-SK"/>
              </w:rPr>
            </w:pPr>
            <w:r w:rsidRPr="006540EB">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6540EB" w:rsidP="00472216">
            <w:pPr>
              <w:jc w:val="center"/>
              <w:rPr>
                <w:rFonts w:ascii="Arial Narrow" w:hAnsi="Arial Narrow" w:cs="Arial"/>
                <w:b/>
                <w:bCs/>
                <w:color w:val="FFFFFF"/>
                <w:sz w:val="20"/>
                <w:lang w:eastAsia="sk-SK"/>
              </w:rPr>
            </w:pPr>
            <w:r w:rsidRPr="006540EB">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6540EB" w:rsidP="00472216">
            <w:pPr>
              <w:jc w:val="center"/>
              <w:rPr>
                <w:rFonts w:ascii="Arial Narrow" w:hAnsi="Arial Narrow" w:cs="Arial"/>
                <w:b/>
                <w:bCs/>
                <w:color w:val="FFFFFF"/>
                <w:sz w:val="20"/>
                <w:lang w:eastAsia="sk-SK"/>
              </w:rPr>
            </w:pPr>
            <w:r w:rsidRPr="006540EB">
              <w:rPr>
                <w:rFonts w:ascii="Arial Narrow" w:hAnsi="Arial Narrow" w:cs="Arial"/>
                <w:b/>
                <w:bCs/>
                <w:color w:val="FFFFFF"/>
                <w:sz w:val="20"/>
                <w:lang w:eastAsia="sk-SK"/>
              </w:rPr>
              <w:t>2011</w:t>
            </w:r>
          </w:p>
        </w:tc>
      </w:tr>
      <w:tr>
        <w:tblPrEx>
          <w:tblW w:w="9180" w:type="dxa"/>
          <w:jc w:val="center"/>
          <w:tblInd w:w="58" w:type="dxa"/>
          <w:tblCellMar>
            <w:left w:w="70" w:type="dxa"/>
            <w:right w:w="70" w:type="dxa"/>
          </w:tblCellMar>
        </w:tblPrEx>
        <w:trPr>
          <w:trHeight w:val="360"/>
          <w:jc w:val="center"/>
        </w:trPr>
        <w:tc>
          <w:tcPr>
            <w:tcW w:w="9180" w:type="dxa"/>
            <w:gridSpan w:val="5"/>
            <w:tcBorders>
              <w:top w:val="nil"/>
              <w:left w:val="single" w:sz="8" w:space="0" w:color="auto"/>
              <w:bottom w:val="single" w:sz="8" w:space="0" w:color="auto"/>
              <w:right w:val="single" w:sz="8" w:space="0" w:color="000000"/>
              <w:tl2br w:val="nil"/>
              <w:tr2bl w:val="nil"/>
            </w:tcBorders>
            <w:shd w:val="clear" w:color="auto" w:fill="C0C0C0"/>
            <w:noWrap/>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Rozpočtové operácie ŠFA</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 xml:space="preserve">1. Príjmy </w:t>
            </w:r>
            <w:r w:rsidRPr="006540EB">
              <w:rPr>
                <w:rFonts w:ascii="Arial Narrow" w:hAnsi="Arial Narrow" w:cs="Arial"/>
                <w:sz w:val="20"/>
                <w:lang w:eastAsia="sk-SK"/>
              </w:rPr>
              <w:t xml:space="preserve">- zvýšenie ŠFA </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673 973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513 095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436 649</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450 979</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1.1. dividendy z FNM SR</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620 726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443 471</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411 605</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414 924</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1.2. príjem prostriedkov od mesta Žilina</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27 451</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27 451</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1.3. prijaté splátky vlád. úverov a vlád. pohľ. zo zahr. (FO)</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1 378</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803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827</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856</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1.4. príjmy zo splátok úverov a pôžičiek - NFV (FO)</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24 417</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41 370</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24 218</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35 199</w:t>
            </w:r>
          </w:p>
        </w:tc>
      </w:tr>
      <w:tr>
        <w:tblPrEx>
          <w:tblW w:w="9180" w:type="dxa"/>
          <w:jc w:val="center"/>
          <w:tblInd w:w="58" w:type="dxa"/>
          <w:tblCellMar>
            <w:left w:w="70" w:type="dxa"/>
            <w:right w:w="70" w:type="dxa"/>
          </w:tblCellMar>
        </w:tblPrEx>
        <w:trPr>
          <w:trHeight w:val="135"/>
          <w:jc w:val="center"/>
        </w:trPr>
        <w:tc>
          <w:tcPr>
            <w:tcW w:w="4700" w:type="dxa"/>
            <w:tcBorders>
              <w:top w:val="nil"/>
              <w:left w:val="single" w:sz="8" w:space="0" w:color="auto"/>
              <w:bottom w:val="nil"/>
              <w:right w:val="nil"/>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 </w:t>
            </w:r>
          </w:p>
        </w:tc>
        <w:tc>
          <w:tcPr>
            <w:tcW w:w="1120" w:type="dxa"/>
            <w:tcBorders>
              <w:top w:val="nil"/>
              <w:left w:val="nil"/>
              <w:bottom w:val="nil"/>
              <w:right w:val="nil"/>
              <w:tl2br w:val="nil"/>
              <w:tr2bl w:val="nil"/>
            </w:tcBorders>
            <w:noWrap/>
            <w:textDirection w:val="lrTb"/>
            <w:vAlign w:val="center"/>
          </w:tcPr>
          <w:p w:rsidR="00472216" w:rsidRPr="006540EB" w:rsidP="00472216">
            <w:pPr>
              <w:jc w:val="right"/>
              <w:rPr>
                <w:rFonts w:ascii="Arial Narrow" w:hAnsi="Arial Narrow" w:cs="Arial"/>
                <w:sz w:val="20"/>
                <w:lang w:eastAsia="sk-SK"/>
              </w:rPr>
            </w:pPr>
          </w:p>
        </w:tc>
        <w:tc>
          <w:tcPr>
            <w:tcW w:w="1120" w:type="dxa"/>
            <w:tcBorders>
              <w:top w:val="nil"/>
              <w:left w:val="nil"/>
              <w:bottom w:val="nil"/>
              <w:right w:val="nil"/>
              <w:tl2br w:val="nil"/>
              <w:tr2bl w:val="nil"/>
            </w:tcBorders>
            <w:noWrap/>
            <w:textDirection w:val="lrTb"/>
            <w:vAlign w:val="center"/>
          </w:tcPr>
          <w:p w:rsidR="00472216" w:rsidRPr="006540EB" w:rsidP="00472216">
            <w:pPr>
              <w:jc w:val="right"/>
              <w:rPr>
                <w:rFonts w:ascii="Arial Narrow" w:hAnsi="Arial Narrow" w:cs="Arial"/>
                <w:sz w:val="20"/>
                <w:lang w:eastAsia="sk-SK"/>
              </w:rPr>
            </w:pPr>
          </w:p>
        </w:tc>
        <w:tc>
          <w:tcPr>
            <w:tcW w:w="1120" w:type="dxa"/>
            <w:tcBorders>
              <w:top w:val="nil"/>
              <w:left w:val="nil"/>
              <w:bottom w:val="nil"/>
              <w:right w:val="nil"/>
              <w:tl2br w:val="nil"/>
              <w:tr2bl w:val="nil"/>
            </w:tcBorders>
            <w:noWrap/>
            <w:textDirection w:val="lrTb"/>
            <w:vAlign w:val="center"/>
          </w:tcPr>
          <w:p w:rsidR="00472216" w:rsidRPr="006540EB" w:rsidP="00472216">
            <w:pPr>
              <w:jc w:val="right"/>
              <w:rPr>
                <w:rFonts w:ascii="Arial Narrow" w:hAnsi="Arial Narrow" w:cs="Arial"/>
                <w:sz w:val="20"/>
                <w:lang w:eastAsia="sk-SK"/>
              </w:rPr>
            </w:pPr>
          </w:p>
        </w:tc>
        <w:tc>
          <w:tcPr>
            <w:tcW w:w="1120" w:type="dxa"/>
            <w:tcBorders>
              <w:top w:val="nil"/>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 </w:t>
            </w:r>
          </w:p>
        </w:tc>
      </w:tr>
      <w:tr>
        <w:tblPrEx>
          <w:tblW w:w="9180" w:type="dxa"/>
          <w:jc w:val="center"/>
          <w:tblInd w:w="58" w:type="dxa"/>
          <w:tblCellMar>
            <w:left w:w="70" w:type="dxa"/>
            <w:right w:w="70" w:type="dxa"/>
          </w:tblCellMar>
        </w:tblPrEx>
        <w:trPr>
          <w:trHeight w:val="360"/>
          <w:jc w:val="center"/>
        </w:trPr>
        <w:tc>
          <w:tcPr>
            <w:tcW w:w="470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2. Výdavky</w:t>
            </w:r>
            <w:r w:rsidRPr="006540EB">
              <w:rPr>
                <w:rFonts w:ascii="Arial Narrow" w:hAnsi="Arial Narrow" w:cs="Arial"/>
                <w:sz w:val="20"/>
                <w:lang w:eastAsia="sk-SK"/>
              </w:rPr>
              <w:t xml:space="preserve"> - zníženie ŠFA </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1 213 935</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1 084 034</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876 313</w:t>
            </w:r>
          </w:p>
        </w:tc>
        <w:tc>
          <w:tcPr>
            <w:tcW w:w="1120" w:type="dxa"/>
            <w:tcBorders>
              <w:top w:val="single" w:sz="4" w:space="0" w:color="auto"/>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473 156</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2.1. prevod prostriedkov z dividend od FNM SR do príjmov ŠR</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620 726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443 471</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411 605</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414 924</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2.2. prevod prostriedkov do Sociálnej poisťovne</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567 616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504 548</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446 259</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nil"/>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2.3. poskyt. úverov a pôž., účasť v medz. org. (FO)</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25 294</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10 712</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13 437</w:t>
            </w:r>
          </w:p>
        </w:tc>
        <w:tc>
          <w:tcPr>
            <w:tcW w:w="1120" w:type="dxa"/>
            <w:tcBorders>
              <w:top w:val="nil"/>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15 014</w:t>
            </w:r>
          </w:p>
        </w:tc>
      </w:tr>
      <w:tr>
        <w:tblPrEx>
          <w:tblW w:w="9180" w:type="dxa"/>
          <w:jc w:val="center"/>
          <w:tblInd w:w="58" w:type="dxa"/>
          <w:tblCellMar>
            <w:left w:w="70" w:type="dxa"/>
            <w:right w:w="70" w:type="dxa"/>
          </w:tblCellMar>
        </w:tblPrEx>
        <w:trPr>
          <w:trHeight w:val="360"/>
          <w:jc w:val="center"/>
        </w:trPr>
        <w:tc>
          <w:tcPr>
            <w:tcW w:w="4700" w:type="dxa"/>
            <w:tcBorders>
              <w:top w:val="single" w:sz="4" w:space="0" w:color="auto"/>
              <w:left w:val="single" w:sz="8" w:space="0" w:color="auto"/>
              <w:bottom w:val="nil"/>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2.4. úhrada záväzku zo zrušeného Združenia Dunaj (FO)</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113 852</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r>
      <w:tr>
        <w:tblPrEx>
          <w:tblW w:w="9180" w:type="dxa"/>
          <w:jc w:val="center"/>
          <w:tblInd w:w="58" w:type="dxa"/>
          <w:tblCellMar>
            <w:left w:w="70" w:type="dxa"/>
            <w:right w:w="70" w:type="dxa"/>
          </w:tblCellMar>
        </w:tblPrEx>
        <w:trPr>
          <w:trHeight w:val="360"/>
          <w:jc w:val="center"/>
        </w:trPr>
        <w:tc>
          <w:tcPr>
            <w:tcW w:w="4700" w:type="dxa"/>
            <w:tcBorders>
              <w:top w:val="single" w:sz="4" w:space="0" w:color="auto"/>
              <w:left w:val="single" w:sz="8" w:space="0" w:color="auto"/>
              <w:bottom w:val="nil"/>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2.5. Vklad do základného imania SZRB, a. s. (FO)</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33 194</w:t>
            </w:r>
          </w:p>
        </w:tc>
      </w:tr>
      <w:tr>
        <w:tblPrEx>
          <w:tblW w:w="9180" w:type="dxa"/>
          <w:jc w:val="center"/>
          <w:tblInd w:w="58" w:type="dxa"/>
          <w:tblCellMar>
            <w:left w:w="70" w:type="dxa"/>
            <w:right w:w="70" w:type="dxa"/>
          </w:tblCellMar>
        </w:tblPrEx>
        <w:trPr>
          <w:trHeight w:val="360"/>
          <w:jc w:val="center"/>
        </w:trPr>
        <w:tc>
          <w:tcPr>
            <w:tcW w:w="4700" w:type="dxa"/>
            <w:tcBorders>
              <w:top w:val="single" w:sz="4" w:space="0" w:color="auto"/>
              <w:left w:val="single" w:sz="8" w:space="0" w:color="auto"/>
              <w:bottom w:val="nil"/>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2.6. Vklad do základného imania EXIMBANKY SR (FO)</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11 452</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5 012</w:t>
            </w:r>
          </w:p>
        </w:tc>
        <w:tc>
          <w:tcPr>
            <w:tcW w:w="1120" w:type="dxa"/>
            <w:tcBorders>
              <w:top w:val="single" w:sz="4" w:space="0" w:color="auto"/>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10 025</w:t>
            </w:r>
          </w:p>
        </w:tc>
      </w:tr>
      <w:tr>
        <w:tblPrEx>
          <w:tblW w:w="9180" w:type="dxa"/>
          <w:jc w:val="center"/>
          <w:tblInd w:w="58" w:type="dxa"/>
          <w:tblCellMar>
            <w:left w:w="70" w:type="dxa"/>
            <w:right w:w="70" w:type="dxa"/>
          </w:tblCellMar>
        </w:tblPrEx>
        <w:trPr>
          <w:trHeight w:val="360"/>
          <w:jc w:val="center"/>
        </w:trPr>
        <w:tc>
          <w:tcPr>
            <w:tcW w:w="4700" w:type="dxa"/>
            <w:tcBorders>
              <w:top w:val="single" w:sz="8" w:space="0" w:color="auto"/>
              <w:left w:val="single" w:sz="8" w:space="0" w:color="auto"/>
              <w:bottom w:val="single" w:sz="8" w:space="0" w:color="auto"/>
              <w:right w:val="single" w:sz="4" w:space="0" w:color="auto"/>
              <w:tl2br w:val="nil"/>
              <w:tr2bl w:val="nil"/>
            </w:tcBorders>
            <w:shd w:val="clear" w:color="auto" w:fill="C0C0C0"/>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 xml:space="preserve">Saldo rozpočtových operácií </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-539 962</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-570 939</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-439 663</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-22 177</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Vylúčenie finančných operácií</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-202</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93 843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-6 596</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22 177</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 xml:space="preserve">      vylúčenie príjmových FO</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-25 795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-42 173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-25 045</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-36 055</w:t>
            </w:r>
          </w:p>
        </w:tc>
      </w:tr>
      <w:tr>
        <w:tblPrEx>
          <w:tblW w:w="9180" w:type="dxa"/>
          <w:jc w:val="center"/>
          <w:tblInd w:w="58" w:type="dxa"/>
          <w:tblCellMar>
            <w:left w:w="70" w:type="dxa"/>
            <w:right w:w="70" w:type="dxa"/>
          </w:tblCellMar>
        </w:tblPrEx>
        <w:trPr>
          <w:trHeight w:val="360"/>
          <w:jc w:val="center"/>
        </w:trPr>
        <w:tc>
          <w:tcPr>
            <w:tcW w:w="4700" w:type="dxa"/>
            <w:tcBorders>
              <w:top w:val="nil"/>
              <w:left w:val="single" w:sz="8" w:space="0" w:color="auto"/>
              <w:bottom w:val="nil"/>
              <w:right w:val="single" w:sz="4" w:space="0" w:color="auto"/>
              <w:tl2br w:val="nil"/>
              <w:tr2bl w:val="nil"/>
            </w:tcBorders>
            <w:noWrap/>
            <w:textDirection w:val="lrTb"/>
            <w:vAlign w:val="center"/>
          </w:tcPr>
          <w:p w:rsidR="00472216" w:rsidRPr="006540EB" w:rsidP="00472216">
            <w:pPr>
              <w:rPr>
                <w:rFonts w:ascii="Arial Narrow" w:hAnsi="Arial Narrow" w:cs="Arial"/>
                <w:sz w:val="20"/>
                <w:lang w:eastAsia="sk-SK"/>
              </w:rPr>
            </w:pPr>
            <w:r w:rsidRPr="006540EB">
              <w:rPr>
                <w:rFonts w:ascii="Arial Narrow" w:hAnsi="Arial Narrow" w:cs="Arial"/>
                <w:sz w:val="20"/>
                <w:lang w:eastAsia="sk-SK"/>
              </w:rPr>
              <w:t xml:space="preserve">      vylúčenie výdavkových FO</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25 593</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Pr>
                <w:rFonts w:ascii="Arial Narrow" w:hAnsi="Arial Narrow" w:cs="Arial"/>
                <w:sz w:val="20"/>
                <w:lang w:eastAsia="sk-SK"/>
              </w:rPr>
              <w:t>136 016</w:t>
            </w:r>
          </w:p>
        </w:tc>
        <w:tc>
          <w:tcPr>
            <w:tcW w:w="1120" w:type="dxa"/>
            <w:tcBorders>
              <w:top w:val="nil"/>
              <w:left w:val="nil"/>
              <w:bottom w:val="nil"/>
              <w:right w:val="single" w:sz="4"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18 449</w:t>
            </w:r>
          </w:p>
        </w:tc>
        <w:tc>
          <w:tcPr>
            <w:tcW w:w="1120" w:type="dxa"/>
            <w:tcBorders>
              <w:top w:val="nil"/>
              <w:left w:val="nil"/>
              <w:bottom w:val="nil"/>
              <w:right w:val="single" w:sz="8" w:space="0" w:color="auto"/>
              <w:tl2br w:val="nil"/>
              <w:tr2bl w:val="nil"/>
            </w:tcBorders>
            <w:noWrap/>
            <w:textDirection w:val="lrTb"/>
            <w:vAlign w:val="center"/>
          </w:tcPr>
          <w:p w:rsidR="00472216" w:rsidRPr="006540EB" w:rsidP="00472216">
            <w:pPr>
              <w:jc w:val="right"/>
              <w:rPr>
                <w:rFonts w:ascii="Arial Narrow" w:hAnsi="Arial Narrow" w:cs="Arial"/>
                <w:sz w:val="20"/>
                <w:lang w:eastAsia="sk-SK"/>
              </w:rPr>
            </w:pPr>
            <w:r w:rsidRPr="006540EB">
              <w:rPr>
                <w:rFonts w:ascii="Arial Narrow" w:hAnsi="Arial Narrow" w:cs="Arial"/>
                <w:sz w:val="20"/>
                <w:lang w:eastAsia="sk-SK"/>
              </w:rPr>
              <w:t>58 232</w:t>
            </w:r>
          </w:p>
        </w:tc>
      </w:tr>
      <w:tr>
        <w:tblPrEx>
          <w:tblW w:w="9180" w:type="dxa"/>
          <w:jc w:val="center"/>
          <w:tblInd w:w="58" w:type="dxa"/>
          <w:tblCellMar>
            <w:left w:w="70" w:type="dxa"/>
            <w:right w:w="70" w:type="dxa"/>
          </w:tblCellMar>
        </w:tblPrEx>
        <w:trPr>
          <w:trHeight w:val="645"/>
          <w:jc w:val="center"/>
        </w:trPr>
        <w:tc>
          <w:tcPr>
            <w:tcW w:w="4700" w:type="dxa"/>
            <w:tcBorders>
              <w:top w:val="single" w:sz="8" w:space="0" w:color="auto"/>
              <w:left w:val="single" w:sz="8" w:space="0" w:color="auto"/>
              <w:bottom w:val="single" w:sz="8" w:space="0" w:color="auto"/>
              <w:right w:val="single" w:sz="4" w:space="0" w:color="auto"/>
              <w:tl2br w:val="nil"/>
              <w:tr2bl w:val="nil"/>
            </w:tcBorders>
            <w:shd w:val="clear" w:color="auto" w:fill="C0C0C0"/>
            <w:textDirection w:val="lrTb"/>
            <w:vAlign w:val="center"/>
          </w:tcPr>
          <w:p w:rsidR="00472216" w:rsidRPr="006540EB" w:rsidP="00472216">
            <w:pPr>
              <w:rPr>
                <w:rFonts w:ascii="Arial Narrow" w:hAnsi="Arial Narrow" w:cs="Arial"/>
                <w:b/>
                <w:bCs/>
                <w:sz w:val="20"/>
                <w:lang w:eastAsia="sk-SK"/>
              </w:rPr>
            </w:pPr>
            <w:r w:rsidRPr="006540EB">
              <w:rPr>
                <w:rFonts w:ascii="Arial Narrow" w:hAnsi="Arial Narrow" w:cs="Arial"/>
                <w:b/>
                <w:bCs/>
                <w:sz w:val="20"/>
                <w:lang w:eastAsia="sk-SK"/>
              </w:rPr>
              <w:t>Saldo rozpočtových operácií bez FO</w:t>
              <w:br/>
            </w:r>
            <w:r w:rsidRPr="006540EB">
              <w:rPr>
                <w:rFonts w:ascii="Arial Narrow" w:hAnsi="Arial Narrow" w:cs="Arial"/>
                <w:sz w:val="16"/>
                <w:szCs w:val="16"/>
                <w:lang w:eastAsia="sk-SK"/>
              </w:rPr>
              <w:t>(vplyv na rozpočet verejnej správy v metodike ESA 95)</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-540 165</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-477 096</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-446 259</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6540EB" w:rsidP="00472216">
            <w:pPr>
              <w:jc w:val="right"/>
              <w:rPr>
                <w:rFonts w:ascii="Arial Narrow" w:hAnsi="Arial Narrow" w:cs="Arial"/>
                <w:b/>
                <w:bCs/>
                <w:sz w:val="20"/>
                <w:lang w:eastAsia="sk-SK"/>
              </w:rPr>
            </w:pPr>
            <w:r w:rsidRPr="006540EB">
              <w:rPr>
                <w:rFonts w:ascii="Arial Narrow" w:hAnsi="Arial Narrow" w:cs="Arial"/>
                <w:b/>
                <w:bCs/>
                <w:sz w:val="20"/>
                <w:lang w:eastAsia="sk-SK"/>
              </w:rPr>
              <w:t>0</w:t>
            </w:r>
          </w:p>
        </w:tc>
      </w:tr>
    </w:tbl>
    <w:p w:rsidR="00472216" w:rsidP="00472216">
      <w:pPr>
        <w:jc w:val="both"/>
        <w:rPr>
          <w:rFonts w:ascii="Arial Narrow" w:hAnsi="Arial Narrow" w:cs="Arial Narrow"/>
          <w:sz w:val="22"/>
          <w:szCs w:val="22"/>
        </w:rPr>
      </w:pPr>
    </w:p>
    <w:p w:rsidR="00472216" w:rsidRPr="003B2DEA" w:rsidP="00472216">
      <w:pPr>
        <w:pStyle w:val="Heading2"/>
        <w:rPr>
          <w:rFonts w:ascii="Arial Narrow" w:hAnsi="Arial Narrow"/>
          <w:i w:val="0"/>
          <w:iCs w:val="0"/>
          <w:sz w:val="24"/>
          <w:szCs w:val="24"/>
        </w:rPr>
      </w:pPr>
      <w:bookmarkStart w:id="66" w:name="_Toc143348614"/>
      <w:bookmarkStart w:id="67" w:name="_Toc148255260"/>
      <w:bookmarkStart w:id="68" w:name="_Toc174871977"/>
      <w:bookmarkStart w:id="69" w:name="_Toc206478412"/>
      <w:bookmarkStart w:id="70" w:name="_Toc211592403"/>
      <w:r w:rsidRPr="003B2DEA">
        <w:rPr>
          <w:rFonts w:ascii="Arial Narrow" w:hAnsi="Arial Narrow"/>
          <w:i w:val="0"/>
          <w:iCs w:val="0"/>
          <w:sz w:val="24"/>
          <w:szCs w:val="24"/>
        </w:rPr>
        <w:t>5.1. Príjmové operácie</w:t>
      </w:r>
      <w:bookmarkEnd w:id="64"/>
      <w:bookmarkEnd w:id="65"/>
      <w:bookmarkEnd w:id="66"/>
      <w:bookmarkEnd w:id="67"/>
      <w:bookmarkEnd w:id="68"/>
      <w:bookmarkEnd w:id="69"/>
      <w:bookmarkEnd w:id="70"/>
    </w:p>
    <w:p w:rsidR="00472216" w:rsidRPr="003B2DEA" w:rsidP="00472216">
      <w:pPr>
        <w:ind w:firstLine="708"/>
        <w:jc w:val="both"/>
        <w:rPr>
          <w:rFonts w:ascii="Arial Narrow" w:hAnsi="Arial Narrow" w:cs="Arial Narrow"/>
          <w:szCs w:val="24"/>
          <w:highlight w:val="yellow"/>
          <w:u w:val="single"/>
        </w:rPr>
      </w:pPr>
    </w:p>
    <w:p w:rsidR="00472216" w:rsidRPr="00B06E95" w:rsidP="00472216">
      <w:pPr>
        <w:jc w:val="both"/>
        <w:rPr>
          <w:rFonts w:ascii="Arial Narrow" w:hAnsi="Arial Narrow" w:cs="Arial Narrow"/>
          <w:sz w:val="22"/>
          <w:szCs w:val="22"/>
        </w:rPr>
      </w:pPr>
      <w:bookmarkStart w:id="71" w:name="_Toc116476499"/>
      <w:bookmarkStart w:id="72" w:name="_Toc141529501"/>
      <w:r w:rsidRPr="00B06E95">
        <w:rPr>
          <w:rFonts w:ascii="Arial Narrow" w:hAnsi="Arial Narrow" w:cs="Times New Roman"/>
          <w:sz w:val="22"/>
          <w:szCs w:val="22"/>
        </w:rPr>
        <w:t>5.1.1.     Z hľadiska finančného objemu medzi najdôležitejšie príjmové operácie štátnych finančných aktív patria</w:t>
      </w:r>
      <w:r w:rsidRPr="00B06E95">
        <w:rPr>
          <w:rFonts w:ascii="Arial Narrow" w:hAnsi="Arial Narrow" w:cs="Arial Narrow"/>
          <w:sz w:val="22"/>
          <w:szCs w:val="22"/>
        </w:rPr>
        <w:t xml:space="preserve"> príjmy z Fondu národného majetku SR z dividend od spoločností s majetkovou účasťou Fondu národného majetku SR. Tieto príjmy sa v rovnakej výške prevedú do príjmov štátneho rozpočtu. </w:t>
      </w:r>
    </w:p>
    <w:p w:rsidR="00472216" w:rsidRPr="002B6579" w:rsidP="00472216">
      <w:pPr>
        <w:jc w:val="both"/>
        <w:rPr>
          <w:rFonts w:ascii="Arial Narrow" w:hAnsi="Arial Narrow" w:cs="Arial Narrow"/>
          <w:sz w:val="22"/>
          <w:szCs w:val="22"/>
          <w:highlight w:val="yellow"/>
        </w:rPr>
      </w:pPr>
    </w:p>
    <w:p w:rsidR="00472216" w:rsidRPr="001366FE" w:rsidP="00472216">
      <w:pPr>
        <w:jc w:val="both"/>
        <w:rPr>
          <w:rFonts w:ascii="Arial Narrow" w:hAnsi="Arial Narrow" w:cs="Arial Narrow"/>
          <w:color w:val="000000"/>
          <w:sz w:val="22"/>
          <w:szCs w:val="22"/>
        </w:rPr>
      </w:pPr>
      <w:r w:rsidRPr="001366FE">
        <w:rPr>
          <w:rFonts w:ascii="Arial Narrow" w:hAnsi="Arial Narrow" w:cs="Times New Roman"/>
          <w:sz w:val="22"/>
          <w:szCs w:val="22"/>
        </w:rPr>
        <w:t>5.1.</w:t>
      </w:r>
      <w:r>
        <w:rPr>
          <w:rFonts w:ascii="Arial Narrow" w:hAnsi="Arial Narrow" w:cs="Times New Roman"/>
          <w:sz w:val="22"/>
          <w:szCs w:val="22"/>
        </w:rPr>
        <w:t>2</w:t>
      </w:r>
      <w:r w:rsidRPr="001366FE">
        <w:rPr>
          <w:rFonts w:ascii="Arial Narrow" w:hAnsi="Arial Narrow" w:cs="Times New Roman"/>
          <w:sz w:val="22"/>
          <w:szCs w:val="22"/>
        </w:rPr>
        <w:t>.     Vláda SR uznesením č. 552 zo 16. júna 2004 schválila Návrh modelu financovania Projektu  výstavby závodu na výrobu automobilov spoločnosťou KIA a závodu na výrobu automobilových súčiastok</w:t>
      </w:r>
      <w:r w:rsidRPr="001366FE">
        <w:rPr>
          <w:rFonts w:ascii="Arial Narrow" w:hAnsi="Arial Narrow" w:cs="Arial Narrow"/>
          <w:color w:val="000000"/>
          <w:sz w:val="22"/>
          <w:szCs w:val="22"/>
        </w:rPr>
        <w:t xml:space="preserve"> Hyundai Mobis. </w:t>
      </w:r>
      <w:r w:rsidRPr="00270961">
        <w:rPr>
          <w:rFonts w:ascii="Arial Narrow" w:hAnsi="Arial Narrow" w:cs="Times New Roman"/>
          <w:sz w:val="22"/>
          <w:szCs w:val="22"/>
        </w:rPr>
        <w:t xml:space="preserve">Uvedeným uznesením schválila poskytnutie návratnej finančnej výpomoci mestu Žilina v sume 27,45 mil. </w:t>
      </w:r>
      <w:r>
        <w:rPr>
          <w:rFonts w:ascii="Arial Narrow" w:hAnsi="Arial Narrow" w:cs="Times New Roman"/>
          <w:sz w:val="22"/>
          <w:szCs w:val="22"/>
        </w:rPr>
        <w:t xml:space="preserve">eur </w:t>
      </w:r>
      <w:r w:rsidRPr="001366FE">
        <w:rPr>
          <w:rFonts w:ascii="Arial Narrow" w:hAnsi="Arial Narrow" w:cs="Times New Roman"/>
          <w:sz w:val="22"/>
          <w:szCs w:val="22"/>
        </w:rPr>
        <w:t>na zabezpečenie realizácie výkupu pozemkov a ich úpravu v rámci spoločností Govinvest I. a Govinvest II. v súlade s uzavretými investičnými zmluvami medzi Slovenskou republikou, zastúpenou Ministerstvom hospodárstva SR, mestom Žilina, spoločnosťami KIA Motors Corporation a Hyundai Mobis z 5. marca 2004.</w:t>
      </w:r>
      <w:r w:rsidRPr="001366FE">
        <w:rPr>
          <w:rFonts w:ascii="Arial Narrow" w:hAnsi="Arial Narrow" w:cs="Arial Narrow"/>
          <w:color w:val="000000"/>
          <w:sz w:val="22"/>
          <w:szCs w:val="22"/>
        </w:rPr>
        <w:t xml:space="preserve"> Taktiež uložila podpredsedovi vlády a ministrovi financií zabezpečiť návratnosť poskytnutých finančných prostriedkov mestu Žilina. Vzhľadom k tomu, že v minulosti pretrvávali problémy súvisiace s výkupom pozemkov a na nakladanie s majetkom Slovenského pozemkového fondu sa vzťahovala blokácia podľa uznesenia vlády SR č. 208 z 1. marca 2006, bolo potrebné dodatkom upraviť zmluvu medzi Ministerstvom financií SR a mestom Žilina tak, aby mesto vrátilo prostriedky návratnej finančnej výpomoci v čase, keď je reálny predpoklad odpredaja spoločností Govinvest I a Govinvest II investorom. Vláda SR prijala dňa 27. júna 2007 uznesenie č. 564 </w:t>
      </w:r>
      <w:r w:rsidRPr="001366FE">
        <w:rPr>
          <w:rFonts w:ascii="Arial Narrow" w:hAnsi="Arial Narrow" w:cs="Times New Roman"/>
          <w:bCs/>
          <w:sz w:val="22"/>
          <w:szCs w:val="22"/>
          <w:lang w:eastAsia="sk-SK"/>
        </w:rPr>
        <w:t>k návrhu na zmenu bodu B.2 uznesenia vlády SR č. 552 zo 16. júna 2004 v znení uznesení vlády SR č. 1245/2004, 320/2005, 283/2006 a č. 793/2006, ktorými súhlasila s posunom návratnosti uvedených prostriedkov</w:t>
      </w:r>
      <w:r w:rsidRPr="001366FE">
        <w:rPr>
          <w:rFonts w:ascii="Arial Narrow" w:hAnsi="Arial Narrow" w:cs="Arial Narrow"/>
          <w:color w:val="000000"/>
          <w:sz w:val="22"/>
          <w:szCs w:val="22"/>
        </w:rPr>
        <w:t xml:space="preserve"> do 30. júna 2008. </w:t>
      </w:r>
      <w:r w:rsidRPr="001366FE">
        <w:rPr>
          <w:rFonts w:ascii="Arial Narrow" w:hAnsi="Arial Narrow" w:cs="Times New Roman"/>
          <w:sz w:val="22"/>
          <w:szCs w:val="22"/>
        </w:rPr>
        <w:t xml:space="preserve">Vzhľadom na </w:t>
      </w:r>
      <w:r>
        <w:rPr>
          <w:rFonts w:ascii="Arial Narrow" w:hAnsi="Arial Narrow" w:cs="Times New Roman"/>
          <w:sz w:val="22"/>
          <w:szCs w:val="22"/>
        </w:rPr>
        <w:t>pretrvávajúce problémy s výkupmi pozemkov vláda SR svojím uznesením č. 455/2008 posunula termín splátky uvedenej návratnej finančnej výpomoci do 30. júna 2009</w:t>
      </w:r>
      <w:r w:rsidRPr="001366FE">
        <w:rPr>
          <w:rFonts w:ascii="Arial Narrow" w:hAnsi="Arial Narrow" w:cs="Times New Roman"/>
          <w:sz w:val="22"/>
          <w:szCs w:val="22"/>
        </w:rPr>
        <w:t xml:space="preserve">. </w:t>
      </w:r>
    </w:p>
    <w:p w:rsidR="00472216" w:rsidRPr="002B6579" w:rsidP="00472216">
      <w:pPr>
        <w:pStyle w:val="BodyText"/>
        <w:spacing w:after="0"/>
        <w:jc w:val="both"/>
        <w:rPr>
          <w:rFonts w:ascii="Arial Narrow" w:hAnsi="Arial Narrow" w:cs="Arial Narrow"/>
          <w:sz w:val="22"/>
          <w:szCs w:val="22"/>
          <w:highlight w:val="yellow"/>
        </w:rPr>
      </w:pPr>
    </w:p>
    <w:p w:rsidR="00472216" w:rsidRPr="001366FE" w:rsidP="00472216">
      <w:pPr>
        <w:jc w:val="both"/>
        <w:rPr>
          <w:rFonts w:ascii="Arial Narrow" w:hAnsi="Arial Narrow" w:cs="Arial Narrow"/>
          <w:sz w:val="22"/>
          <w:szCs w:val="22"/>
        </w:rPr>
      </w:pPr>
      <w:r>
        <w:rPr>
          <w:rFonts w:ascii="Arial Narrow" w:hAnsi="Arial Narrow" w:cs="Times New Roman"/>
          <w:sz w:val="22"/>
          <w:szCs w:val="22"/>
        </w:rPr>
        <w:t>5.1.3</w:t>
      </w:r>
      <w:r w:rsidRPr="001366FE">
        <w:rPr>
          <w:rFonts w:ascii="Arial Narrow" w:hAnsi="Arial Narrow" w:cs="Times New Roman"/>
          <w:sz w:val="22"/>
          <w:szCs w:val="22"/>
        </w:rPr>
        <w:t>.   Príjmy z vymáhania zahraničných pohľadávok, ktoré Slovenská republika získala pri delení majetku</w:t>
      </w:r>
      <w:r w:rsidRPr="001366FE">
        <w:rPr>
          <w:rFonts w:ascii="Arial Narrow" w:hAnsi="Arial Narrow" w:cs="Arial Narrow"/>
          <w:sz w:val="22"/>
          <w:szCs w:val="22"/>
        </w:rPr>
        <w:t xml:space="preserve"> bývalej ČSFR, sa na základe výsledkov doterajších rokovaní s dlžníckymi krajinami a aktuálneho stavu zmluvnej </w:t>
      </w:r>
      <w:r w:rsidRPr="00270961">
        <w:rPr>
          <w:rFonts w:ascii="Arial Narrow" w:hAnsi="Arial Narrow" w:cs="Arial Narrow"/>
          <w:sz w:val="22"/>
          <w:szCs w:val="22"/>
        </w:rPr>
        <w:t xml:space="preserve">dokumentácie rozpočtujú v rokoch 2009 až 2011 v rozpätí 803,2 až 856,4 tis. </w:t>
      </w:r>
      <w:r>
        <w:rPr>
          <w:rFonts w:ascii="Arial Narrow" w:hAnsi="Arial Narrow" w:cs="Arial Narrow"/>
          <w:sz w:val="22"/>
          <w:szCs w:val="22"/>
        </w:rPr>
        <w:t>eur</w:t>
      </w:r>
      <w:r w:rsidRPr="00270961">
        <w:rPr>
          <w:rFonts w:ascii="Arial Narrow" w:hAnsi="Arial Narrow" w:cs="Arial Narrow"/>
          <w:sz w:val="22"/>
          <w:szCs w:val="22"/>
        </w:rPr>
        <w:t>. Bližšie k jednotlivým rokom je</w:t>
      </w:r>
      <w:r w:rsidRPr="001366FE">
        <w:rPr>
          <w:rFonts w:ascii="Arial Narrow" w:hAnsi="Arial Narrow" w:cs="Arial Narrow"/>
          <w:sz w:val="22"/>
          <w:szCs w:val="22"/>
        </w:rPr>
        <w:t xml:space="preserve"> uvedené v úvodnej tabuľke. Úrokové príjmy zo zahraničných úverov, pôžičiek a vkladov sú príjmom štátneho rozpočtu a sú zapracované v rozpočte Štátneho dlhu (kapitola Všeobecná pokladničná správa). </w:t>
      </w:r>
    </w:p>
    <w:p w:rsidR="00472216" w:rsidRPr="002B6579" w:rsidP="00472216">
      <w:pPr>
        <w:ind w:firstLine="708"/>
        <w:jc w:val="both"/>
        <w:rPr>
          <w:rFonts w:ascii="Arial Narrow" w:hAnsi="Arial Narrow" w:cs="Arial Narrow"/>
          <w:sz w:val="22"/>
          <w:szCs w:val="22"/>
          <w:highlight w:val="yellow"/>
        </w:rPr>
      </w:pPr>
    </w:p>
    <w:p w:rsidR="00472216" w:rsidRPr="0086568C" w:rsidP="00472216">
      <w:pPr>
        <w:tabs>
          <w:tab w:val="left" w:pos="0"/>
        </w:tabs>
        <w:jc w:val="both"/>
        <w:rPr>
          <w:rFonts w:ascii="Arial Narrow" w:hAnsi="Arial Narrow" w:cs="Arial Narrow"/>
          <w:sz w:val="22"/>
          <w:szCs w:val="22"/>
        </w:rPr>
      </w:pPr>
      <w:r>
        <w:rPr>
          <w:rFonts w:ascii="Arial Narrow" w:hAnsi="Arial Narrow" w:cs="Times New Roman"/>
          <w:sz w:val="22"/>
          <w:szCs w:val="22"/>
        </w:rPr>
        <w:t>5.1.4</w:t>
      </w:r>
      <w:r w:rsidRPr="0086568C">
        <w:rPr>
          <w:rFonts w:ascii="Arial Narrow" w:hAnsi="Arial Narrow" w:cs="Times New Roman"/>
          <w:sz w:val="22"/>
          <w:szCs w:val="22"/>
        </w:rPr>
        <w:t>.     Medzi finančné operácie štátnych finančných aktív na strane príjmov zaraďujeme aj príjmy zo splácania</w:t>
      </w:r>
      <w:r w:rsidRPr="0086568C">
        <w:rPr>
          <w:rFonts w:ascii="Arial Narrow" w:hAnsi="Arial Narrow" w:cs="Arial Narrow"/>
          <w:sz w:val="22"/>
          <w:szCs w:val="22"/>
        </w:rPr>
        <w:t xml:space="preserve"> poskytnutých úverov a pôžičiek – istín i návratných finančných výpomocí. Ide o príjmy, ktoré boli v minulosti príjmom niektorých kapitol štátneho rozpočtu. Nasledovná tabuľka uvádza príjmové finančné operácie podľa pôsobnosti a zodpovednosti príslušných kapitol štátneho rozpočtu. </w:t>
      </w:r>
    </w:p>
    <w:p w:rsidR="00472216" w:rsidP="00472216">
      <w:pPr>
        <w:jc w:val="both"/>
        <w:rPr>
          <w:rFonts w:ascii="Arial Narrow" w:hAnsi="Arial Narrow" w:cs="Arial Narrow"/>
          <w:sz w:val="22"/>
          <w:szCs w:val="22"/>
        </w:rPr>
      </w:pPr>
    </w:p>
    <w:tbl>
      <w:tblPr>
        <w:tblW w:w="7920" w:type="dxa"/>
        <w:jc w:val="center"/>
        <w:tblInd w:w="58" w:type="dxa"/>
        <w:tblCellMar>
          <w:left w:w="70" w:type="dxa"/>
          <w:right w:w="70" w:type="dxa"/>
        </w:tblCellMar>
      </w:tblPr>
      <w:tblGrid>
        <w:gridCol w:w="3440"/>
        <w:gridCol w:w="1120"/>
        <w:gridCol w:w="1120"/>
        <w:gridCol w:w="1120"/>
        <w:gridCol w:w="1120"/>
      </w:tblGrid>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000000"/>
            <w:noWrap/>
            <w:textDirection w:val="lrTb"/>
            <w:vAlign w:val="top"/>
          </w:tcPr>
          <w:p w:rsidR="00472216" w:rsidRPr="0010118D" w:rsidP="00472216">
            <w:pPr>
              <w:rPr>
                <w:rFonts w:ascii="Arial Narrow" w:hAnsi="Arial Narrow" w:cs="Arial"/>
                <w:color w:val="FFFFFF"/>
                <w:sz w:val="16"/>
                <w:szCs w:val="16"/>
                <w:lang w:eastAsia="sk-SK"/>
              </w:rPr>
            </w:pPr>
            <w:r w:rsidRPr="0010118D">
              <w:rPr>
                <w:rFonts w:ascii="Arial Narrow" w:hAnsi="Arial Narrow" w:cs="Arial"/>
                <w:color w:val="FFFFFF"/>
                <w:sz w:val="16"/>
                <w:szCs w:val="16"/>
                <w:lang w:eastAsia="sk-SK"/>
              </w:rPr>
              <w:t>(v tis. eur)</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849FD" w:rsidP="00472216">
            <w:pPr>
              <w:jc w:val="center"/>
              <w:rPr>
                <w:rFonts w:ascii="Arial Narrow" w:hAnsi="Arial Narrow" w:cs="Arial"/>
                <w:b/>
                <w:bCs/>
                <w:color w:val="FFFFFF"/>
                <w:sz w:val="20"/>
                <w:lang w:eastAsia="sk-SK"/>
              </w:rPr>
            </w:pPr>
            <w:r w:rsidRPr="001849FD">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849FD" w:rsidP="00472216">
            <w:pPr>
              <w:jc w:val="center"/>
              <w:rPr>
                <w:rFonts w:ascii="Arial Narrow" w:hAnsi="Arial Narrow" w:cs="Arial"/>
                <w:b/>
                <w:bCs/>
                <w:color w:val="FFFFFF"/>
                <w:sz w:val="20"/>
                <w:lang w:eastAsia="sk-SK"/>
              </w:rPr>
            </w:pPr>
            <w:r w:rsidRPr="001849FD">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849FD" w:rsidP="00472216">
            <w:pPr>
              <w:jc w:val="center"/>
              <w:rPr>
                <w:rFonts w:ascii="Arial Narrow" w:hAnsi="Arial Narrow" w:cs="Arial"/>
                <w:b/>
                <w:bCs/>
                <w:color w:val="FFFFFF"/>
                <w:sz w:val="20"/>
                <w:lang w:eastAsia="sk-SK"/>
              </w:rPr>
            </w:pPr>
            <w:r w:rsidRPr="001849FD">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1849FD" w:rsidP="00472216">
            <w:pPr>
              <w:jc w:val="center"/>
              <w:rPr>
                <w:rFonts w:ascii="Arial Narrow" w:hAnsi="Arial Narrow" w:cs="Arial"/>
                <w:b/>
                <w:bCs/>
                <w:color w:val="FFFFFF"/>
                <w:sz w:val="20"/>
                <w:lang w:eastAsia="sk-SK"/>
              </w:rPr>
            </w:pPr>
            <w:r w:rsidRPr="001849FD">
              <w:rPr>
                <w:rFonts w:ascii="Arial Narrow" w:hAnsi="Arial Narrow" w:cs="Arial"/>
                <w:b/>
                <w:bCs/>
                <w:color w:val="FFFFFF"/>
                <w:sz w:val="20"/>
                <w:lang w:eastAsia="sk-SK"/>
              </w:rPr>
              <w:t>2011</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b/>
                <w:bCs/>
                <w:sz w:val="20"/>
                <w:lang w:eastAsia="sk-SK"/>
              </w:rPr>
            </w:pPr>
            <w:r w:rsidRPr="001849FD">
              <w:rPr>
                <w:rFonts w:ascii="Arial Narrow" w:hAnsi="Arial Narrow" w:cs="Arial"/>
                <w:b/>
                <w:bCs/>
                <w:sz w:val="20"/>
                <w:lang w:eastAsia="sk-SK"/>
              </w:rPr>
              <w:t>Ministerstvo financií SR</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17</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17</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17</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17</w:t>
            </w:r>
          </w:p>
        </w:tc>
      </w:tr>
      <w:tr>
        <w:tblPrEx>
          <w:tblW w:w="7920" w:type="dxa"/>
          <w:jc w:val="center"/>
          <w:tblInd w:w="58" w:type="dxa"/>
          <w:tblCellMar>
            <w:left w:w="70" w:type="dxa"/>
            <w:right w:w="70" w:type="dxa"/>
          </w:tblCellMar>
        </w:tblPrEx>
        <w:trPr>
          <w:trHeight w:val="360"/>
          <w:jc w:val="center"/>
        </w:trPr>
        <w:tc>
          <w:tcPr>
            <w:tcW w:w="3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b/>
                <w:bCs/>
                <w:sz w:val="20"/>
                <w:lang w:eastAsia="sk-SK"/>
              </w:rPr>
            </w:pPr>
            <w:r w:rsidRPr="001849FD">
              <w:rPr>
                <w:rFonts w:ascii="Arial Narrow" w:hAnsi="Arial Narrow" w:cs="Arial"/>
                <w:b/>
                <w:bCs/>
                <w:sz w:val="20"/>
                <w:lang w:eastAsia="sk-SK"/>
              </w:rPr>
              <w:t>Ministerstvo pôdohospodárstva SR</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2 065</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1 092</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744</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604</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b/>
                <w:bCs/>
                <w:sz w:val="20"/>
                <w:lang w:eastAsia="sk-SK"/>
              </w:rPr>
            </w:pPr>
            <w:r w:rsidRPr="001849FD">
              <w:rPr>
                <w:rFonts w:ascii="Arial Narrow" w:hAnsi="Arial Narrow" w:cs="Arial"/>
                <w:b/>
                <w:bCs/>
                <w:sz w:val="20"/>
                <w:lang w:eastAsia="sk-SK"/>
              </w:rPr>
              <w:t>Všeobecná pokladničná správa</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22 336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40 261</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23 458</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34 578</w:t>
            </w:r>
          </w:p>
        </w:tc>
      </w:tr>
      <w:tr>
        <w:tblPrEx>
          <w:tblW w:w="7920" w:type="dxa"/>
          <w:jc w:val="center"/>
          <w:tblInd w:w="58" w:type="dxa"/>
          <w:tblCellMar>
            <w:left w:w="70" w:type="dxa"/>
            <w:right w:w="70" w:type="dxa"/>
          </w:tblCellMar>
        </w:tblPrEx>
        <w:trPr>
          <w:trHeight w:val="180"/>
          <w:jc w:val="center"/>
        </w:trPr>
        <w:tc>
          <w:tcPr>
            <w:tcW w:w="3440" w:type="dxa"/>
            <w:tcBorders>
              <w:top w:val="nil"/>
              <w:left w:val="single" w:sz="8" w:space="0" w:color="auto"/>
              <w:bottom w:val="single" w:sz="4" w:space="0" w:color="auto"/>
              <w:right w:val="nil"/>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z toho:</w:t>
            </w:r>
          </w:p>
        </w:tc>
        <w:tc>
          <w:tcPr>
            <w:tcW w:w="1120" w:type="dxa"/>
            <w:tcBorders>
              <w:top w:val="nil"/>
              <w:left w:val="nil"/>
              <w:bottom w:val="single" w:sz="4" w:space="0" w:color="auto"/>
              <w:right w:val="nil"/>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w:t>
            </w:r>
          </w:p>
        </w:tc>
        <w:tc>
          <w:tcPr>
            <w:tcW w:w="1120" w:type="dxa"/>
            <w:tcBorders>
              <w:top w:val="nil"/>
              <w:left w:val="nil"/>
              <w:bottom w:val="single" w:sz="4" w:space="0" w:color="auto"/>
              <w:right w:val="nil"/>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w:t>
            </w:r>
          </w:p>
        </w:tc>
        <w:tc>
          <w:tcPr>
            <w:tcW w:w="1120" w:type="dxa"/>
            <w:tcBorders>
              <w:top w:val="nil"/>
              <w:left w:val="nil"/>
              <w:bottom w:val="single" w:sz="4" w:space="0" w:color="auto"/>
              <w:right w:val="nil"/>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xml:space="preserve">  - z konkurzov</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332</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166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166</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166</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xml:space="preserve">  - Vodohospodárska výstavba, š. p. BA</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20 620</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21 138</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21 908</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22 008</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xml:space="preserve">  - mesto Košice</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1 384</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1 384</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1 384</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1 384</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l2br w:val="nil"/>
              <w:tr2bl w:val="nil"/>
            </w:tcBorders>
            <w:noWrap/>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xml:space="preserve">  -  mesto Žilina</w:t>
            </w:r>
          </w:p>
        </w:tc>
        <w:tc>
          <w:tcPr>
            <w:tcW w:w="1120" w:type="dxa"/>
            <w:tcBorders>
              <w:top w:val="nil"/>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c>
          <w:tcPr>
            <w:tcW w:w="1120" w:type="dxa"/>
            <w:tcBorders>
              <w:top w:val="nil"/>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17 573</w:t>
            </w:r>
          </w:p>
        </w:tc>
        <w:tc>
          <w:tcPr>
            <w:tcW w:w="1120" w:type="dxa"/>
            <w:tcBorders>
              <w:top w:val="nil"/>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c>
          <w:tcPr>
            <w:tcW w:w="1120" w:type="dxa"/>
            <w:tcBorders>
              <w:top w:val="nil"/>
              <w:left w:val="nil"/>
              <w:bottom w:val="nil"/>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r>
      <w:tr>
        <w:tblPrEx>
          <w:tblW w:w="7920" w:type="dxa"/>
          <w:jc w:val="center"/>
          <w:tblInd w:w="58" w:type="dxa"/>
          <w:tblCellMar>
            <w:left w:w="70" w:type="dxa"/>
            <w:right w:w="70" w:type="dxa"/>
          </w:tblCellMar>
        </w:tblPrEx>
        <w:trPr>
          <w:trHeight w:val="540"/>
          <w:jc w:val="center"/>
        </w:trPr>
        <w:tc>
          <w:tcPr>
            <w:tcW w:w="3440" w:type="dxa"/>
            <w:tcBorders>
              <w:top w:val="single" w:sz="4" w:space="0" w:color="auto"/>
              <w:left w:val="single" w:sz="8" w:space="0" w:color="auto"/>
              <w:bottom w:val="nil"/>
              <w:right w:val="single" w:sz="4" w:space="0" w:color="auto"/>
              <w:tl2br w:val="nil"/>
              <w:tr2bl w:val="nil"/>
            </w:tcBorders>
            <w:textDirection w:val="lrTb"/>
            <w:vAlign w:val="center"/>
          </w:tcPr>
          <w:p w:rsidR="00472216" w:rsidRPr="001849FD" w:rsidP="00472216">
            <w:pPr>
              <w:rPr>
                <w:rFonts w:ascii="Arial Narrow" w:hAnsi="Arial Narrow" w:cs="Arial"/>
                <w:sz w:val="20"/>
                <w:lang w:eastAsia="sk-SK"/>
              </w:rPr>
            </w:pPr>
            <w:r w:rsidRPr="001849FD">
              <w:rPr>
                <w:rFonts w:ascii="Arial Narrow" w:hAnsi="Arial Narrow" w:cs="Arial"/>
                <w:sz w:val="20"/>
                <w:lang w:eastAsia="sk-SK"/>
              </w:rPr>
              <w:t xml:space="preserve">  -  splátka NFV poskytnutej v súvislosti so </w:t>
              <w:br/>
              <w:t xml:space="preserve">     zabezpečením projektu Samsung</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c>
          <w:tcPr>
            <w:tcW w:w="1120" w:type="dxa"/>
            <w:tcBorders>
              <w:top w:val="single" w:sz="4" w:space="0" w:color="auto"/>
              <w:left w:val="nil"/>
              <w:bottom w:val="nil"/>
              <w:right w:val="single" w:sz="4"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0</w:t>
            </w:r>
          </w:p>
        </w:tc>
        <w:tc>
          <w:tcPr>
            <w:tcW w:w="1120" w:type="dxa"/>
            <w:tcBorders>
              <w:top w:val="single" w:sz="4" w:space="0" w:color="auto"/>
              <w:left w:val="nil"/>
              <w:bottom w:val="nil"/>
              <w:right w:val="single" w:sz="8" w:space="0" w:color="auto"/>
              <w:tl2br w:val="nil"/>
              <w:tr2bl w:val="nil"/>
            </w:tcBorders>
            <w:noWrap/>
            <w:textDirection w:val="lrTb"/>
            <w:vAlign w:val="center"/>
          </w:tcPr>
          <w:p w:rsidR="00472216" w:rsidRPr="001849FD" w:rsidP="00472216">
            <w:pPr>
              <w:jc w:val="right"/>
              <w:rPr>
                <w:rFonts w:ascii="Arial Narrow" w:hAnsi="Arial Narrow" w:cs="Arial"/>
                <w:sz w:val="20"/>
                <w:lang w:eastAsia="sk-SK"/>
              </w:rPr>
            </w:pPr>
            <w:r w:rsidRPr="001849FD">
              <w:rPr>
                <w:rFonts w:ascii="Arial Narrow" w:hAnsi="Arial Narrow" w:cs="Arial"/>
                <w:sz w:val="20"/>
                <w:lang w:eastAsia="sk-SK"/>
              </w:rPr>
              <w:t>11 020</w:t>
            </w:r>
          </w:p>
        </w:tc>
      </w:tr>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1849FD" w:rsidP="00472216">
            <w:pPr>
              <w:rPr>
                <w:rFonts w:ascii="Arial Narrow" w:hAnsi="Arial Narrow" w:cs="Arial"/>
                <w:b/>
                <w:bCs/>
                <w:sz w:val="20"/>
                <w:lang w:eastAsia="sk-SK"/>
              </w:rPr>
            </w:pPr>
            <w:r w:rsidRPr="001849FD">
              <w:rPr>
                <w:rFonts w:ascii="Arial Narrow" w:hAnsi="Arial Narrow" w:cs="Arial"/>
                <w:b/>
                <w:bCs/>
                <w:sz w:val="20"/>
                <w:lang w:eastAsia="sk-SK"/>
              </w:rPr>
              <w:t>Celkom</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1849FD" w:rsidP="00472216">
            <w:pPr>
              <w:jc w:val="right"/>
              <w:rPr>
                <w:rFonts w:ascii="Arial Narrow" w:hAnsi="Arial Narrow" w:cs="Arial"/>
                <w:b/>
                <w:bCs/>
                <w:sz w:val="20"/>
                <w:lang w:eastAsia="sk-SK"/>
              </w:rPr>
            </w:pPr>
            <w:r w:rsidRPr="001849FD">
              <w:rPr>
                <w:rFonts w:ascii="Arial Narrow" w:hAnsi="Arial Narrow" w:cs="Arial"/>
                <w:b/>
                <w:bCs/>
                <w:sz w:val="20"/>
                <w:lang w:eastAsia="sk-SK"/>
              </w:rPr>
              <w:t>24 417</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1849FD" w:rsidP="00472216">
            <w:pPr>
              <w:jc w:val="right"/>
              <w:rPr>
                <w:rFonts w:ascii="Arial Narrow" w:hAnsi="Arial Narrow" w:cs="Arial"/>
                <w:b/>
                <w:bCs/>
                <w:sz w:val="20"/>
                <w:lang w:eastAsia="sk-SK"/>
              </w:rPr>
            </w:pPr>
            <w:r w:rsidRPr="001849FD">
              <w:rPr>
                <w:rFonts w:ascii="Arial Narrow" w:hAnsi="Arial Narrow" w:cs="Arial"/>
                <w:b/>
                <w:bCs/>
                <w:sz w:val="20"/>
                <w:lang w:eastAsia="sk-SK"/>
              </w:rPr>
              <w:t>41 370</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1849FD" w:rsidP="00472216">
            <w:pPr>
              <w:jc w:val="right"/>
              <w:rPr>
                <w:rFonts w:ascii="Arial Narrow" w:hAnsi="Arial Narrow" w:cs="Arial"/>
                <w:b/>
                <w:bCs/>
                <w:sz w:val="20"/>
                <w:lang w:eastAsia="sk-SK"/>
              </w:rPr>
            </w:pPr>
            <w:r w:rsidRPr="001849FD">
              <w:rPr>
                <w:rFonts w:ascii="Arial Narrow" w:hAnsi="Arial Narrow" w:cs="Arial"/>
                <w:b/>
                <w:bCs/>
                <w:sz w:val="20"/>
                <w:lang w:eastAsia="sk-SK"/>
              </w:rPr>
              <w:t>24 218</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1849FD" w:rsidP="00472216">
            <w:pPr>
              <w:jc w:val="right"/>
              <w:rPr>
                <w:rFonts w:ascii="Arial Narrow" w:hAnsi="Arial Narrow" w:cs="Arial"/>
                <w:b/>
                <w:bCs/>
                <w:sz w:val="20"/>
                <w:lang w:eastAsia="sk-SK"/>
              </w:rPr>
            </w:pPr>
            <w:r w:rsidRPr="001849FD">
              <w:rPr>
                <w:rFonts w:ascii="Arial Narrow" w:hAnsi="Arial Narrow" w:cs="Arial"/>
                <w:b/>
                <w:bCs/>
                <w:sz w:val="20"/>
                <w:lang w:eastAsia="sk-SK"/>
              </w:rPr>
              <w:t>35 199</w:t>
            </w:r>
          </w:p>
        </w:tc>
      </w:tr>
    </w:tbl>
    <w:p w:rsidR="00472216" w:rsidRPr="002B6579" w:rsidP="00472216">
      <w:pPr>
        <w:ind w:right="72"/>
        <w:jc w:val="both"/>
        <w:rPr>
          <w:rFonts w:ascii="Arial Narrow" w:hAnsi="Arial Narrow" w:cs="Arial Narrow"/>
          <w:sz w:val="22"/>
          <w:szCs w:val="22"/>
          <w:highlight w:val="yellow"/>
        </w:rPr>
      </w:pPr>
    </w:p>
    <w:p w:rsidR="00472216" w:rsidRPr="00791610" w:rsidP="00472216">
      <w:pPr>
        <w:ind w:right="74" w:firstLine="703"/>
        <w:jc w:val="both"/>
        <w:rPr>
          <w:rFonts w:ascii="Arial Narrow" w:hAnsi="Arial Narrow" w:cs="Arial Narrow"/>
          <w:sz w:val="22"/>
          <w:szCs w:val="22"/>
        </w:rPr>
      </w:pPr>
      <w:r w:rsidRPr="00791610">
        <w:rPr>
          <w:rFonts w:ascii="Arial Narrow" w:hAnsi="Arial Narrow" w:cs="Arial Narrow"/>
          <w:sz w:val="22"/>
          <w:szCs w:val="22"/>
        </w:rPr>
        <w:t xml:space="preserve">Do pôsobnosti Ministerstva financií SR patrí správa a vymáhanie pohľadávok štátu z titulu prídelu doplnkového prídelu pozemkového majetku presídlencom z Maďarska na základe Dohody medzi Československom a Maďarskom o výmene obyvateľstva publikovanej pod č. 145/1946 Zb. Celková pohľadávka </w:t>
      </w:r>
      <w:r w:rsidRPr="00270961">
        <w:rPr>
          <w:rFonts w:ascii="Arial Narrow" w:hAnsi="Arial Narrow" w:cs="Arial Narrow"/>
          <w:sz w:val="22"/>
          <w:szCs w:val="22"/>
        </w:rPr>
        <w:t xml:space="preserve">štátu voči týmto fyzickým osobám ku konca roku 2007 bola 438,2 tis. </w:t>
      </w:r>
      <w:r>
        <w:rPr>
          <w:rFonts w:ascii="Arial Narrow" w:hAnsi="Arial Narrow" w:cs="Arial Narrow"/>
          <w:sz w:val="22"/>
          <w:szCs w:val="22"/>
        </w:rPr>
        <w:t>eur</w:t>
      </w:r>
      <w:r w:rsidRPr="00270961">
        <w:rPr>
          <w:rFonts w:ascii="Arial Narrow" w:hAnsi="Arial Narrow" w:cs="Arial Narrow"/>
          <w:sz w:val="22"/>
          <w:szCs w:val="22"/>
        </w:rPr>
        <w:t>. Príjmy z tohto titulu sa v jednotlivých</w:t>
      </w:r>
      <w:r w:rsidRPr="00791610">
        <w:rPr>
          <w:rFonts w:ascii="Arial Narrow" w:hAnsi="Arial Narrow" w:cs="Arial Narrow"/>
          <w:sz w:val="22"/>
          <w:szCs w:val="22"/>
        </w:rPr>
        <w:t xml:space="preserve"> rokoch predpokladajú tak, ako je uvedené v tabuľke. </w:t>
      </w:r>
    </w:p>
    <w:p w:rsidR="00472216" w:rsidRPr="002B6579" w:rsidP="00472216">
      <w:pPr>
        <w:ind w:right="72" w:firstLine="705"/>
        <w:jc w:val="both"/>
        <w:rPr>
          <w:rFonts w:ascii="Arial Narrow" w:hAnsi="Arial Narrow" w:cs="Arial Narrow"/>
          <w:sz w:val="22"/>
          <w:szCs w:val="22"/>
          <w:highlight w:val="yellow"/>
        </w:rPr>
      </w:pPr>
    </w:p>
    <w:p w:rsidR="00472216" w:rsidRPr="00791610" w:rsidP="00472216">
      <w:pPr>
        <w:ind w:right="72" w:firstLine="705"/>
        <w:jc w:val="both"/>
        <w:rPr>
          <w:rFonts w:ascii="Arial Narrow" w:hAnsi="Arial Narrow" w:cs="Arial Narrow"/>
          <w:sz w:val="22"/>
          <w:szCs w:val="22"/>
        </w:rPr>
      </w:pPr>
      <w:r w:rsidRPr="00791610">
        <w:rPr>
          <w:rFonts w:ascii="Arial Narrow" w:hAnsi="Arial Narrow" w:cs="Arial Narrow"/>
          <w:sz w:val="22"/>
          <w:szCs w:val="22"/>
        </w:rPr>
        <w:t xml:space="preserve">V pôsobnosti kapitoly Ministerstva pôdohospodárstva SR ide o príjmy zo splácania návratných finančných výpomocí poskytnutých zrušenými štátnymi fondmi. </w:t>
      </w:r>
    </w:p>
    <w:p w:rsidR="00472216" w:rsidRPr="002B6579" w:rsidP="00472216">
      <w:pPr>
        <w:ind w:right="72" w:firstLine="705"/>
        <w:jc w:val="both"/>
        <w:rPr>
          <w:rFonts w:ascii="Arial Narrow" w:hAnsi="Arial Narrow" w:cs="Arial Narrow"/>
          <w:sz w:val="22"/>
          <w:szCs w:val="22"/>
          <w:highlight w:val="yellow"/>
        </w:rPr>
      </w:pPr>
    </w:p>
    <w:p w:rsidR="00472216" w:rsidRPr="00D610A1" w:rsidP="00472216">
      <w:pPr>
        <w:ind w:right="72" w:firstLine="705"/>
        <w:jc w:val="both"/>
        <w:rPr>
          <w:rFonts w:ascii="Arial Narrow" w:hAnsi="Arial Narrow" w:cs="Arial Narrow"/>
          <w:sz w:val="22"/>
          <w:szCs w:val="22"/>
        </w:rPr>
      </w:pPr>
      <w:r w:rsidRPr="00D610A1">
        <w:rPr>
          <w:rFonts w:ascii="Arial Narrow" w:hAnsi="Arial Narrow" w:cs="Arial Narrow"/>
          <w:sz w:val="22"/>
          <w:szCs w:val="22"/>
        </w:rPr>
        <w:t xml:space="preserve">Odhaduje sa, že z prebiehajúcich konkurzných konaní, v ktorých si Ministerstvo financií SR uplatnilo </w:t>
      </w:r>
      <w:r w:rsidRPr="00270961">
        <w:rPr>
          <w:rFonts w:ascii="Arial Narrow" w:hAnsi="Arial Narrow" w:cs="Arial Narrow"/>
          <w:sz w:val="22"/>
          <w:szCs w:val="22"/>
        </w:rPr>
        <w:t xml:space="preserve">svoje pohľadávky možno získať príjmy vo výške približne 166 tis. </w:t>
      </w:r>
      <w:r>
        <w:rPr>
          <w:rFonts w:ascii="Arial Narrow" w:hAnsi="Arial Narrow" w:cs="Arial Narrow"/>
          <w:sz w:val="22"/>
          <w:szCs w:val="22"/>
        </w:rPr>
        <w:t>eur</w:t>
      </w:r>
      <w:r w:rsidRPr="00270961">
        <w:rPr>
          <w:rFonts w:ascii="Arial Narrow" w:hAnsi="Arial Narrow" w:cs="Arial Narrow"/>
          <w:sz w:val="22"/>
          <w:szCs w:val="22"/>
        </w:rPr>
        <w:t xml:space="preserve"> ročne.</w:t>
      </w:r>
      <w:r w:rsidRPr="00D610A1">
        <w:rPr>
          <w:rFonts w:ascii="Arial Narrow" w:hAnsi="Arial Narrow" w:cs="Arial Narrow"/>
          <w:sz w:val="22"/>
          <w:szCs w:val="22"/>
        </w:rPr>
        <w:t xml:space="preserve"> </w:t>
      </w:r>
    </w:p>
    <w:p w:rsidR="00472216" w:rsidRPr="002B6579" w:rsidP="00472216">
      <w:pPr>
        <w:ind w:right="72" w:firstLine="705"/>
        <w:jc w:val="both"/>
        <w:rPr>
          <w:rFonts w:ascii="Arial Narrow" w:hAnsi="Arial Narrow" w:cs="Arial Narrow"/>
          <w:sz w:val="22"/>
          <w:szCs w:val="22"/>
          <w:highlight w:val="yellow"/>
        </w:rPr>
      </w:pPr>
    </w:p>
    <w:p w:rsidR="00472216" w:rsidRPr="0008605E" w:rsidP="00472216">
      <w:pPr>
        <w:ind w:right="72" w:firstLine="705"/>
        <w:jc w:val="both"/>
        <w:rPr>
          <w:rFonts w:ascii="Arial Narrow" w:hAnsi="Arial Narrow" w:cs="Arial Narrow"/>
          <w:sz w:val="22"/>
          <w:szCs w:val="22"/>
        </w:rPr>
      </w:pPr>
      <w:r w:rsidRPr="0008605E">
        <w:rPr>
          <w:rFonts w:ascii="Arial Narrow" w:hAnsi="Arial Narrow" w:cs="Arial Narrow"/>
          <w:sz w:val="22"/>
          <w:szCs w:val="22"/>
        </w:rPr>
        <w:t>Príjmy z realizovaných štátnych záruk od nefinančných subjektov sú v pôsobnosti kapitoly Všeobecná pokladničná správa a v zmysle splátkových kalendárov sa v jednotlivých rokoch rozpočtového rámca 2009 až 2011 očakávajú v objemoch ako je uvedené v tabuľke. Predstavujú ich príjmy od Vodohospodárskej výstavby,  š. p. Bratislava, ktorý má v sú</w:t>
      </w:r>
      <w:r w:rsidRPr="0008605E">
        <w:rPr>
          <w:rFonts w:ascii="Arial Narrow" w:hAnsi="Arial Narrow" w:cs="Arial Narrow"/>
          <w:sz w:val="22"/>
          <w:szCs w:val="22"/>
        </w:rPr>
        <w:t>č</w:t>
      </w:r>
      <w:r w:rsidRPr="0008605E">
        <w:rPr>
          <w:rFonts w:ascii="Arial Narrow" w:hAnsi="Arial Narrow" w:cs="Arial Narrow"/>
          <w:sz w:val="22"/>
          <w:szCs w:val="22"/>
        </w:rPr>
        <w:t>asnosti platné dve Zmluvy o návratnej finan</w:t>
      </w:r>
      <w:r w:rsidRPr="0008605E">
        <w:rPr>
          <w:rFonts w:ascii="Arial Narrow" w:hAnsi="Arial Narrow" w:cs="Arial Narrow"/>
          <w:sz w:val="22"/>
          <w:szCs w:val="22"/>
        </w:rPr>
        <w:t>č</w:t>
      </w:r>
      <w:r w:rsidRPr="0008605E">
        <w:rPr>
          <w:rFonts w:ascii="Arial Narrow" w:hAnsi="Arial Narrow" w:cs="Arial Narrow"/>
          <w:sz w:val="22"/>
          <w:szCs w:val="22"/>
        </w:rPr>
        <w:t>nej výpomoci, a to z roku 2002 a 2006. Mestu Košice bola poskytnutá úverová výpomoc zo štátnych finančných aktív vo výške 19,25 mil. eur v zmysle uznesenia vlády SR č. 93 zo dňa 30. 1. 2002. Zmluva o poskytnutí návratných finančných prostriedkov medzi Slovenskou republikou v mene ktorej koná Ministerstvo financií SR a mestom Košice bola podpísaná dňa 11. 6. 2002. Cieľom poskytnutia návratnej finančnej výpomoci bolo, aby mesto Košice po nábehu na ozdravný režim bolo pripravené zabezpečovať základné potreby pre chod samosprávy v obmedzenom, ale životaschopnom režime a súčasne si plniť záväzky plynúce z reštrukturalizovaného úverového zaťaženia.  Mestu Žilina bola  v zmysle uznesenia vlády SR č. 850 zo dňa 26. 10. 2005 poskytnutá návratná finančná výpomoc zo štátnych finančných aktív v sume 17,57 mil. eur na financovanie výstavby obytného súboru Krasňany. V zmysle uzavretej zmluvy budú finančné prostriedky vrátené do štátnych finančných aktív k  30. 6. 2009. V zmysle uznesenia vlády SR č. 229/2007 bola poskytnutá návratná finančná výpomoc pre MH Invest, s. r. o. s predpokladanou návratnosťou k 31. 12. 2011 na výkup pozemkov na zabezpečenie projektu Samsung.</w:t>
      </w:r>
    </w:p>
    <w:p w:rsidR="00472216" w:rsidRPr="003B2DEA" w:rsidP="00472216">
      <w:pPr>
        <w:pStyle w:val="Heading2"/>
        <w:rPr>
          <w:rFonts w:ascii="Arial Narrow" w:hAnsi="Arial Narrow"/>
          <w:i w:val="0"/>
          <w:iCs w:val="0"/>
          <w:sz w:val="24"/>
          <w:szCs w:val="24"/>
        </w:rPr>
      </w:pPr>
      <w:bookmarkStart w:id="73" w:name="_Toc143348615"/>
      <w:bookmarkStart w:id="74" w:name="_Toc148255261"/>
      <w:bookmarkStart w:id="75" w:name="_Toc174871978"/>
      <w:bookmarkStart w:id="76" w:name="_Toc206478413"/>
      <w:bookmarkStart w:id="77" w:name="_Toc211592404"/>
      <w:r w:rsidRPr="003B2DEA">
        <w:rPr>
          <w:rFonts w:ascii="Arial Narrow" w:hAnsi="Arial Narrow"/>
          <w:i w:val="0"/>
          <w:iCs w:val="0"/>
          <w:sz w:val="24"/>
          <w:szCs w:val="24"/>
        </w:rPr>
        <w:t>5.2. Výdavkové operácie</w:t>
      </w:r>
      <w:bookmarkEnd w:id="71"/>
      <w:bookmarkEnd w:id="72"/>
      <w:bookmarkEnd w:id="73"/>
      <w:bookmarkEnd w:id="74"/>
      <w:bookmarkEnd w:id="75"/>
      <w:bookmarkEnd w:id="76"/>
      <w:bookmarkEnd w:id="77"/>
    </w:p>
    <w:p w:rsidR="00472216" w:rsidRPr="003B2DEA" w:rsidP="00472216">
      <w:pPr>
        <w:pStyle w:val="BodyText"/>
        <w:spacing w:after="0"/>
        <w:jc w:val="both"/>
        <w:rPr>
          <w:rFonts w:ascii="Arial Narrow" w:hAnsi="Arial Narrow" w:cs="Arial Narrow"/>
          <w:szCs w:val="24"/>
        </w:rPr>
      </w:pPr>
    </w:p>
    <w:p w:rsidR="00472216" w:rsidP="00472216">
      <w:pPr>
        <w:pStyle w:val="BodyText"/>
        <w:spacing w:after="0"/>
        <w:jc w:val="both"/>
        <w:rPr>
          <w:rFonts w:ascii="Arial Narrow" w:hAnsi="Arial Narrow" w:cs="Arial Narrow"/>
          <w:sz w:val="22"/>
          <w:szCs w:val="22"/>
        </w:rPr>
      </w:pPr>
      <w:bookmarkStart w:id="78" w:name="_Toc116476500"/>
      <w:r>
        <w:rPr>
          <w:rFonts w:ascii="Arial Narrow" w:hAnsi="Arial Narrow" w:cs="Times New Roman"/>
          <w:sz w:val="22"/>
          <w:szCs w:val="22"/>
        </w:rPr>
        <w:t xml:space="preserve">5.2.1.     </w:t>
        <w:tab/>
        <w:t>Príjmy z Fondu národného majetku SR z dividend od spoločností s majetkovou účasťou Fondu národného majetku SR sa v jednotlivých rokoch rozpočtového rámca 2009 až</w:t>
      </w:r>
      <w:r>
        <w:rPr>
          <w:rFonts w:ascii="Arial Narrow" w:hAnsi="Arial Narrow" w:cs="Arial Narrow"/>
          <w:sz w:val="22"/>
          <w:szCs w:val="22"/>
        </w:rPr>
        <w:t xml:space="preserve"> 2011 v rovnakej výške ako vstúpili do príjmov štátnych finančných aktív prevedú do príjmov štátneho rozpočtu. To znamená, že z pohľadu bilancie štátnych finančných aktív je táto operácia neutrálna.</w:t>
      </w:r>
    </w:p>
    <w:p w:rsidR="00472216" w:rsidP="00472216">
      <w:pPr>
        <w:pStyle w:val="BodyText"/>
        <w:spacing w:after="0"/>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Times New Roman"/>
          <w:sz w:val="22"/>
          <w:szCs w:val="22"/>
        </w:rPr>
        <w:t>5.2.2.</w:t>
        <w:tab/>
        <w:t>U</w:t>
      </w:r>
      <w:r w:rsidRPr="00B87F6C">
        <w:rPr>
          <w:rFonts w:ascii="Arial Narrow" w:hAnsi="Arial Narrow" w:cs="Times New Roman"/>
          <w:sz w:val="22"/>
          <w:szCs w:val="22"/>
        </w:rPr>
        <w:t>zneseniami vlády SR č. 446/2002 a 1241/2004 bola pre prostriedky získané z privatizácie 25 % podielu S</w:t>
      </w:r>
      <w:r>
        <w:rPr>
          <w:rFonts w:ascii="Arial Narrow" w:hAnsi="Arial Narrow" w:cs="Times New Roman"/>
          <w:sz w:val="22"/>
          <w:szCs w:val="22"/>
        </w:rPr>
        <w:t>lovenského plynárenského priemyslu</w:t>
      </w:r>
      <w:r w:rsidRPr="00B87F6C">
        <w:rPr>
          <w:rFonts w:ascii="Arial Narrow" w:hAnsi="Arial Narrow" w:cs="Times New Roman"/>
          <w:sz w:val="22"/>
          <w:szCs w:val="22"/>
        </w:rPr>
        <w:t>, a. s. stanovená účelovosť ich použitia výlučne na účely dôchodkovej reformy.</w:t>
      </w:r>
      <w:r>
        <w:rPr>
          <w:rFonts w:ascii="Arial Narrow" w:hAnsi="Arial Narrow" w:cs="Arial Narrow"/>
          <w:sz w:val="22"/>
          <w:szCs w:val="22"/>
        </w:rPr>
        <w:t xml:space="preserve"> </w:t>
      </w:r>
      <w:r>
        <w:rPr>
          <w:rFonts w:ascii="Arial Narrow" w:hAnsi="Arial Narrow" w:cs="Times New Roman"/>
          <w:sz w:val="22"/>
          <w:szCs w:val="22"/>
        </w:rPr>
        <w:t xml:space="preserve">Uvedená účelovosť týchto prostriedkov je zakotvená aj v </w:t>
      </w:r>
      <w:r w:rsidRPr="00B87F6C">
        <w:rPr>
          <w:rFonts w:ascii="Arial Narrow" w:hAnsi="Arial Narrow" w:cs="Times New Roman"/>
          <w:bCs/>
          <w:sz w:val="22"/>
          <w:szCs w:val="22"/>
        </w:rPr>
        <w:t xml:space="preserve">§ 293 zákona č. 461/2003 </w:t>
      </w:r>
      <w:r>
        <w:rPr>
          <w:rFonts w:ascii="Arial Narrow" w:hAnsi="Arial Narrow" w:cs="Times New Roman"/>
          <w:bCs/>
          <w:sz w:val="22"/>
          <w:szCs w:val="22"/>
        </w:rPr>
        <w:t xml:space="preserve">Z. z. </w:t>
      </w:r>
      <w:r w:rsidRPr="00B87F6C">
        <w:rPr>
          <w:rFonts w:ascii="Arial Narrow" w:hAnsi="Arial Narrow" w:cs="Times New Roman"/>
          <w:bCs/>
          <w:sz w:val="22"/>
          <w:szCs w:val="22"/>
        </w:rPr>
        <w:t>o sociálnom poistení</w:t>
      </w:r>
      <w:r>
        <w:rPr>
          <w:rFonts w:ascii="Arial Narrow" w:hAnsi="Arial Narrow" w:cs="Times New Roman"/>
          <w:sz w:val="22"/>
          <w:szCs w:val="22"/>
        </w:rPr>
        <w:t>. V tejto súvislosti najvýznamnejším výdavkovým titulom štátnych finančných aktív bude prevod finančných prostriedkov zo</w:t>
      </w:r>
      <w:r>
        <w:rPr>
          <w:rFonts w:ascii="Arial Narrow" w:hAnsi="Arial Narrow" w:cs="Arial Narrow"/>
          <w:sz w:val="22"/>
          <w:szCs w:val="22"/>
        </w:rPr>
        <w:t xml:space="preserve"> štátnych finančných aktív do Sociálnej poisťovne, ktorý slúži na krytie výpadku jej príjmov z dôvodu zavedenia II. piliera dôchodkového sporenia. Predpokladané objemy v jednotlivých rokoch rozpočtového rámca zobrazuje nasledovný prehľad.</w:t>
      </w:r>
    </w:p>
    <w:p w:rsidR="00472216" w:rsidP="00472216">
      <w:pPr>
        <w:jc w:val="both"/>
        <w:rPr>
          <w:rFonts w:ascii="Arial Narrow" w:hAnsi="Arial Narrow" w:cs="Arial Narrow"/>
          <w:sz w:val="22"/>
          <w:szCs w:val="22"/>
        </w:rPr>
      </w:pPr>
    </w:p>
    <w:tbl>
      <w:tblPr>
        <w:tblW w:w="8360" w:type="dxa"/>
        <w:jc w:val="center"/>
        <w:tblInd w:w="58" w:type="dxa"/>
        <w:tblCellMar>
          <w:left w:w="70" w:type="dxa"/>
          <w:right w:w="70" w:type="dxa"/>
        </w:tblCellMar>
      </w:tblPr>
      <w:tblGrid>
        <w:gridCol w:w="4280"/>
        <w:gridCol w:w="1020"/>
        <w:gridCol w:w="1020"/>
        <w:gridCol w:w="1020"/>
        <w:gridCol w:w="1020"/>
      </w:tblGrid>
      <w:tr>
        <w:tblPrEx>
          <w:tblW w:w="8360" w:type="dxa"/>
          <w:jc w:val="center"/>
          <w:tblInd w:w="58" w:type="dxa"/>
          <w:tblCellMar>
            <w:left w:w="70" w:type="dxa"/>
            <w:right w:w="70" w:type="dxa"/>
          </w:tblCellMar>
        </w:tblPrEx>
        <w:trPr>
          <w:trHeight w:val="540"/>
          <w:jc w:val="center"/>
        </w:trPr>
        <w:tc>
          <w:tcPr>
            <w:tcW w:w="4280" w:type="dxa"/>
            <w:tcBorders>
              <w:top w:val="single" w:sz="8" w:space="0" w:color="auto"/>
              <w:left w:val="single" w:sz="8" w:space="0" w:color="auto"/>
              <w:bottom w:val="single" w:sz="8" w:space="0" w:color="auto"/>
              <w:right w:val="single" w:sz="8" w:space="0" w:color="000000"/>
              <w:tl2br w:val="nil"/>
              <w:tr2bl w:val="nil"/>
            </w:tcBorders>
            <w:shd w:val="clear" w:color="auto" w:fill="000000"/>
            <w:textDirection w:val="lrTb"/>
            <w:vAlign w:val="top"/>
          </w:tcPr>
          <w:p w:rsidR="00472216" w:rsidRPr="008F0B3F" w:rsidP="00472216">
            <w:pPr>
              <w:rPr>
                <w:rFonts w:ascii="Arial Narrow" w:hAnsi="Arial Narrow" w:cs="Arial"/>
                <w:b/>
                <w:color w:val="FFFFFF"/>
                <w:sz w:val="16"/>
                <w:szCs w:val="16"/>
                <w:lang w:eastAsia="sk-SK"/>
              </w:rPr>
            </w:pPr>
            <w:r w:rsidRPr="008F0B3F">
              <w:rPr>
                <w:rFonts w:ascii="Arial Narrow" w:hAnsi="Arial Narrow" w:cs="Arial"/>
                <w:b/>
                <w:color w:val="FFFFFF"/>
                <w:sz w:val="16"/>
                <w:szCs w:val="16"/>
                <w:lang w:eastAsia="sk-SK"/>
              </w:rPr>
              <w:t>(v tis. eur)</w:t>
            </w:r>
          </w:p>
        </w:tc>
        <w:tc>
          <w:tcPr>
            <w:tcW w:w="1020" w:type="dxa"/>
            <w:tcBorders>
              <w:top w:val="single" w:sz="8" w:space="0" w:color="auto"/>
              <w:left w:val="nil"/>
              <w:bottom w:val="single" w:sz="8" w:space="0" w:color="auto"/>
              <w:right w:val="single" w:sz="8" w:space="0" w:color="auto"/>
              <w:tl2br w:val="nil"/>
              <w:tr2bl w:val="nil"/>
            </w:tcBorders>
            <w:shd w:val="clear" w:color="auto" w:fill="000000"/>
            <w:textDirection w:val="lrTb"/>
            <w:vAlign w:val="center"/>
          </w:tcPr>
          <w:p w:rsidR="00472216" w:rsidRPr="00B30F82" w:rsidP="00472216">
            <w:pPr>
              <w:jc w:val="center"/>
              <w:rPr>
                <w:rFonts w:ascii="Arial Narrow" w:hAnsi="Arial Narrow" w:cs="Arial"/>
                <w:b/>
                <w:bCs/>
                <w:color w:val="FFFFFF"/>
                <w:sz w:val="20"/>
                <w:lang w:eastAsia="sk-SK"/>
              </w:rPr>
            </w:pPr>
            <w:r w:rsidRPr="00B30F82">
              <w:rPr>
                <w:rFonts w:ascii="Arial Narrow" w:hAnsi="Arial Narrow" w:cs="Arial"/>
                <w:b/>
                <w:bCs/>
                <w:color w:val="FFFFFF"/>
                <w:sz w:val="20"/>
                <w:lang w:eastAsia="sk-SK"/>
              </w:rPr>
              <w:t>Schválený rozpočet</w:t>
            </w:r>
          </w:p>
        </w:tc>
        <w:tc>
          <w:tcPr>
            <w:tcW w:w="3060" w:type="dxa"/>
            <w:gridSpan w:val="3"/>
            <w:tcBorders>
              <w:top w:val="single" w:sz="8" w:space="0" w:color="auto"/>
              <w:left w:val="nil"/>
              <w:bottom w:val="single" w:sz="8" w:space="0" w:color="auto"/>
              <w:right w:val="single" w:sz="8" w:space="0" w:color="000000"/>
              <w:tl2br w:val="nil"/>
              <w:tr2bl w:val="nil"/>
            </w:tcBorders>
            <w:shd w:val="clear" w:color="auto" w:fill="000000"/>
            <w:noWrap/>
            <w:textDirection w:val="lrTb"/>
            <w:vAlign w:val="center"/>
          </w:tcPr>
          <w:p w:rsidR="00472216" w:rsidRPr="00B30F82" w:rsidP="00472216">
            <w:pPr>
              <w:jc w:val="center"/>
              <w:rPr>
                <w:rFonts w:ascii="Arial Narrow" w:hAnsi="Arial Narrow" w:cs="Arial"/>
                <w:b/>
                <w:bCs/>
                <w:color w:val="FFFFFF"/>
                <w:sz w:val="20"/>
                <w:lang w:eastAsia="sk-SK"/>
              </w:rPr>
            </w:pPr>
            <w:r w:rsidRPr="00B30F82">
              <w:rPr>
                <w:rFonts w:ascii="Arial Narrow" w:hAnsi="Arial Narrow" w:cs="Arial"/>
                <w:b/>
                <w:bCs/>
                <w:color w:val="FFFFFF"/>
                <w:sz w:val="20"/>
                <w:lang w:eastAsia="sk-SK"/>
              </w:rPr>
              <w:t>Návrh rozpočtu</w:t>
            </w:r>
          </w:p>
        </w:tc>
      </w:tr>
      <w:tr>
        <w:tblPrEx>
          <w:tblW w:w="8360" w:type="dxa"/>
          <w:jc w:val="center"/>
          <w:tblInd w:w="58" w:type="dxa"/>
          <w:tblCellMar>
            <w:left w:w="70" w:type="dxa"/>
            <w:right w:w="70" w:type="dxa"/>
          </w:tblCellMar>
        </w:tblPrEx>
        <w:trPr>
          <w:trHeight w:val="360"/>
          <w:jc w:val="center"/>
        </w:trPr>
        <w:tc>
          <w:tcPr>
            <w:tcW w:w="4280"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center"/>
          </w:tcPr>
          <w:p w:rsidR="00472216" w:rsidRPr="00B30F82" w:rsidP="00472216">
            <w:pPr>
              <w:rPr>
                <w:rFonts w:ascii="Arial Narrow" w:hAnsi="Arial Narrow" w:cs="Arial"/>
                <w:sz w:val="20"/>
                <w:lang w:eastAsia="sk-SK"/>
              </w:rPr>
            </w:pPr>
            <w:r w:rsidRPr="00B30F82">
              <w:rPr>
                <w:rFonts w:ascii="Arial Narrow" w:hAnsi="Arial Narrow" w:cs="Arial"/>
                <w:sz w:val="20"/>
                <w:lang w:eastAsia="sk-SK"/>
              </w:rPr>
              <w:t> </w:t>
            </w:r>
          </w:p>
        </w:tc>
        <w:tc>
          <w:tcPr>
            <w:tcW w:w="1020" w:type="dxa"/>
            <w:tcBorders>
              <w:top w:val="nil"/>
              <w:left w:val="nil"/>
              <w:bottom w:val="single" w:sz="8" w:space="0" w:color="auto"/>
              <w:right w:val="nil"/>
              <w:tl2br w:val="nil"/>
              <w:tr2bl w:val="nil"/>
            </w:tcBorders>
            <w:shd w:val="clear" w:color="auto" w:fill="C0C0C0"/>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2008</w:t>
            </w:r>
          </w:p>
        </w:tc>
        <w:tc>
          <w:tcPr>
            <w:tcW w:w="1020" w:type="dxa"/>
            <w:tcBorders>
              <w:top w:val="nil"/>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2009</w:t>
            </w:r>
          </w:p>
        </w:tc>
        <w:tc>
          <w:tcPr>
            <w:tcW w:w="10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2010</w:t>
            </w:r>
          </w:p>
        </w:tc>
        <w:tc>
          <w:tcPr>
            <w:tcW w:w="10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2011</w:t>
            </w:r>
          </w:p>
        </w:tc>
      </w:tr>
      <w:tr>
        <w:tblPrEx>
          <w:tblW w:w="8360" w:type="dxa"/>
          <w:jc w:val="center"/>
          <w:tblInd w:w="58" w:type="dxa"/>
          <w:tblCellMar>
            <w:left w:w="70" w:type="dxa"/>
            <w:right w:w="70" w:type="dxa"/>
          </w:tblCellMar>
        </w:tblPrEx>
        <w:trPr>
          <w:trHeight w:val="780"/>
          <w:jc w:val="center"/>
        </w:trPr>
        <w:tc>
          <w:tcPr>
            <w:tcW w:w="4280" w:type="dxa"/>
            <w:tcBorders>
              <w:top w:val="nil"/>
              <w:left w:val="single" w:sz="8" w:space="0" w:color="auto"/>
              <w:bottom w:val="single" w:sz="8" w:space="0" w:color="auto"/>
              <w:right w:val="single" w:sz="8" w:space="0" w:color="auto"/>
              <w:tl2br w:val="nil"/>
              <w:tr2bl w:val="nil"/>
            </w:tcBorders>
            <w:textDirection w:val="lrTb"/>
            <w:vAlign w:val="center"/>
          </w:tcPr>
          <w:p w:rsidR="00472216" w:rsidRPr="00B30F82" w:rsidP="00472216">
            <w:pPr>
              <w:rPr>
                <w:rFonts w:ascii="Arial Narrow" w:hAnsi="Arial Narrow" w:cs="Arial"/>
                <w:sz w:val="20"/>
                <w:lang w:eastAsia="sk-SK"/>
              </w:rPr>
            </w:pPr>
            <w:r w:rsidRPr="00B30F82">
              <w:rPr>
                <w:rFonts w:ascii="Arial Narrow" w:hAnsi="Arial Narrow" w:cs="Arial"/>
                <w:sz w:val="20"/>
                <w:lang w:eastAsia="sk-SK"/>
              </w:rPr>
              <w:t>Sociálnou poisťovňou plánované čerpanie prostriedkov určených na financovanie transformačných nákladov dôchodkovej reformy</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-567 616</w:t>
            </w:r>
          </w:p>
        </w:tc>
        <w:tc>
          <w:tcPr>
            <w:tcW w:w="1020" w:type="dxa"/>
            <w:tcBorders>
              <w:top w:val="nil"/>
              <w:left w:val="single" w:sz="8" w:space="0" w:color="auto"/>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-504 548</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-711 810</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-730 266</w:t>
            </w:r>
          </w:p>
        </w:tc>
      </w:tr>
    </w:tbl>
    <w:p w:rsidR="00472216" w:rsidP="00472216">
      <w:pPr>
        <w:jc w:val="both"/>
        <w:rPr>
          <w:rFonts w:ascii="Arial Narrow" w:hAnsi="Arial Narrow" w:cs="Arial Narrow"/>
          <w:sz w:val="22"/>
          <w:szCs w:val="22"/>
        </w:rPr>
      </w:pPr>
    </w:p>
    <w:p w:rsidR="00472216" w:rsidP="00472216">
      <w:pPr>
        <w:pStyle w:val="BodyText"/>
        <w:spacing w:after="0"/>
        <w:ind w:firstLine="709"/>
        <w:jc w:val="both"/>
        <w:rPr>
          <w:rFonts w:ascii="Arial Narrow" w:hAnsi="Arial Narrow" w:cs="Times New Roman"/>
          <w:sz w:val="22"/>
          <w:szCs w:val="22"/>
        </w:rPr>
      </w:pPr>
      <w:r>
        <w:rPr>
          <w:rFonts w:ascii="Arial Narrow" w:hAnsi="Arial Narrow" w:cs="Times New Roman"/>
          <w:sz w:val="22"/>
          <w:szCs w:val="22"/>
        </w:rPr>
        <w:t xml:space="preserve">Vývoj čerpania </w:t>
      </w:r>
      <w:r w:rsidRPr="006B3C13">
        <w:rPr>
          <w:rFonts w:ascii="Arial Narrow" w:hAnsi="Arial Narrow" w:cs="Times New Roman"/>
          <w:sz w:val="22"/>
          <w:szCs w:val="22"/>
        </w:rPr>
        <w:t>prostriedkov určených na financovanie transformačný</w:t>
      </w:r>
      <w:r>
        <w:rPr>
          <w:rFonts w:ascii="Arial Narrow" w:hAnsi="Arial Narrow" w:cs="Times New Roman"/>
          <w:sz w:val="22"/>
          <w:szCs w:val="22"/>
        </w:rPr>
        <w:t>ch nákladov dôchodkovej reformy zobrazuje nasledovný prehľad. Vzhľadom na ukončenie úročenia termínovaných účtov dôchodkovej reformy sú údaje na hotovostnom princípe identické s údajmi na akruálnom princípe.</w:t>
      </w:r>
    </w:p>
    <w:p w:rsidR="00472216" w:rsidRPr="00E04705" w:rsidP="00472216">
      <w:pPr>
        <w:pStyle w:val="BodyText"/>
        <w:spacing w:after="0"/>
        <w:jc w:val="both"/>
        <w:rPr>
          <w:rFonts w:ascii="Arial Narrow" w:hAnsi="Arial Narrow" w:cs="Arial Narrow"/>
          <w:sz w:val="22"/>
          <w:szCs w:val="22"/>
          <w:highlight w:val="yellow"/>
        </w:rPr>
      </w:pPr>
    </w:p>
    <w:tbl>
      <w:tblPr>
        <w:tblW w:w="9980" w:type="dxa"/>
        <w:jc w:val="center"/>
        <w:tblInd w:w="58" w:type="dxa"/>
        <w:tblCellMar>
          <w:left w:w="70" w:type="dxa"/>
          <w:right w:w="70" w:type="dxa"/>
        </w:tblCellMar>
      </w:tblPr>
      <w:tblGrid>
        <w:gridCol w:w="3860"/>
        <w:gridCol w:w="1020"/>
        <w:gridCol w:w="1020"/>
        <w:gridCol w:w="1020"/>
        <w:gridCol w:w="1020"/>
        <w:gridCol w:w="1020"/>
        <w:gridCol w:w="1020"/>
      </w:tblGrid>
      <w:tr>
        <w:tblPrEx>
          <w:tblW w:w="9980" w:type="dxa"/>
          <w:jc w:val="center"/>
          <w:tblInd w:w="58" w:type="dxa"/>
          <w:tblCellMar>
            <w:left w:w="70" w:type="dxa"/>
            <w:right w:w="70" w:type="dxa"/>
          </w:tblCellMar>
        </w:tblPrEx>
        <w:trPr>
          <w:trHeight w:val="540"/>
          <w:jc w:val="center"/>
        </w:trPr>
        <w:tc>
          <w:tcPr>
            <w:tcW w:w="3860" w:type="dxa"/>
            <w:tcBorders>
              <w:top w:val="single" w:sz="8" w:space="0" w:color="auto"/>
              <w:left w:val="single" w:sz="8" w:space="0" w:color="auto"/>
              <w:bottom w:val="nil"/>
              <w:right w:val="nil"/>
              <w:tl2br w:val="nil"/>
              <w:tr2bl w:val="nil"/>
            </w:tcBorders>
            <w:shd w:val="clear" w:color="auto" w:fill="000000"/>
            <w:textDirection w:val="lrTb"/>
            <w:vAlign w:val="center"/>
          </w:tcPr>
          <w:p w:rsidR="00472216" w:rsidRPr="008F0B3F" w:rsidP="00472216">
            <w:pPr>
              <w:rPr>
                <w:rFonts w:ascii="Arial Narrow" w:hAnsi="Arial Narrow" w:cs="Arial"/>
                <w:b/>
                <w:bCs/>
                <w:color w:val="FFFFFF"/>
                <w:sz w:val="20"/>
                <w:lang w:eastAsia="sk-SK"/>
              </w:rPr>
            </w:pPr>
            <w:r w:rsidRPr="008F0B3F">
              <w:rPr>
                <w:rFonts w:ascii="Arial Narrow" w:hAnsi="Arial Narrow" w:cs="Arial"/>
                <w:b/>
                <w:bCs/>
                <w:color w:val="FFFFFF"/>
                <w:sz w:val="20"/>
                <w:lang w:eastAsia="sk-SK"/>
              </w:rPr>
              <w:t>Hotovostný princíp</w:t>
              <w:br/>
            </w:r>
            <w:r w:rsidRPr="008F0B3F">
              <w:rPr>
                <w:rFonts w:ascii="Arial Narrow" w:hAnsi="Arial Narrow" w:cs="Arial"/>
                <w:b/>
                <w:color w:val="FFFFFF"/>
                <w:sz w:val="16"/>
                <w:szCs w:val="16"/>
                <w:lang w:eastAsia="sk-SK"/>
              </w:rPr>
              <w:t>(v tis. eur)</w:t>
            </w:r>
          </w:p>
        </w:tc>
        <w:tc>
          <w:tcPr>
            <w:tcW w:w="3060" w:type="dxa"/>
            <w:gridSpan w:val="3"/>
            <w:tcBorders>
              <w:top w:val="single" w:sz="8" w:space="0" w:color="auto"/>
              <w:left w:val="single" w:sz="8" w:space="0" w:color="auto"/>
              <w:bottom w:val="single" w:sz="4" w:space="0" w:color="auto"/>
              <w:right w:val="single" w:sz="8" w:space="0" w:color="000000"/>
              <w:tl2br w:val="nil"/>
              <w:tr2bl w:val="nil"/>
            </w:tcBorders>
            <w:shd w:val="clear" w:color="auto" w:fill="000000"/>
            <w:textDirection w:val="lrTb"/>
            <w:vAlign w:val="center"/>
          </w:tcPr>
          <w:p w:rsidR="00472216" w:rsidRPr="00B30F82" w:rsidP="00472216">
            <w:pPr>
              <w:jc w:val="center"/>
              <w:rPr>
                <w:rFonts w:ascii="Arial Narrow" w:hAnsi="Arial Narrow" w:cs="Arial"/>
                <w:b/>
                <w:bCs/>
                <w:color w:val="FFFFFF"/>
                <w:sz w:val="20"/>
                <w:lang w:eastAsia="sk-SK"/>
              </w:rPr>
            </w:pPr>
            <w:r w:rsidRPr="00B30F82">
              <w:rPr>
                <w:rFonts w:ascii="Arial Narrow" w:hAnsi="Arial Narrow" w:cs="Arial"/>
                <w:b/>
                <w:bCs/>
                <w:color w:val="FFFFFF"/>
                <w:sz w:val="20"/>
                <w:lang w:eastAsia="sk-SK"/>
              </w:rPr>
              <w:t>Skutočnosť</w:t>
            </w:r>
          </w:p>
        </w:tc>
        <w:tc>
          <w:tcPr>
            <w:tcW w:w="1020" w:type="dxa"/>
            <w:tcBorders>
              <w:top w:val="single" w:sz="8" w:space="0" w:color="auto"/>
              <w:left w:val="nil"/>
              <w:bottom w:val="single" w:sz="4" w:space="0" w:color="auto"/>
              <w:right w:val="single" w:sz="8" w:space="0" w:color="auto"/>
              <w:tl2br w:val="nil"/>
              <w:tr2bl w:val="nil"/>
            </w:tcBorders>
            <w:shd w:val="clear" w:color="auto" w:fill="000000"/>
            <w:textDirection w:val="lrTb"/>
            <w:vAlign w:val="center"/>
          </w:tcPr>
          <w:p w:rsidR="00472216" w:rsidRPr="00B30F82" w:rsidP="00472216">
            <w:pPr>
              <w:jc w:val="center"/>
              <w:rPr>
                <w:rFonts w:ascii="Arial Narrow" w:hAnsi="Arial Narrow" w:cs="Arial"/>
                <w:b/>
                <w:bCs/>
                <w:color w:val="FFFFFF"/>
                <w:sz w:val="20"/>
                <w:lang w:eastAsia="sk-SK"/>
              </w:rPr>
            </w:pPr>
            <w:r w:rsidRPr="00B30F82">
              <w:rPr>
                <w:rFonts w:ascii="Arial Narrow" w:hAnsi="Arial Narrow" w:cs="Arial"/>
                <w:b/>
                <w:bCs/>
                <w:color w:val="FFFFFF"/>
                <w:sz w:val="20"/>
                <w:lang w:eastAsia="sk-SK"/>
              </w:rPr>
              <w:t>Schválený rozpočet</w:t>
            </w:r>
          </w:p>
        </w:tc>
        <w:tc>
          <w:tcPr>
            <w:tcW w:w="2040" w:type="dxa"/>
            <w:gridSpan w:val="2"/>
            <w:tcBorders>
              <w:top w:val="single" w:sz="8" w:space="0" w:color="auto"/>
              <w:left w:val="nil"/>
              <w:bottom w:val="single" w:sz="4" w:space="0" w:color="auto"/>
              <w:right w:val="single" w:sz="8" w:space="0" w:color="000000"/>
              <w:tl2br w:val="nil"/>
              <w:tr2bl w:val="nil"/>
            </w:tcBorders>
            <w:shd w:val="clear" w:color="auto" w:fill="000000"/>
            <w:noWrap/>
            <w:textDirection w:val="lrTb"/>
            <w:vAlign w:val="center"/>
          </w:tcPr>
          <w:p w:rsidR="00472216" w:rsidRPr="00B30F82" w:rsidP="00472216">
            <w:pPr>
              <w:jc w:val="center"/>
              <w:rPr>
                <w:rFonts w:ascii="Arial Narrow" w:hAnsi="Arial Narrow" w:cs="Arial"/>
                <w:b/>
                <w:bCs/>
                <w:color w:val="FFFFFF"/>
                <w:sz w:val="20"/>
                <w:lang w:eastAsia="sk-SK"/>
              </w:rPr>
            </w:pPr>
            <w:r w:rsidRPr="00B30F82">
              <w:rPr>
                <w:rFonts w:ascii="Arial Narrow" w:hAnsi="Arial Narrow" w:cs="Arial"/>
                <w:b/>
                <w:bCs/>
                <w:color w:val="FFFFFF"/>
                <w:sz w:val="20"/>
                <w:lang w:eastAsia="sk-SK"/>
              </w:rPr>
              <w:t>Návrh rozpočtu</w:t>
            </w:r>
          </w:p>
        </w:tc>
      </w:tr>
      <w:tr>
        <w:tblPrEx>
          <w:tblW w:w="9980" w:type="dxa"/>
          <w:jc w:val="center"/>
          <w:tblInd w:w="58" w:type="dxa"/>
          <w:tblCellMar>
            <w:left w:w="70" w:type="dxa"/>
            <w:right w:w="70" w:type="dxa"/>
          </w:tblCellMar>
        </w:tblPrEx>
        <w:trPr>
          <w:trHeight w:val="360"/>
          <w:jc w:val="center"/>
        </w:trPr>
        <w:tc>
          <w:tcPr>
            <w:tcW w:w="3860" w:type="dxa"/>
            <w:tcBorders>
              <w:top w:val="single" w:sz="4" w:space="0" w:color="auto"/>
              <w:left w:val="single" w:sz="8" w:space="0" w:color="auto"/>
              <w:bottom w:val="single" w:sz="8"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 </w:t>
            </w:r>
          </w:p>
        </w:tc>
        <w:tc>
          <w:tcPr>
            <w:tcW w:w="1020" w:type="dxa"/>
            <w:tcBorders>
              <w:top w:val="nil"/>
              <w:left w:val="single" w:sz="8" w:space="0" w:color="auto"/>
              <w:bottom w:val="single" w:sz="8" w:space="0" w:color="auto"/>
              <w:right w:val="single" w:sz="4"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2005</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2006</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2007</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2008</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2009</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center"/>
              <w:rPr>
                <w:rFonts w:ascii="Arial Narrow" w:hAnsi="Arial Narrow" w:cs="Arial"/>
                <w:b/>
                <w:bCs/>
                <w:sz w:val="20"/>
                <w:lang w:eastAsia="sk-SK"/>
              </w:rPr>
            </w:pPr>
            <w:r w:rsidRPr="00B30F82">
              <w:rPr>
                <w:rFonts w:ascii="Arial Narrow" w:hAnsi="Arial Narrow" w:cs="Arial"/>
                <w:b/>
                <w:bCs/>
                <w:sz w:val="20"/>
                <w:lang w:eastAsia="sk-SK"/>
              </w:rPr>
              <w:t>2010</w:t>
            </w:r>
          </w:p>
        </w:tc>
      </w:tr>
      <w:tr>
        <w:tblPrEx>
          <w:tblW w:w="9980" w:type="dxa"/>
          <w:jc w:val="center"/>
          <w:tblInd w:w="58" w:type="dxa"/>
          <w:tblCellMar>
            <w:left w:w="70" w:type="dxa"/>
            <w:right w:w="70" w:type="dxa"/>
          </w:tblCellMar>
        </w:tblPrEx>
        <w:trPr>
          <w:trHeight w:val="420"/>
          <w:jc w:val="center"/>
        </w:trPr>
        <w:tc>
          <w:tcPr>
            <w:tcW w:w="3860" w:type="dxa"/>
            <w:tcBorders>
              <w:top w:val="nil"/>
              <w:left w:val="single" w:sz="8" w:space="0" w:color="auto"/>
              <w:bottom w:val="single" w:sz="8" w:space="0" w:color="auto"/>
              <w:right w:val="nil"/>
              <w:tl2br w:val="nil"/>
              <w:tr2bl w:val="nil"/>
            </w:tcBorders>
            <w:shd w:val="clear" w:color="auto" w:fill="C0C0C0"/>
            <w:noWrap/>
            <w:textDirection w:val="lrTb"/>
            <w:vAlign w:val="center"/>
          </w:tcPr>
          <w:p w:rsidR="00472216" w:rsidRPr="00B30F82" w:rsidP="00472216">
            <w:pPr>
              <w:jc w:val="both"/>
              <w:rPr>
                <w:rFonts w:ascii="Arial Narrow" w:hAnsi="Arial Narrow" w:cs="Arial"/>
                <w:b/>
                <w:bCs/>
                <w:sz w:val="20"/>
                <w:lang w:eastAsia="sk-SK"/>
              </w:rPr>
            </w:pPr>
            <w:r w:rsidRPr="00B30F82">
              <w:rPr>
                <w:rFonts w:ascii="Arial Narrow" w:hAnsi="Arial Narrow" w:cs="Arial"/>
                <w:b/>
                <w:bCs/>
                <w:sz w:val="20"/>
                <w:lang w:eastAsia="sk-SK"/>
              </w:rPr>
              <w:t>Stavy účtov k 1. 1. daného roka</w:t>
            </w:r>
          </w:p>
        </w:tc>
        <w:tc>
          <w:tcPr>
            <w:tcW w:w="1020" w:type="dxa"/>
            <w:tcBorders>
              <w:top w:val="nil"/>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2 327 199</w:t>
            </w:r>
          </w:p>
        </w:tc>
        <w:tc>
          <w:tcPr>
            <w:tcW w:w="10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2 330 522</w:t>
            </w:r>
          </w:p>
        </w:tc>
        <w:tc>
          <w:tcPr>
            <w:tcW w:w="10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1 847 042</w:t>
            </w:r>
          </w:p>
        </w:tc>
        <w:tc>
          <w:tcPr>
            <w:tcW w:w="10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1 518 423</w:t>
            </w:r>
          </w:p>
        </w:tc>
        <w:tc>
          <w:tcPr>
            <w:tcW w:w="10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950 807</w:t>
            </w:r>
          </w:p>
        </w:tc>
        <w:tc>
          <w:tcPr>
            <w:tcW w:w="10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446 259</w:t>
            </w:r>
          </w:p>
        </w:tc>
      </w:tr>
      <w:tr>
        <w:tblPrEx>
          <w:tblW w:w="9980" w:type="dxa"/>
          <w:jc w:val="center"/>
          <w:tblInd w:w="58"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Hrubý úrok</w:t>
            </w:r>
          </w:p>
        </w:tc>
        <w:tc>
          <w:tcPr>
            <w:tcW w:w="102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4 103</w:t>
            </w:r>
          </w:p>
        </w:tc>
        <w:tc>
          <w:tcPr>
            <w:tcW w:w="1020" w:type="dxa"/>
            <w:tcBorders>
              <w:top w:val="nil"/>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147 683</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r>
      <w:tr>
        <w:tblPrEx>
          <w:tblW w:w="9980" w:type="dxa"/>
          <w:jc w:val="center"/>
          <w:tblInd w:w="58"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Zrážková daň (19 %)</w:t>
            </w:r>
          </w:p>
        </w:tc>
        <w:tc>
          <w:tcPr>
            <w:tcW w:w="102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780</w:t>
            </w:r>
          </w:p>
        </w:tc>
        <w:tc>
          <w:tcPr>
            <w:tcW w:w="1020" w:type="dxa"/>
            <w:tcBorders>
              <w:top w:val="nil"/>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28 059</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nil"/>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r>
      <w:tr>
        <w:tblPrEx>
          <w:tblW w:w="9980" w:type="dxa"/>
          <w:jc w:val="center"/>
          <w:tblInd w:w="58" w:type="dxa"/>
          <w:tblCellMar>
            <w:left w:w="70" w:type="dxa"/>
            <w:right w:w="70" w:type="dxa"/>
          </w:tblCellMar>
        </w:tblPrEx>
        <w:trPr>
          <w:trHeight w:val="360"/>
          <w:jc w:val="center"/>
        </w:trPr>
        <w:tc>
          <w:tcPr>
            <w:tcW w:w="3860" w:type="dxa"/>
            <w:tcBorders>
              <w:top w:val="single" w:sz="4" w:space="0" w:color="auto"/>
              <w:left w:val="single" w:sz="4" w:space="0" w:color="auto"/>
              <w:bottom w:val="single" w:sz="4"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Čistý úrok</w:t>
            </w:r>
          </w:p>
        </w:tc>
        <w:tc>
          <w:tcPr>
            <w:tcW w:w="102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3 323</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119 624</w:t>
            </w:r>
          </w:p>
        </w:tc>
        <w:tc>
          <w:tcPr>
            <w:tcW w:w="1020" w:type="dxa"/>
            <w:tcBorders>
              <w:top w:val="single" w:sz="4" w:space="0" w:color="auto"/>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r>
      <w:tr>
        <w:tblPrEx>
          <w:tblW w:w="9980" w:type="dxa"/>
          <w:jc w:val="center"/>
          <w:tblInd w:w="58"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l2br w:val="nil"/>
              <w:tr2bl w:val="nil"/>
            </w:tcBorders>
            <w:shd w:val="clear" w:color="auto" w:fill="C0C0C0"/>
            <w:noWrap/>
            <w:textDirection w:val="lrTb"/>
            <w:vAlign w:val="center"/>
          </w:tcPr>
          <w:p w:rsidR="00472216" w:rsidRPr="00B30F82" w:rsidP="00472216">
            <w:pPr>
              <w:jc w:val="both"/>
              <w:rPr>
                <w:rFonts w:ascii="Arial Narrow" w:hAnsi="Arial Narrow" w:cs="Arial"/>
                <w:b/>
                <w:bCs/>
                <w:sz w:val="20"/>
                <w:lang w:eastAsia="sk-SK"/>
              </w:rPr>
            </w:pPr>
            <w:r w:rsidRPr="00B30F82">
              <w:rPr>
                <w:rFonts w:ascii="Arial Narrow" w:hAnsi="Arial Narrow" w:cs="Arial"/>
                <w:b/>
                <w:bCs/>
                <w:sz w:val="20"/>
                <w:lang w:eastAsia="sk-SK"/>
              </w:rPr>
              <w:t>Plánované čerpanie prostriedkov z účtu</w:t>
            </w:r>
          </w:p>
        </w:tc>
        <w:tc>
          <w:tcPr>
            <w:tcW w:w="102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0</w:t>
            </w:r>
          </w:p>
        </w:tc>
        <w:tc>
          <w:tcPr>
            <w:tcW w:w="10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-637 323</w:t>
            </w:r>
          </w:p>
        </w:tc>
        <w:tc>
          <w:tcPr>
            <w:tcW w:w="102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-670 517</w:t>
            </w:r>
          </w:p>
        </w:tc>
        <w:tc>
          <w:tcPr>
            <w:tcW w:w="102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-567 616</w:t>
            </w:r>
          </w:p>
        </w:tc>
        <w:tc>
          <w:tcPr>
            <w:tcW w:w="10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-504 548</w:t>
            </w:r>
          </w:p>
        </w:tc>
        <w:tc>
          <w:tcPr>
            <w:tcW w:w="102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-446 259</w:t>
            </w:r>
          </w:p>
        </w:tc>
      </w:tr>
      <w:tr>
        <w:tblPrEx>
          <w:tblW w:w="9980" w:type="dxa"/>
          <w:jc w:val="center"/>
          <w:tblInd w:w="58" w:type="dxa"/>
          <w:tblCellMar>
            <w:left w:w="70" w:type="dxa"/>
            <w:right w:w="70" w:type="dxa"/>
          </w:tblCellMar>
        </w:tblPrEx>
        <w:trPr>
          <w:trHeight w:val="360"/>
          <w:jc w:val="center"/>
        </w:trPr>
        <w:tc>
          <w:tcPr>
            <w:tcW w:w="3860" w:type="dxa"/>
            <w:tcBorders>
              <w:top w:val="single" w:sz="4" w:space="0" w:color="auto"/>
              <w:left w:val="single" w:sz="4" w:space="0" w:color="auto"/>
              <w:bottom w:val="single" w:sz="4"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Prijatý transf</w:t>
            </w:r>
            <w:r>
              <w:rPr>
                <w:rFonts w:ascii="Arial Narrow" w:hAnsi="Arial Narrow" w:cs="Arial"/>
                <w:sz w:val="20"/>
                <w:lang w:eastAsia="sk-SK"/>
              </w:rPr>
              <w:t>e</w:t>
            </w:r>
            <w:r w:rsidRPr="00B30F82">
              <w:rPr>
                <w:rFonts w:ascii="Arial Narrow" w:hAnsi="Arial Narrow" w:cs="Arial"/>
                <w:sz w:val="20"/>
                <w:lang w:eastAsia="sk-SK"/>
              </w:rPr>
              <w:t>r na dôchodkovú reformu - vklad</w:t>
            </w:r>
          </w:p>
        </w:tc>
        <w:tc>
          <w:tcPr>
            <w:tcW w:w="102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34 220</w:t>
            </w:r>
          </w:p>
        </w:tc>
        <w:tc>
          <w:tcPr>
            <w:tcW w:w="1020" w:type="dxa"/>
            <w:tcBorders>
              <w:top w:val="single" w:sz="4" w:space="0" w:color="auto"/>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341 897</w:t>
            </w:r>
          </w:p>
        </w:tc>
        <w:tc>
          <w:tcPr>
            <w:tcW w:w="1020" w:type="dxa"/>
            <w:tcBorders>
              <w:top w:val="single" w:sz="4" w:space="0" w:color="auto"/>
              <w:left w:val="nil"/>
              <w:bottom w:val="single" w:sz="4"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w:t>
            </w:r>
          </w:p>
        </w:tc>
      </w:tr>
      <w:tr>
        <w:tblPrEx>
          <w:tblW w:w="9980" w:type="dxa"/>
          <w:jc w:val="center"/>
          <w:tblInd w:w="58" w:type="dxa"/>
          <w:tblCellMar>
            <w:left w:w="70" w:type="dxa"/>
            <w:right w:w="70" w:type="dxa"/>
          </w:tblCellMar>
        </w:tblPrEx>
        <w:trPr>
          <w:trHeight w:val="420"/>
          <w:jc w:val="center"/>
        </w:trPr>
        <w:tc>
          <w:tcPr>
            <w:tcW w:w="3860" w:type="dxa"/>
            <w:tcBorders>
              <w:top w:val="single" w:sz="4" w:space="0" w:color="auto"/>
              <w:left w:val="single" w:sz="8" w:space="0" w:color="auto"/>
              <w:bottom w:val="single" w:sz="8" w:space="0" w:color="auto"/>
              <w:right w:val="nil"/>
              <w:tl2br w:val="nil"/>
              <w:tr2bl w:val="nil"/>
            </w:tcBorders>
            <w:shd w:val="clear" w:color="auto" w:fill="C0C0C0"/>
            <w:noWrap/>
            <w:textDirection w:val="lrTb"/>
            <w:vAlign w:val="center"/>
          </w:tcPr>
          <w:p w:rsidR="00472216" w:rsidRPr="00B30F82" w:rsidP="00472216">
            <w:pPr>
              <w:jc w:val="both"/>
              <w:rPr>
                <w:rFonts w:ascii="Arial Narrow" w:hAnsi="Arial Narrow" w:cs="Arial"/>
                <w:b/>
                <w:bCs/>
                <w:sz w:val="20"/>
                <w:lang w:eastAsia="sk-SK"/>
              </w:rPr>
            </w:pPr>
            <w:r w:rsidRPr="00B30F82">
              <w:rPr>
                <w:rFonts w:ascii="Arial Narrow" w:hAnsi="Arial Narrow" w:cs="Arial"/>
                <w:b/>
                <w:bCs/>
                <w:sz w:val="20"/>
                <w:lang w:eastAsia="sk-SK"/>
              </w:rPr>
              <w:t>Stavy účtov k 31. 12. daného roka</w:t>
            </w:r>
          </w:p>
        </w:tc>
        <w:tc>
          <w:tcPr>
            <w:tcW w:w="1020" w:type="dxa"/>
            <w:tcBorders>
              <w:top w:val="single" w:sz="4"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2 330 522</w:t>
            </w:r>
          </w:p>
        </w:tc>
        <w:tc>
          <w:tcPr>
            <w:tcW w:w="1020" w:type="dxa"/>
            <w:tcBorders>
              <w:top w:val="single" w:sz="4"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1 847 042</w:t>
            </w:r>
          </w:p>
        </w:tc>
        <w:tc>
          <w:tcPr>
            <w:tcW w:w="1020" w:type="dxa"/>
            <w:tcBorders>
              <w:top w:val="single" w:sz="4"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1 518 423</w:t>
            </w:r>
          </w:p>
        </w:tc>
        <w:tc>
          <w:tcPr>
            <w:tcW w:w="1020" w:type="dxa"/>
            <w:tcBorders>
              <w:top w:val="single" w:sz="4"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950 807</w:t>
            </w:r>
          </w:p>
        </w:tc>
        <w:tc>
          <w:tcPr>
            <w:tcW w:w="1020" w:type="dxa"/>
            <w:tcBorders>
              <w:top w:val="single" w:sz="4"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446 259</w:t>
            </w:r>
          </w:p>
        </w:tc>
        <w:tc>
          <w:tcPr>
            <w:tcW w:w="1020" w:type="dxa"/>
            <w:tcBorders>
              <w:top w:val="single" w:sz="4"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B30F82" w:rsidP="00472216">
            <w:pPr>
              <w:jc w:val="right"/>
              <w:rPr>
                <w:rFonts w:ascii="Arial Narrow" w:hAnsi="Arial Narrow" w:cs="Arial"/>
                <w:b/>
                <w:bCs/>
                <w:sz w:val="20"/>
                <w:lang w:eastAsia="sk-SK"/>
              </w:rPr>
            </w:pPr>
            <w:r w:rsidRPr="00B30F82">
              <w:rPr>
                <w:rFonts w:ascii="Arial Narrow" w:hAnsi="Arial Narrow" w:cs="Arial"/>
                <w:b/>
                <w:bCs/>
                <w:sz w:val="20"/>
                <w:lang w:eastAsia="sk-SK"/>
              </w:rPr>
              <w:t>0</w:t>
            </w:r>
          </w:p>
        </w:tc>
      </w:tr>
      <w:tr>
        <w:tblPrEx>
          <w:tblW w:w="9980" w:type="dxa"/>
          <w:jc w:val="center"/>
          <w:tblInd w:w="58" w:type="dxa"/>
          <w:tblCellMar>
            <w:left w:w="70" w:type="dxa"/>
            <w:right w:w="70" w:type="dxa"/>
          </w:tblCellMar>
        </w:tblPrEx>
        <w:trPr>
          <w:trHeight w:val="300"/>
          <w:jc w:val="center"/>
        </w:trPr>
        <w:tc>
          <w:tcPr>
            <w:tcW w:w="3860" w:type="dxa"/>
            <w:tcBorders>
              <w:top w:val="nil"/>
              <w:left w:val="single" w:sz="8" w:space="0" w:color="auto"/>
              <w:bottom w:val="single" w:sz="8" w:space="0" w:color="auto"/>
              <w:right w:val="nil"/>
              <w:tl2br w:val="nil"/>
              <w:tr2bl w:val="nil"/>
            </w:tcBorders>
            <w:noWrap/>
            <w:textDirection w:val="lrTb"/>
            <w:vAlign w:val="center"/>
          </w:tcPr>
          <w:p w:rsidR="00472216" w:rsidRPr="00B30F82" w:rsidP="00472216">
            <w:pPr>
              <w:jc w:val="both"/>
              <w:rPr>
                <w:rFonts w:ascii="Arial Narrow" w:hAnsi="Arial Narrow" w:cs="Arial"/>
                <w:sz w:val="20"/>
                <w:lang w:eastAsia="sk-SK"/>
              </w:rPr>
            </w:pPr>
            <w:r w:rsidRPr="00B30F82">
              <w:rPr>
                <w:rFonts w:ascii="Arial Narrow" w:hAnsi="Arial Narrow" w:cs="Arial"/>
                <w:sz w:val="20"/>
                <w:lang w:eastAsia="sk-SK"/>
              </w:rPr>
              <w:t>priemerná úroková sadzba v %</w:t>
            </w:r>
          </w:p>
        </w:tc>
        <w:tc>
          <w:tcPr>
            <w:tcW w:w="1020" w:type="dxa"/>
            <w:tcBorders>
              <w:top w:val="nil"/>
              <w:left w:val="single" w:sz="8" w:space="0" w:color="auto"/>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3,3</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3,3</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0,0</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0,0</w:t>
            </w:r>
          </w:p>
        </w:tc>
        <w:tc>
          <w:tcPr>
            <w:tcW w:w="1020" w:type="dxa"/>
            <w:tcBorders>
              <w:top w:val="nil"/>
              <w:left w:val="nil"/>
              <w:bottom w:val="single" w:sz="8" w:space="0" w:color="auto"/>
              <w:right w:val="single" w:sz="4"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0,0</w:t>
            </w:r>
          </w:p>
        </w:tc>
        <w:tc>
          <w:tcPr>
            <w:tcW w:w="1020" w:type="dxa"/>
            <w:tcBorders>
              <w:top w:val="nil"/>
              <w:left w:val="nil"/>
              <w:bottom w:val="single" w:sz="8" w:space="0" w:color="auto"/>
              <w:right w:val="single" w:sz="8" w:space="0" w:color="auto"/>
              <w:tl2br w:val="nil"/>
              <w:tr2bl w:val="nil"/>
            </w:tcBorders>
            <w:noWrap/>
            <w:textDirection w:val="lrTb"/>
            <w:vAlign w:val="center"/>
          </w:tcPr>
          <w:p w:rsidR="00472216" w:rsidRPr="00B30F82" w:rsidP="00472216">
            <w:pPr>
              <w:jc w:val="right"/>
              <w:rPr>
                <w:rFonts w:ascii="Arial Narrow" w:hAnsi="Arial Narrow" w:cs="Arial"/>
                <w:sz w:val="20"/>
                <w:lang w:eastAsia="sk-SK"/>
              </w:rPr>
            </w:pPr>
            <w:r w:rsidRPr="00B30F82">
              <w:rPr>
                <w:rFonts w:ascii="Arial Narrow" w:hAnsi="Arial Narrow" w:cs="Arial"/>
                <w:sz w:val="20"/>
                <w:lang w:eastAsia="sk-SK"/>
              </w:rPr>
              <w:t>0,0</w:t>
            </w:r>
          </w:p>
        </w:tc>
      </w:tr>
    </w:tbl>
    <w:p w:rsidR="00472216" w:rsidP="00472216">
      <w:pPr>
        <w:pStyle w:val="BodyText"/>
        <w:spacing w:after="0"/>
        <w:jc w:val="both"/>
        <w:rPr>
          <w:rFonts w:ascii="Arial Narrow" w:hAnsi="Arial Narrow" w:cs="Arial Narrow"/>
          <w:sz w:val="22"/>
          <w:szCs w:val="22"/>
          <w:highlight w:val="yellow"/>
        </w:rPr>
      </w:pPr>
    </w:p>
    <w:p w:rsidR="00472216" w:rsidP="00472216">
      <w:pPr>
        <w:pStyle w:val="BodyText"/>
        <w:spacing w:after="0"/>
        <w:ind w:firstLine="709"/>
        <w:jc w:val="both"/>
        <w:rPr>
          <w:rFonts w:ascii="Arial Narrow" w:hAnsi="Arial Narrow" w:cs="Arial Narrow"/>
          <w:sz w:val="22"/>
          <w:szCs w:val="22"/>
        </w:rPr>
      </w:pPr>
      <w:r w:rsidRPr="00BD2E3F">
        <w:rPr>
          <w:rFonts w:ascii="Arial Narrow" w:hAnsi="Arial Narrow" w:cs="Arial Narrow"/>
          <w:sz w:val="22"/>
          <w:szCs w:val="22"/>
        </w:rPr>
        <w:t xml:space="preserve">Predbežne sa predpokladá, že </w:t>
      </w:r>
      <w:r>
        <w:rPr>
          <w:rFonts w:ascii="Arial Narrow" w:hAnsi="Arial Narrow" w:cs="Arial Narrow"/>
          <w:sz w:val="22"/>
          <w:szCs w:val="22"/>
        </w:rPr>
        <w:t>v druhom polroku</w:t>
      </w:r>
      <w:r w:rsidRPr="00BD2E3F">
        <w:rPr>
          <w:rFonts w:ascii="Arial Narrow" w:hAnsi="Arial Narrow" w:cs="Arial Narrow"/>
          <w:sz w:val="22"/>
          <w:szCs w:val="22"/>
        </w:rPr>
        <w:t xml:space="preserve"> 20</w:t>
      </w:r>
      <w:r>
        <w:rPr>
          <w:rFonts w:ascii="Arial Narrow" w:hAnsi="Arial Narrow" w:cs="Arial Narrow"/>
          <w:sz w:val="22"/>
          <w:szCs w:val="22"/>
        </w:rPr>
        <w:t>10</w:t>
      </w:r>
      <w:r w:rsidRPr="00BD2E3F">
        <w:rPr>
          <w:rFonts w:ascii="Arial Narrow" w:hAnsi="Arial Narrow" w:cs="Arial Narrow"/>
          <w:sz w:val="22"/>
          <w:szCs w:val="22"/>
        </w:rPr>
        <w:t xml:space="preserve"> </w:t>
      </w:r>
      <w:r>
        <w:rPr>
          <w:rFonts w:ascii="Arial Narrow" w:hAnsi="Arial Narrow" w:cs="Arial Narrow"/>
          <w:sz w:val="22"/>
          <w:szCs w:val="22"/>
        </w:rPr>
        <w:t xml:space="preserve">bude účet </w:t>
      </w:r>
      <w:r w:rsidRPr="006B3C13">
        <w:rPr>
          <w:rFonts w:ascii="Arial Narrow" w:hAnsi="Arial Narrow" w:cs="Times New Roman"/>
          <w:sz w:val="22"/>
          <w:szCs w:val="22"/>
        </w:rPr>
        <w:t>prostriedkov určených na financovanie transformačný</w:t>
      </w:r>
      <w:r>
        <w:rPr>
          <w:rFonts w:ascii="Arial Narrow" w:hAnsi="Arial Narrow" w:cs="Times New Roman"/>
          <w:sz w:val="22"/>
          <w:szCs w:val="22"/>
        </w:rPr>
        <w:t xml:space="preserve">ch nákladov dôchodkovej reformy vyčerpaný a preto </w:t>
      </w:r>
      <w:r w:rsidRPr="00BD2E3F">
        <w:rPr>
          <w:rFonts w:ascii="Arial Narrow" w:hAnsi="Arial Narrow" w:cs="Arial Narrow"/>
          <w:sz w:val="22"/>
          <w:szCs w:val="22"/>
        </w:rPr>
        <w:t xml:space="preserve">bude potrebné zabezpečiť </w:t>
      </w:r>
      <w:r>
        <w:rPr>
          <w:rFonts w:ascii="Arial Narrow" w:hAnsi="Arial Narrow" w:cs="Arial Narrow"/>
          <w:sz w:val="22"/>
          <w:szCs w:val="22"/>
        </w:rPr>
        <w:t xml:space="preserve">ďalšie </w:t>
      </w:r>
      <w:r w:rsidRPr="00BD2E3F">
        <w:rPr>
          <w:rFonts w:ascii="Arial Narrow" w:hAnsi="Arial Narrow" w:cs="Arial Narrow"/>
          <w:sz w:val="22"/>
          <w:szCs w:val="22"/>
        </w:rPr>
        <w:t>krytie výpadku príjmov Sociálnej poisťovne z titulu zavedenia II. piliera dôchodkového sporenia</w:t>
      </w:r>
      <w:r>
        <w:rPr>
          <w:rFonts w:ascii="Arial Narrow" w:hAnsi="Arial Narrow" w:cs="Arial Narrow"/>
          <w:sz w:val="22"/>
          <w:szCs w:val="22"/>
        </w:rPr>
        <w:t xml:space="preserve"> z prostriedkov štátneho </w:t>
      </w:r>
      <w:r w:rsidRPr="00270961">
        <w:rPr>
          <w:rFonts w:ascii="Arial Narrow" w:hAnsi="Arial Narrow" w:cs="Arial Narrow"/>
          <w:sz w:val="22"/>
          <w:szCs w:val="22"/>
        </w:rPr>
        <w:t xml:space="preserve">rozpočtu, a to vo výške 265,55 mil. </w:t>
      </w:r>
      <w:r>
        <w:rPr>
          <w:rFonts w:ascii="Arial Narrow" w:hAnsi="Arial Narrow" w:cs="Arial Narrow"/>
          <w:sz w:val="22"/>
          <w:szCs w:val="22"/>
        </w:rPr>
        <w:t>eur</w:t>
      </w:r>
      <w:r w:rsidRPr="00270961">
        <w:rPr>
          <w:rFonts w:ascii="Arial Narrow" w:hAnsi="Arial Narrow" w:cs="Arial Narrow"/>
          <w:sz w:val="22"/>
          <w:szCs w:val="22"/>
        </w:rPr>
        <w:t xml:space="preserve"> a od roku 2011 v plnej výške potrieb Sociálnej poisťovne, v súčasnosti</w:t>
      </w:r>
      <w:r>
        <w:rPr>
          <w:rFonts w:ascii="Arial Narrow" w:hAnsi="Arial Narrow" w:cs="Arial Narrow"/>
          <w:sz w:val="22"/>
          <w:szCs w:val="22"/>
        </w:rPr>
        <w:t xml:space="preserve"> predbežne vo výške 730,27</w:t>
      </w:r>
      <w:r w:rsidRPr="00270961">
        <w:rPr>
          <w:rFonts w:ascii="Arial Narrow" w:hAnsi="Arial Narrow" w:cs="Arial Narrow"/>
          <w:sz w:val="22"/>
          <w:szCs w:val="22"/>
        </w:rPr>
        <w:t xml:space="preserve"> mil. </w:t>
      </w:r>
      <w:r>
        <w:rPr>
          <w:rFonts w:ascii="Arial Narrow" w:hAnsi="Arial Narrow" w:cs="Arial Narrow"/>
          <w:sz w:val="22"/>
          <w:szCs w:val="22"/>
        </w:rPr>
        <w:t>eur</w:t>
      </w:r>
      <w:r w:rsidRPr="00270961">
        <w:rPr>
          <w:rFonts w:ascii="Arial Narrow" w:hAnsi="Arial Narrow" w:cs="Arial Narrow"/>
          <w:sz w:val="22"/>
          <w:szCs w:val="22"/>
        </w:rPr>
        <w:t>.</w:t>
      </w:r>
    </w:p>
    <w:p w:rsidR="00CF6728" w:rsidP="00472216">
      <w:pPr>
        <w:jc w:val="both"/>
        <w:rPr>
          <w:rFonts w:ascii="Arial Narrow" w:hAnsi="Arial Narrow" w:cs="Times New Roman"/>
          <w:sz w:val="22"/>
          <w:szCs w:val="22"/>
        </w:rPr>
      </w:pPr>
    </w:p>
    <w:p w:rsidR="00472216" w:rsidP="00472216">
      <w:pPr>
        <w:jc w:val="both"/>
        <w:rPr>
          <w:rFonts w:ascii="Arial Narrow" w:hAnsi="Arial Narrow" w:cs="Arial Narrow"/>
          <w:sz w:val="22"/>
          <w:szCs w:val="22"/>
        </w:rPr>
      </w:pPr>
      <w:r>
        <w:rPr>
          <w:rFonts w:ascii="Arial Narrow" w:hAnsi="Arial Narrow" w:cs="Times New Roman"/>
          <w:sz w:val="22"/>
          <w:szCs w:val="22"/>
        </w:rPr>
        <w:t>5.2.3.    Medzi finančné operácie na strane výdavkov štátnych finančných aktív sa zaraďuje aj poskytovanie úverov a pôžičiek, účasť na</w:t>
      </w:r>
      <w:r>
        <w:rPr>
          <w:rFonts w:ascii="Arial Narrow" w:hAnsi="Arial Narrow" w:cs="Arial Narrow"/>
          <w:sz w:val="22"/>
          <w:szCs w:val="22"/>
        </w:rPr>
        <w:t xml:space="preserve"> majetku a splácanie istiny. V jednotlivých rokoch rozpočtového rámca 2009 až 2011 sa rozpočtujú v nižšie uvedených objemoch.</w:t>
      </w:r>
    </w:p>
    <w:p w:rsidR="00472216" w:rsidP="00472216">
      <w:pPr>
        <w:jc w:val="both"/>
        <w:rPr>
          <w:rFonts w:ascii="Arial Narrow" w:hAnsi="Arial Narrow" w:cs="Arial Narrow"/>
          <w:sz w:val="22"/>
          <w:szCs w:val="22"/>
        </w:rPr>
      </w:pPr>
    </w:p>
    <w:tbl>
      <w:tblPr>
        <w:tblW w:w="9060" w:type="dxa"/>
        <w:jc w:val="center"/>
        <w:tblInd w:w="58" w:type="dxa"/>
        <w:tblCellMar>
          <w:left w:w="70" w:type="dxa"/>
          <w:right w:w="70" w:type="dxa"/>
        </w:tblCellMar>
      </w:tblPr>
      <w:tblGrid>
        <w:gridCol w:w="4580"/>
        <w:gridCol w:w="1120"/>
        <w:gridCol w:w="1120"/>
        <w:gridCol w:w="1120"/>
        <w:gridCol w:w="1120"/>
      </w:tblGrid>
      <w:tr>
        <w:tblPrEx>
          <w:tblW w:w="9060" w:type="dxa"/>
          <w:jc w:val="center"/>
          <w:tblInd w:w="58" w:type="dxa"/>
          <w:tblCellMar>
            <w:left w:w="70" w:type="dxa"/>
            <w:right w:w="70" w:type="dxa"/>
          </w:tblCellMar>
        </w:tblPrEx>
        <w:trPr>
          <w:trHeight w:val="540"/>
          <w:jc w:val="center"/>
        </w:trPr>
        <w:tc>
          <w:tcPr>
            <w:tcW w:w="4580" w:type="dxa"/>
            <w:tcBorders>
              <w:top w:val="single" w:sz="8" w:space="0" w:color="auto"/>
              <w:left w:val="single" w:sz="8" w:space="0" w:color="auto"/>
              <w:bottom w:val="single" w:sz="4" w:space="0" w:color="auto"/>
              <w:right w:val="single" w:sz="4" w:space="0" w:color="auto"/>
              <w:tl2br w:val="nil"/>
              <w:tr2bl w:val="nil"/>
            </w:tcBorders>
            <w:shd w:val="clear" w:color="auto" w:fill="000000"/>
            <w:textDirection w:val="lrTb"/>
            <w:vAlign w:val="top"/>
          </w:tcPr>
          <w:p w:rsidR="00472216" w:rsidRPr="008F0B3F" w:rsidP="00472216">
            <w:pPr>
              <w:rPr>
                <w:rFonts w:ascii="Arial Narrow" w:hAnsi="Arial Narrow" w:cs="Arial"/>
                <w:b/>
                <w:color w:val="FFFFFF"/>
                <w:sz w:val="20"/>
                <w:lang w:eastAsia="sk-SK"/>
              </w:rPr>
            </w:pPr>
            <w:r w:rsidRPr="008F0B3F">
              <w:rPr>
                <w:rFonts w:ascii="Arial Narrow" w:hAnsi="Arial Narrow" w:cs="Arial"/>
                <w:b/>
                <w:color w:val="FFFFFF"/>
                <w:sz w:val="20"/>
                <w:lang w:eastAsia="sk-SK"/>
              </w:rPr>
              <w:t>(v tis. eur)</w:t>
            </w:r>
          </w:p>
        </w:tc>
        <w:tc>
          <w:tcPr>
            <w:tcW w:w="1120"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472216" w:rsidRPr="00FC18B8" w:rsidP="00472216">
            <w:pPr>
              <w:jc w:val="center"/>
              <w:rPr>
                <w:rFonts w:ascii="Arial Narrow" w:hAnsi="Arial Narrow" w:cs="Arial"/>
                <w:b/>
                <w:bCs/>
                <w:color w:val="FFFFFF"/>
                <w:sz w:val="20"/>
                <w:lang w:eastAsia="sk-SK"/>
              </w:rPr>
            </w:pPr>
            <w:r w:rsidRPr="00FC18B8">
              <w:rPr>
                <w:rFonts w:ascii="Arial Narrow" w:hAnsi="Arial Narrow" w:cs="Arial"/>
                <w:b/>
                <w:bCs/>
                <w:color w:val="FFFFFF"/>
                <w:sz w:val="20"/>
                <w:lang w:eastAsia="sk-SK"/>
              </w:rPr>
              <w:t>2008</w:t>
            </w:r>
          </w:p>
        </w:tc>
        <w:tc>
          <w:tcPr>
            <w:tcW w:w="1120"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472216" w:rsidRPr="00FC18B8" w:rsidP="00472216">
            <w:pPr>
              <w:jc w:val="center"/>
              <w:rPr>
                <w:rFonts w:ascii="Arial Narrow" w:hAnsi="Arial Narrow" w:cs="Arial"/>
                <w:b/>
                <w:bCs/>
                <w:color w:val="FFFFFF"/>
                <w:sz w:val="20"/>
                <w:lang w:eastAsia="sk-SK"/>
              </w:rPr>
            </w:pPr>
            <w:r w:rsidRPr="00FC18B8">
              <w:rPr>
                <w:rFonts w:ascii="Arial Narrow" w:hAnsi="Arial Narrow" w:cs="Arial"/>
                <w:b/>
                <w:bCs/>
                <w:color w:val="FFFFFF"/>
                <w:sz w:val="20"/>
                <w:lang w:eastAsia="sk-SK"/>
              </w:rPr>
              <w:t>2009</w:t>
            </w:r>
          </w:p>
        </w:tc>
        <w:tc>
          <w:tcPr>
            <w:tcW w:w="1120" w:type="dxa"/>
            <w:tcBorders>
              <w:top w:val="single" w:sz="8" w:space="0" w:color="auto"/>
              <w:left w:val="nil"/>
              <w:bottom w:val="single" w:sz="4" w:space="0" w:color="auto"/>
              <w:right w:val="single" w:sz="4" w:space="0" w:color="auto"/>
              <w:tl2br w:val="nil"/>
              <w:tr2bl w:val="nil"/>
            </w:tcBorders>
            <w:shd w:val="clear" w:color="auto" w:fill="000000"/>
            <w:textDirection w:val="lrTb"/>
            <w:vAlign w:val="center"/>
          </w:tcPr>
          <w:p w:rsidR="00472216" w:rsidRPr="00FC18B8" w:rsidP="00472216">
            <w:pPr>
              <w:jc w:val="center"/>
              <w:rPr>
                <w:rFonts w:ascii="Arial Narrow" w:hAnsi="Arial Narrow" w:cs="Arial"/>
                <w:b/>
                <w:bCs/>
                <w:color w:val="FFFFFF"/>
                <w:sz w:val="20"/>
                <w:lang w:eastAsia="sk-SK"/>
              </w:rPr>
            </w:pPr>
            <w:r w:rsidRPr="00FC18B8">
              <w:rPr>
                <w:rFonts w:ascii="Arial Narrow" w:hAnsi="Arial Narrow" w:cs="Arial"/>
                <w:b/>
                <w:bCs/>
                <w:color w:val="FFFFFF"/>
                <w:sz w:val="20"/>
                <w:lang w:eastAsia="sk-SK"/>
              </w:rPr>
              <w:t>2010</w:t>
            </w:r>
          </w:p>
        </w:tc>
        <w:tc>
          <w:tcPr>
            <w:tcW w:w="1120" w:type="dxa"/>
            <w:tcBorders>
              <w:top w:val="single" w:sz="8" w:space="0" w:color="auto"/>
              <w:left w:val="nil"/>
              <w:bottom w:val="single" w:sz="4" w:space="0" w:color="auto"/>
              <w:right w:val="single" w:sz="8" w:space="0" w:color="auto"/>
              <w:tl2br w:val="nil"/>
              <w:tr2bl w:val="nil"/>
            </w:tcBorders>
            <w:shd w:val="clear" w:color="auto" w:fill="000000"/>
            <w:textDirection w:val="lrTb"/>
            <w:vAlign w:val="center"/>
          </w:tcPr>
          <w:p w:rsidR="00472216" w:rsidRPr="00FC18B8" w:rsidP="00472216">
            <w:pPr>
              <w:jc w:val="center"/>
              <w:rPr>
                <w:rFonts w:ascii="Arial Narrow" w:hAnsi="Arial Narrow" w:cs="Arial"/>
                <w:b/>
                <w:bCs/>
                <w:color w:val="FFFFFF"/>
                <w:sz w:val="20"/>
                <w:lang w:eastAsia="sk-SK"/>
              </w:rPr>
            </w:pPr>
            <w:r w:rsidRPr="00FC18B8">
              <w:rPr>
                <w:rFonts w:ascii="Arial Narrow" w:hAnsi="Arial Narrow" w:cs="Arial"/>
                <w:b/>
                <w:bCs/>
                <w:color w:val="FFFFFF"/>
                <w:sz w:val="20"/>
                <w:lang w:eastAsia="sk-SK"/>
              </w:rPr>
              <w:t>2011</w:t>
            </w:r>
          </w:p>
        </w:tc>
      </w:tr>
      <w:tr>
        <w:tblPrEx>
          <w:tblW w:w="9060" w:type="dxa"/>
          <w:jc w:val="center"/>
          <w:tblInd w:w="58" w:type="dxa"/>
          <w:tblCellMar>
            <w:left w:w="70" w:type="dxa"/>
            <w:right w:w="70" w:type="dxa"/>
          </w:tblCellMar>
        </w:tblPrEx>
        <w:trPr>
          <w:trHeight w:val="480"/>
          <w:jc w:val="center"/>
        </w:trPr>
        <w:tc>
          <w:tcPr>
            <w:tcW w:w="4580" w:type="dxa"/>
            <w:tcBorders>
              <w:top w:val="nil"/>
              <w:left w:val="single" w:sz="8" w:space="0" w:color="auto"/>
              <w:bottom w:val="single" w:sz="4" w:space="0" w:color="auto"/>
              <w:right w:val="single" w:sz="4" w:space="0" w:color="auto"/>
              <w:tl2br w:val="nil"/>
              <w:tr2bl w:val="nil"/>
            </w:tcBorders>
            <w:textDirection w:val="lrTb"/>
            <w:vAlign w:val="center"/>
          </w:tcPr>
          <w:p w:rsidR="00472216" w:rsidRPr="00FC18B8" w:rsidP="00472216">
            <w:pPr>
              <w:rPr>
                <w:rFonts w:ascii="Arial Narrow" w:hAnsi="Arial Narrow" w:cs="Arial"/>
                <w:b/>
                <w:bCs/>
                <w:sz w:val="20"/>
                <w:lang w:eastAsia="sk-SK"/>
              </w:rPr>
            </w:pPr>
            <w:r w:rsidRPr="00FC18B8">
              <w:rPr>
                <w:rFonts w:ascii="Arial Narrow" w:hAnsi="Arial Narrow" w:cs="Arial"/>
                <w:b/>
                <w:bCs/>
                <w:sz w:val="20"/>
                <w:lang w:eastAsia="sk-SK"/>
              </w:rPr>
              <w:t xml:space="preserve">IDA* </w:t>
            </w:r>
            <w:r w:rsidRPr="00FC18B8">
              <w:rPr>
                <w:rFonts w:ascii="Arial Narrow" w:hAnsi="Arial Narrow" w:cs="Arial"/>
                <w:sz w:val="20"/>
                <w:lang w:eastAsia="sk-SK"/>
              </w:rPr>
              <w:t>- Medzinárodné združenie pre rozvoj; rezerva na doplnenie zdrojov</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1 162</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996</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996</w:t>
            </w:r>
          </w:p>
        </w:tc>
        <w:tc>
          <w:tcPr>
            <w:tcW w:w="1120" w:type="dxa"/>
            <w:tcBorders>
              <w:top w:val="nil"/>
              <w:left w:val="nil"/>
              <w:bottom w:val="single" w:sz="4" w:space="0" w:color="auto"/>
              <w:right w:val="single" w:sz="8"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996</w:t>
            </w:r>
          </w:p>
        </w:tc>
      </w:tr>
      <w:tr>
        <w:tblPrEx>
          <w:tblW w:w="9060" w:type="dxa"/>
          <w:jc w:val="center"/>
          <w:tblInd w:w="58" w:type="dxa"/>
          <w:tblCellMar>
            <w:left w:w="70" w:type="dxa"/>
            <w:right w:w="70" w:type="dxa"/>
          </w:tblCellMar>
        </w:tblPrEx>
        <w:trPr>
          <w:trHeight w:val="1020"/>
          <w:jc w:val="center"/>
        </w:trPr>
        <w:tc>
          <w:tcPr>
            <w:tcW w:w="4580" w:type="dxa"/>
            <w:tcBorders>
              <w:top w:val="nil"/>
              <w:left w:val="single" w:sz="8" w:space="0" w:color="auto"/>
              <w:bottom w:val="single" w:sz="4" w:space="0" w:color="auto"/>
              <w:right w:val="single" w:sz="4" w:space="0" w:color="auto"/>
              <w:tl2br w:val="nil"/>
              <w:tr2bl w:val="nil"/>
            </w:tcBorders>
            <w:textDirection w:val="lrTb"/>
            <w:vAlign w:val="center"/>
          </w:tcPr>
          <w:p w:rsidR="00472216" w:rsidRPr="00FC18B8" w:rsidP="00472216">
            <w:pPr>
              <w:rPr>
                <w:rFonts w:ascii="Arial Narrow" w:hAnsi="Arial Narrow" w:cs="Arial"/>
                <w:b/>
                <w:bCs/>
                <w:sz w:val="20"/>
                <w:lang w:eastAsia="sk-SK"/>
              </w:rPr>
            </w:pPr>
            <w:r w:rsidRPr="00FC18B8">
              <w:rPr>
                <w:rFonts w:ascii="Arial Narrow" w:hAnsi="Arial Narrow" w:cs="Arial"/>
                <w:b/>
                <w:bCs/>
                <w:sz w:val="20"/>
                <w:lang w:eastAsia="sk-SK"/>
              </w:rPr>
              <w:t xml:space="preserve">IBRD* </w:t>
            </w:r>
            <w:r w:rsidRPr="00FC18B8">
              <w:rPr>
                <w:rFonts w:ascii="Arial Narrow" w:hAnsi="Arial Narrow" w:cs="Arial"/>
                <w:sz w:val="20"/>
                <w:lang w:eastAsia="sk-SK"/>
              </w:rPr>
              <w:t>+</w:t>
            </w:r>
            <w:r w:rsidRPr="00FC18B8">
              <w:rPr>
                <w:rFonts w:ascii="Arial Narrow" w:hAnsi="Arial Narrow" w:cs="Arial"/>
                <w:b/>
                <w:bCs/>
                <w:sz w:val="20"/>
                <w:lang w:eastAsia="sk-SK"/>
              </w:rPr>
              <w:t xml:space="preserve"> MIGA* </w:t>
            </w:r>
            <w:r w:rsidRPr="00FC18B8">
              <w:rPr>
                <w:rFonts w:ascii="Arial Narrow" w:hAnsi="Arial Narrow" w:cs="Arial"/>
                <w:sz w:val="20"/>
                <w:lang w:eastAsia="sk-SK"/>
              </w:rPr>
              <w:t>- Medzinárodná banka pre obnovu a rozvoj, Mnohostranná agentúra pre investičné záruky, rezerva na valorizáciu akcií SR a rezerva splatná na požiadanie v rámci zvýšeného základného kapitálu</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166</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166</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332</w:t>
            </w:r>
          </w:p>
        </w:tc>
        <w:tc>
          <w:tcPr>
            <w:tcW w:w="1120" w:type="dxa"/>
            <w:tcBorders>
              <w:top w:val="nil"/>
              <w:left w:val="nil"/>
              <w:bottom w:val="single" w:sz="4" w:space="0" w:color="auto"/>
              <w:right w:val="single" w:sz="8"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332</w:t>
            </w:r>
          </w:p>
        </w:tc>
      </w:tr>
      <w:tr>
        <w:tblPrEx>
          <w:tblW w:w="9060" w:type="dxa"/>
          <w:jc w:val="center"/>
          <w:tblInd w:w="58" w:type="dxa"/>
          <w:tblCellMar>
            <w:left w:w="70" w:type="dxa"/>
            <w:right w:w="70" w:type="dxa"/>
          </w:tblCellMar>
        </w:tblPrEx>
        <w:trPr>
          <w:trHeight w:val="480"/>
          <w:jc w:val="center"/>
        </w:trPr>
        <w:tc>
          <w:tcPr>
            <w:tcW w:w="4580" w:type="dxa"/>
            <w:tcBorders>
              <w:top w:val="nil"/>
              <w:left w:val="single" w:sz="8" w:space="0" w:color="auto"/>
              <w:bottom w:val="single" w:sz="4" w:space="0" w:color="auto"/>
              <w:right w:val="single" w:sz="4" w:space="0" w:color="auto"/>
              <w:tl2br w:val="nil"/>
              <w:tr2bl w:val="nil"/>
            </w:tcBorders>
            <w:textDirection w:val="lrTb"/>
            <w:vAlign w:val="center"/>
          </w:tcPr>
          <w:p w:rsidR="00472216" w:rsidRPr="00FC18B8" w:rsidP="00472216">
            <w:pPr>
              <w:rPr>
                <w:rFonts w:ascii="Arial Narrow" w:hAnsi="Arial Narrow" w:cs="Arial"/>
                <w:b/>
                <w:bCs/>
                <w:sz w:val="20"/>
                <w:lang w:eastAsia="sk-SK"/>
              </w:rPr>
            </w:pPr>
            <w:r w:rsidRPr="00FC18B8">
              <w:rPr>
                <w:rFonts w:ascii="Arial Narrow" w:hAnsi="Arial Narrow" w:cs="Arial"/>
                <w:b/>
                <w:bCs/>
                <w:sz w:val="20"/>
                <w:lang w:eastAsia="sk-SK"/>
              </w:rPr>
              <w:t xml:space="preserve">EIB </w:t>
            </w:r>
            <w:r w:rsidRPr="00FC18B8">
              <w:rPr>
                <w:rFonts w:ascii="Arial Narrow" w:hAnsi="Arial Narrow" w:cs="Arial"/>
                <w:sz w:val="20"/>
                <w:lang w:eastAsia="sk-SK"/>
              </w:rPr>
              <w:t>- Európska investičná banka; splatný kapitál a rezervný fond</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23 966</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9 500</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12 000</w:t>
            </w:r>
          </w:p>
        </w:tc>
        <w:tc>
          <w:tcPr>
            <w:tcW w:w="1120" w:type="dxa"/>
            <w:tcBorders>
              <w:top w:val="nil"/>
              <w:left w:val="nil"/>
              <w:bottom w:val="single" w:sz="4" w:space="0" w:color="auto"/>
              <w:right w:val="single" w:sz="8"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13 500</w:t>
            </w:r>
          </w:p>
        </w:tc>
      </w:tr>
      <w:tr>
        <w:tblPrEx>
          <w:tblW w:w="9060" w:type="dxa"/>
          <w:jc w:val="center"/>
          <w:tblInd w:w="58" w:type="dxa"/>
          <w:tblCellMar>
            <w:left w:w="70" w:type="dxa"/>
            <w:right w:w="70" w:type="dxa"/>
          </w:tblCellMar>
        </w:tblPrEx>
        <w:trPr>
          <w:trHeight w:val="480"/>
          <w:jc w:val="center"/>
        </w:trPr>
        <w:tc>
          <w:tcPr>
            <w:tcW w:w="4580" w:type="dxa"/>
            <w:tcBorders>
              <w:top w:val="nil"/>
              <w:left w:val="single" w:sz="8" w:space="0" w:color="auto"/>
              <w:bottom w:val="single" w:sz="4" w:space="0" w:color="auto"/>
              <w:right w:val="single" w:sz="4" w:space="0" w:color="auto"/>
              <w:tl2br w:val="nil"/>
              <w:tr2bl w:val="nil"/>
            </w:tcBorders>
            <w:textDirection w:val="lrTb"/>
            <w:vAlign w:val="center"/>
          </w:tcPr>
          <w:p w:rsidR="00472216" w:rsidRPr="00FC18B8" w:rsidP="00472216">
            <w:pPr>
              <w:rPr>
                <w:rFonts w:ascii="Arial Narrow" w:hAnsi="Arial Narrow" w:cs="Arial"/>
                <w:b/>
                <w:bCs/>
                <w:sz w:val="20"/>
                <w:lang w:eastAsia="sk-SK"/>
              </w:rPr>
            </w:pPr>
            <w:r w:rsidRPr="00FC18B8">
              <w:rPr>
                <w:rFonts w:ascii="Arial Narrow" w:hAnsi="Arial Narrow" w:cs="Arial"/>
                <w:b/>
                <w:bCs/>
                <w:sz w:val="20"/>
                <w:lang w:eastAsia="sk-SK"/>
              </w:rPr>
              <w:t xml:space="preserve">EIB </w:t>
            </w:r>
            <w:r w:rsidRPr="00FC18B8">
              <w:rPr>
                <w:rFonts w:ascii="Arial Narrow" w:hAnsi="Arial Narrow" w:cs="Arial"/>
                <w:sz w:val="20"/>
                <w:lang w:eastAsia="sk-SK"/>
              </w:rPr>
              <w:t>- Európska investičná banka; poskytnutie záruky SR v prospech EIB na základe záručnej zmluvy</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0</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50</w:t>
            </w:r>
          </w:p>
        </w:tc>
        <w:tc>
          <w:tcPr>
            <w:tcW w:w="1120" w:type="dxa"/>
            <w:tcBorders>
              <w:top w:val="nil"/>
              <w:left w:val="nil"/>
              <w:bottom w:val="single" w:sz="4" w:space="0" w:color="auto"/>
              <w:right w:val="single" w:sz="4"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110</w:t>
            </w:r>
          </w:p>
        </w:tc>
        <w:tc>
          <w:tcPr>
            <w:tcW w:w="1120" w:type="dxa"/>
            <w:tcBorders>
              <w:top w:val="nil"/>
              <w:left w:val="nil"/>
              <w:bottom w:val="single" w:sz="4" w:space="0" w:color="auto"/>
              <w:right w:val="single" w:sz="8" w:space="0" w:color="auto"/>
              <w:tl2br w:val="nil"/>
              <w:tr2bl w:val="nil"/>
            </w:tcBorders>
            <w:textDirection w:val="lrTb"/>
            <w:vAlign w:val="center"/>
          </w:tcPr>
          <w:p w:rsidR="00472216" w:rsidRPr="00FC18B8" w:rsidP="00472216">
            <w:pPr>
              <w:jc w:val="right"/>
              <w:rPr>
                <w:rFonts w:ascii="Arial Narrow" w:hAnsi="Arial Narrow" w:cs="Arial"/>
                <w:sz w:val="20"/>
                <w:lang w:eastAsia="sk-SK"/>
              </w:rPr>
            </w:pPr>
            <w:r w:rsidRPr="00FC18B8">
              <w:rPr>
                <w:rFonts w:ascii="Arial Narrow" w:hAnsi="Arial Narrow" w:cs="Arial"/>
                <w:sz w:val="20"/>
                <w:lang w:eastAsia="sk-SK"/>
              </w:rPr>
              <w:t>186</w:t>
            </w:r>
          </w:p>
        </w:tc>
      </w:tr>
      <w:tr>
        <w:tblPrEx>
          <w:tblW w:w="9060" w:type="dxa"/>
          <w:jc w:val="center"/>
          <w:tblInd w:w="58" w:type="dxa"/>
          <w:tblCellMar>
            <w:left w:w="70" w:type="dxa"/>
            <w:right w:w="70" w:type="dxa"/>
          </w:tblCellMar>
        </w:tblPrEx>
        <w:trPr>
          <w:trHeight w:val="540"/>
          <w:jc w:val="center"/>
        </w:trPr>
        <w:tc>
          <w:tcPr>
            <w:tcW w:w="4580" w:type="dxa"/>
            <w:tcBorders>
              <w:top w:val="nil"/>
              <w:left w:val="single" w:sz="8" w:space="0" w:color="auto"/>
              <w:bottom w:val="single" w:sz="8" w:space="0" w:color="auto"/>
              <w:right w:val="single" w:sz="4" w:space="0" w:color="auto"/>
              <w:tl2br w:val="nil"/>
              <w:tr2bl w:val="nil"/>
            </w:tcBorders>
            <w:shd w:val="clear" w:color="auto" w:fill="C0C0C0"/>
            <w:textDirection w:val="lrTb"/>
            <w:vAlign w:val="center"/>
          </w:tcPr>
          <w:p w:rsidR="00472216" w:rsidRPr="00FC18B8" w:rsidP="00472216">
            <w:pPr>
              <w:rPr>
                <w:rFonts w:ascii="Arial Narrow" w:hAnsi="Arial Narrow" w:cs="Arial"/>
                <w:b/>
                <w:bCs/>
                <w:sz w:val="20"/>
                <w:lang w:eastAsia="sk-SK"/>
              </w:rPr>
            </w:pPr>
            <w:r w:rsidRPr="00FC18B8">
              <w:rPr>
                <w:rFonts w:ascii="Arial Narrow" w:hAnsi="Arial Narrow" w:cs="Arial"/>
                <w:b/>
                <w:bCs/>
                <w:sz w:val="20"/>
                <w:lang w:eastAsia="sk-SK"/>
              </w:rPr>
              <w:t>SPOLU</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FC18B8" w:rsidP="00472216">
            <w:pPr>
              <w:jc w:val="right"/>
              <w:rPr>
                <w:rFonts w:ascii="Arial Narrow" w:hAnsi="Arial Narrow" w:cs="Arial"/>
                <w:b/>
                <w:bCs/>
                <w:sz w:val="20"/>
                <w:lang w:eastAsia="sk-SK"/>
              </w:rPr>
            </w:pPr>
            <w:r w:rsidRPr="00FC18B8">
              <w:rPr>
                <w:rFonts w:ascii="Arial Narrow" w:hAnsi="Arial Narrow" w:cs="Arial"/>
                <w:b/>
                <w:bCs/>
                <w:sz w:val="20"/>
                <w:lang w:eastAsia="sk-SK"/>
              </w:rPr>
              <w:t>25 294</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FC18B8" w:rsidP="00472216">
            <w:pPr>
              <w:jc w:val="right"/>
              <w:rPr>
                <w:rFonts w:ascii="Arial Narrow" w:hAnsi="Arial Narrow" w:cs="Arial"/>
                <w:b/>
                <w:bCs/>
                <w:sz w:val="20"/>
                <w:lang w:eastAsia="sk-SK"/>
              </w:rPr>
            </w:pPr>
            <w:r w:rsidRPr="00FC18B8">
              <w:rPr>
                <w:rFonts w:ascii="Arial Narrow" w:hAnsi="Arial Narrow" w:cs="Arial"/>
                <w:b/>
                <w:bCs/>
                <w:sz w:val="20"/>
                <w:lang w:eastAsia="sk-SK"/>
              </w:rPr>
              <w:t>10 712</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FC18B8" w:rsidP="00472216">
            <w:pPr>
              <w:jc w:val="right"/>
              <w:rPr>
                <w:rFonts w:ascii="Arial Narrow" w:hAnsi="Arial Narrow" w:cs="Arial"/>
                <w:b/>
                <w:bCs/>
                <w:sz w:val="20"/>
                <w:lang w:eastAsia="sk-SK"/>
              </w:rPr>
            </w:pPr>
            <w:r w:rsidRPr="00FC18B8">
              <w:rPr>
                <w:rFonts w:ascii="Arial Narrow" w:hAnsi="Arial Narrow" w:cs="Arial"/>
                <w:b/>
                <w:bCs/>
                <w:sz w:val="20"/>
                <w:lang w:eastAsia="sk-SK"/>
              </w:rPr>
              <w:t>13 437</w:t>
            </w:r>
          </w:p>
        </w:tc>
        <w:tc>
          <w:tcPr>
            <w:tcW w:w="11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FC18B8" w:rsidP="00472216">
            <w:pPr>
              <w:jc w:val="right"/>
              <w:rPr>
                <w:rFonts w:ascii="Arial Narrow" w:hAnsi="Arial Narrow" w:cs="Arial"/>
                <w:b/>
                <w:bCs/>
                <w:sz w:val="20"/>
                <w:lang w:eastAsia="sk-SK"/>
              </w:rPr>
            </w:pPr>
            <w:r w:rsidRPr="00FC18B8">
              <w:rPr>
                <w:rFonts w:ascii="Arial Narrow" w:hAnsi="Arial Narrow" w:cs="Arial"/>
                <w:b/>
                <w:bCs/>
                <w:sz w:val="20"/>
                <w:lang w:eastAsia="sk-SK"/>
              </w:rPr>
              <w:t>15 014</w:t>
            </w:r>
          </w:p>
        </w:tc>
      </w:tr>
      <w:tr>
        <w:tblPrEx>
          <w:tblW w:w="9060" w:type="dxa"/>
          <w:jc w:val="center"/>
          <w:tblInd w:w="58" w:type="dxa"/>
          <w:tblCellMar>
            <w:left w:w="70" w:type="dxa"/>
            <w:right w:w="70" w:type="dxa"/>
          </w:tblCellMar>
        </w:tblPrEx>
        <w:trPr>
          <w:trHeight w:val="270"/>
          <w:jc w:val="center"/>
        </w:trPr>
        <w:tc>
          <w:tcPr>
            <w:tcW w:w="9060" w:type="dxa"/>
            <w:gridSpan w:val="5"/>
            <w:tcBorders>
              <w:top w:val="nil"/>
              <w:left w:val="nil"/>
              <w:bottom w:val="nil"/>
              <w:right w:val="nil"/>
              <w:tl2br w:val="nil"/>
              <w:tr2bl w:val="nil"/>
            </w:tcBorders>
            <w:textDirection w:val="lrTb"/>
            <w:vAlign w:val="center"/>
          </w:tcPr>
          <w:p w:rsidR="00472216" w:rsidRPr="00FC18B8" w:rsidP="00472216">
            <w:pPr>
              <w:rPr>
                <w:rFonts w:ascii="Arial Narrow" w:hAnsi="Arial Narrow" w:cs="Arial"/>
                <w:sz w:val="20"/>
                <w:lang w:eastAsia="sk-SK"/>
              </w:rPr>
            </w:pPr>
            <w:r w:rsidRPr="00FC18B8">
              <w:rPr>
                <w:rFonts w:ascii="Arial Narrow" w:hAnsi="Arial Narrow" w:cs="Arial"/>
                <w:sz w:val="20"/>
                <w:lang w:eastAsia="sk-SK"/>
              </w:rPr>
              <w:t>*-oficiálna rozvojová pomoc</w:t>
            </w:r>
          </w:p>
        </w:tc>
      </w:tr>
    </w:tbl>
    <w:p w:rsidR="00472216" w:rsidP="00472216">
      <w:pPr>
        <w:pStyle w:val="BodyText"/>
        <w:spacing w:after="0"/>
        <w:ind w:left="540" w:hanging="540"/>
        <w:jc w:val="both"/>
        <w:outlineLvl w:val="0"/>
        <w:rPr>
          <w:rFonts w:ascii="Arial Narrow" w:hAnsi="Arial Narrow" w:cs="Arial Narrow"/>
          <w:sz w:val="22"/>
          <w:szCs w:val="22"/>
        </w:rPr>
      </w:pPr>
    </w:p>
    <w:p w:rsidR="00472216" w:rsidRPr="003F1CFD" w:rsidP="00472216">
      <w:pPr>
        <w:ind w:firstLine="708"/>
        <w:jc w:val="both"/>
        <w:rPr>
          <w:rFonts w:ascii="Arial Narrow" w:hAnsi="Arial Narrow" w:cs="Arial Narrow"/>
          <w:sz w:val="22"/>
          <w:szCs w:val="22"/>
        </w:rPr>
      </w:pPr>
      <w:r w:rsidRPr="00270961">
        <w:rPr>
          <w:rFonts w:ascii="Arial Narrow" w:hAnsi="Arial Narrow" w:cs="Arial Narrow"/>
          <w:sz w:val="22"/>
          <w:szCs w:val="22"/>
        </w:rPr>
        <w:t xml:space="preserve">Pristúpením SR k 15. navýšeniu zdrojov IDA budú poskytnuté prostriedky vo výške 2,34 mil. </w:t>
      </w:r>
      <w:r>
        <w:rPr>
          <w:rFonts w:ascii="Arial Narrow" w:hAnsi="Arial Narrow" w:cs="Arial Narrow"/>
          <w:sz w:val="22"/>
          <w:szCs w:val="22"/>
        </w:rPr>
        <w:t>eur</w:t>
      </w:r>
      <w:r w:rsidRPr="00270961">
        <w:rPr>
          <w:rFonts w:ascii="Arial Narrow" w:hAnsi="Arial Narrow" w:cs="Arial Narrow"/>
          <w:sz w:val="22"/>
          <w:szCs w:val="22"/>
        </w:rPr>
        <w:t xml:space="preserve"> v troch</w:t>
      </w:r>
      <w:r>
        <w:rPr>
          <w:rFonts w:ascii="Arial Narrow" w:hAnsi="Arial Narrow" w:cs="Arial Narrow"/>
          <w:sz w:val="22"/>
          <w:szCs w:val="22"/>
        </w:rPr>
        <w:t xml:space="preserve"> splátkach, a to v roku 2009, 2010 a </w:t>
      </w:r>
      <w:r w:rsidRPr="003F1CFD">
        <w:rPr>
          <w:rFonts w:ascii="Arial Narrow" w:hAnsi="Arial Narrow" w:cs="Arial Narrow"/>
          <w:sz w:val="22"/>
          <w:szCs w:val="22"/>
        </w:rPr>
        <w:t xml:space="preserve">2011. </w:t>
      </w:r>
      <w:r>
        <w:rPr>
          <w:rFonts w:ascii="Arial Narrow" w:hAnsi="Arial Narrow" w:cs="Arial Narrow"/>
          <w:sz w:val="22"/>
          <w:szCs w:val="22"/>
        </w:rPr>
        <w:t>Pristúpením</w:t>
      </w:r>
      <w:r w:rsidRPr="003F1CFD">
        <w:rPr>
          <w:rFonts w:ascii="Arial Narrow" w:hAnsi="Arial Narrow" w:cs="Arial Narrow"/>
          <w:sz w:val="22"/>
          <w:szCs w:val="22"/>
        </w:rPr>
        <w:t xml:space="preserve"> SR k financovaniu Iniciatívy pre multilaterálne odpustenie </w:t>
      </w:r>
      <w:r w:rsidRPr="00270961">
        <w:rPr>
          <w:rFonts w:ascii="Arial Narrow" w:hAnsi="Arial Narrow" w:cs="Arial Narrow"/>
          <w:sz w:val="22"/>
          <w:szCs w:val="22"/>
        </w:rPr>
        <w:t xml:space="preserve">dlhov v rámci Medzinárodného združenia pre rozvoj sa očakávajú výdavky v celkovej sume 113,5 tis. </w:t>
      </w:r>
      <w:r>
        <w:rPr>
          <w:rFonts w:ascii="Arial Narrow" w:hAnsi="Arial Narrow" w:cs="Arial Narrow"/>
          <w:sz w:val="22"/>
          <w:szCs w:val="22"/>
        </w:rPr>
        <w:t>eur</w:t>
      </w:r>
      <w:r w:rsidRPr="00270961">
        <w:rPr>
          <w:rFonts w:ascii="Arial Narrow" w:hAnsi="Arial Narrow" w:cs="Arial Narrow"/>
          <w:sz w:val="22"/>
          <w:szCs w:val="22"/>
        </w:rPr>
        <w:t xml:space="preserve">. Príspevok je splatný v troch splátkach v roku 2009 vo výške 33,2 tis. </w:t>
      </w:r>
      <w:r>
        <w:rPr>
          <w:rFonts w:ascii="Arial Narrow" w:hAnsi="Arial Narrow" w:cs="Arial Narrow"/>
          <w:sz w:val="22"/>
          <w:szCs w:val="22"/>
        </w:rPr>
        <w:t>eur</w:t>
      </w:r>
      <w:r w:rsidRPr="00270961">
        <w:rPr>
          <w:rFonts w:ascii="Arial Narrow" w:hAnsi="Arial Narrow" w:cs="Arial Narrow"/>
          <w:sz w:val="22"/>
          <w:szCs w:val="22"/>
        </w:rPr>
        <w:t xml:space="preserve">, v roku 2010 vo výške 40,16 tis. </w:t>
      </w:r>
      <w:r>
        <w:rPr>
          <w:rFonts w:ascii="Arial Narrow" w:hAnsi="Arial Narrow" w:cs="Arial Narrow"/>
          <w:sz w:val="22"/>
          <w:szCs w:val="22"/>
        </w:rPr>
        <w:t>eur</w:t>
      </w:r>
      <w:r w:rsidRPr="00270961">
        <w:rPr>
          <w:rFonts w:ascii="Arial Narrow" w:hAnsi="Arial Narrow" w:cs="Arial Narrow"/>
          <w:sz w:val="22"/>
          <w:szCs w:val="22"/>
        </w:rPr>
        <w:t xml:space="preserve"> a v roku 2011 vo výške 40,16 tis. </w:t>
      </w:r>
      <w:r>
        <w:rPr>
          <w:rFonts w:ascii="Arial Narrow" w:hAnsi="Arial Narrow" w:cs="Arial Narrow"/>
          <w:sz w:val="22"/>
          <w:szCs w:val="22"/>
        </w:rPr>
        <w:t>eur</w:t>
      </w:r>
      <w:r w:rsidRPr="00270961">
        <w:rPr>
          <w:rFonts w:ascii="Arial Narrow" w:hAnsi="Arial Narrow" w:cs="Arial Narrow"/>
          <w:sz w:val="22"/>
          <w:szCs w:val="22"/>
        </w:rPr>
        <w:t>. V rámci tejto výdavkovej položky je aj rezerva na prípadné kurzové rozdiely.</w:t>
      </w:r>
    </w:p>
    <w:p w:rsidR="00472216" w:rsidRPr="00910E14" w:rsidP="00472216">
      <w:pPr>
        <w:jc w:val="both"/>
        <w:rPr>
          <w:rFonts w:ascii="Arial Narrow" w:hAnsi="Arial Narrow" w:cs="Arial Narrow"/>
          <w:sz w:val="22"/>
          <w:szCs w:val="22"/>
        </w:rPr>
      </w:pPr>
    </w:p>
    <w:p w:rsidR="00472216" w:rsidRPr="00F818B6" w:rsidP="00472216">
      <w:pPr>
        <w:ind w:firstLine="708"/>
        <w:jc w:val="both"/>
        <w:rPr>
          <w:rFonts w:ascii="Arial Narrow" w:hAnsi="Arial Narrow" w:cs="Arial Narrow"/>
          <w:sz w:val="22"/>
          <w:szCs w:val="22"/>
        </w:rPr>
      </w:pPr>
      <w:r w:rsidRPr="00270961">
        <w:rPr>
          <w:rFonts w:ascii="Arial Narrow" w:hAnsi="Arial Narrow" w:cs="Arial Narrow"/>
          <w:sz w:val="22"/>
          <w:szCs w:val="22"/>
        </w:rPr>
        <w:t xml:space="preserve">V rámci rozpočtového rámca na roky 2009 až 2011 sa navrhuje vyčleniť 829,8 tis. </w:t>
      </w:r>
      <w:r>
        <w:rPr>
          <w:rFonts w:ascii="Arial Narrow" w:hAnsi="Arial Narrow" w:cs="Arial Narrow"/>
          <w:sz w:val="22"/>
          <w:szCs w:val="22"/>
        </w:rPr>
        <w:t>eur</w:t>
      </w:r>
      <w:r w:rsidRPr="00270961">
        <w:rPr>
          <w:rFonts w:ascii="Arial Narrow" w:hAnsi="Arial Narrow" w:cs="Arial Narrow"/>
          <w:sz w:val="22"/>
          <w:szCs w:val="22"/>
        </w:rPr>
        <w:t xml:space="preserve"> ako rezerva na</w:t>
      </w:r>
      <w:r>
        <w:rPr>
          <w:rFonts w:ascii="Arial Narrow" w:hAnsi="Arial Narrow" w:cs="Arial Narrow"/>
          <w:sz w:val="22"/>
          <w:szCs w:val="22"/>
        </w:rPr>
        <w:t xml:space="preserve"> valorizáciu akcií SR a rezerva splatná</w:t>
      </w:r>
      <w:r w:rsidRPr="00F818B6">
        <w:rPr>
          <w:rFonts w:ascii="Arial Narrow" w:hAnsi="Arial Narrow" w:cs="Arial Narrow"/>
          <w:sz w:val="22"/>
          <w:szCs w:val="22"/>
        </w:rPr>
        <w:t xml:space="preserve"> na požiadanie v rámci zvýšenia základného kapitálu.</w:t>
      </w:r>
      <w:r>
        <w:rPr>
          <w:rFonts w:ascii="Arial Narrow" w:hAnsi="Arial Narrow" w:cs="Arial Narrow"/>
          <w:sz w:val="22"/>
          <w:szCs w:val="22"/>
        </w:rPr>
        <w:t xml:space="preserve"> </w:t>
      </w:r>
    </w:p>
    <w:p w:rsidR="00472216" w:rsidP="00472216">
      <w:pPr>
        <w:jc w:val="both"/>
        <w:rPr>
          <w:rFonts w:ascii="Arial Narrow" w:hAnsi="Arial Narrow" w:cs="Arial Narrow"/>
          <w:sz w:val="22"/>
          <w:szCs w:val="22"/>
        </w:rPr>
      </w:pPr>
    </w:p>
    <w:p w:rsidR="00472216" w:rsidP="00472216">
      <w:pPr>
        <w:ind w:firstLine="708"/>
        <w:jc w:val="both"/>
        <w:rPr>
          <w:rFonts w:ascii="Arial Narrow" w:hAnsi="Arial Narrow" w:cs="Arial Narrow"/>
          <w:sz w:val="22"/>
          <w:szCs w:val="22"/>
        </w:rPr>
      </w:pPr>
      <w:r w:rsidRPr="00E92C93">
        <w:rPr>
          <w:rFonts w:ascii="Arial Narrow" w:hAnsi="Arial Narrow" w:cs="Arial Narrow"/>
          <w:sz w:val="22"/>
          <w:szCs w:val="22"/>
        </w:rPr>
        <w:t xml:space="preserve">V roku 2008 bude realizovaná šiesta a siedma splátka kapitálu SR a rezerv do EIB vo výške 18,9 mil. </w:t>
      </w:r>
      <w:r>
        <w:rPr>
          <w:rFonts w:ascii="Arial Narrow" w:hAnsi="Arial Narrow" w:cs="Arial Narrow"/>
          <w:sz w:val="22"/>
          <w:szCs w:val="22"/>
        </w:rPr>
        <w:t>eur</w:t>
      </w:r>
      <w:r w:rsidRPr="00E92C93">
        <w:rPr>
          <w:rFonts w:ascii="Arial Narrow" w:hAnsi="Arial Narrow" w:cs="Arial Narrow"/>
          <w:sz w:val="22"/>
          <w:szCs w:val="22"/>
        </w:rPr>
        <w:t xml:space="preserve">. </w:t>
      </w:r>
      <w:r w:rsidRPr="00270961">
        <w:rPr>
          <w:rFonts w:ascii="Arial Narrow" w:hAnsi="Arial Narrow" w:cs="Arial Narrow"/>
          <w:sz w:val="22"/>
          <w:szCs w:val="22"/>
        </w:rPr>
        <w:t xml:space="preserve">V roku 2009 bude realizovaná ôsma (posledná) splátka kapitálu SR a rezerv do EIB vo výške 9,5 mil. </w:t>
      </w:r>
      <w:r>
        <w:rPr>
          <w:rFonts w:ascii="Arial Narrow" w:hAnsi="Arial Narrow" w:cs="Arial Narrow"/>
          <w:sz w:val="22"/>
          <w:szCs w:val="22"/>
        </w:rPr>
        <w:t>eur</w:t>
      </w:r>
      <w:r w:rsidRPr="00270961">
        <w:rPr>
          <w:rFonts w:ascii="Arial Narrow" w:hAnsi="Arial Narrow" w:cs="Arial Narrow"/>
          <w:sz w:val="22"/>
          <w:szCs w:val="22"/>
        </w:rPr>
        <w:t>.</w:t>
      </w:r>
      <w:r w:rsidRPr="0008605E">
        <w:rPr>
          <w:rFonts w:ascii="Arial Narrow" w:hAnsi="Arial Narrow" w:cs="Arial Narrow"/>
          <w:sz w:val="22"/>
          <w:szCs w:val="22"/>
        </w:rPr>
        <w:t xml:space="preserve"> </w:t>
      </w:r>
      <w:r w:rsidRPr="00270961">
        <w:rPr>
          <w:rFonts w:ascii="Arial Narrow" w:hAnsi="Arial Narrow" w:cs="Arial Narrow"/>
          <w:sz w:val="22"/>
          <w:szCs w:val="22"/>
        </w:rPr>
        <w:t>So</w:t>
      </w:r>
      <w:r w:rsidRPr="00E92C93">
        <w:rPr>
          <w:rFonts w:ascii="Arial Narrow" w:hAnsi="Arial Narrow" w:cs="Arial Narrow"/>
          <w:sz w:val="22"/>
          <w:szCs w:val="22"/>
        </w:rPr>
        <w:t xml:space="preserve"> zvýšením kapitálu EIB sa uvažuje od 01. januára 2010. V júni 2009 budú guvernéri EIB požiadaní odsúhlasi</w:t>
      </w:r>
      <w:r w:rsidRPr="00E92C93">
        <w:rPr>
          <w:rFonts w:ascii="Arial Narrow" w:hAnsi="Arial Narrow" w:cs="Arial Narrow"/>
          <w:sz w:val="22"/>
          <w:szCs w:val="22"/>
        </w:rPr>
        <w:t>ť</w:t>
      </w:r>
      <w:r w:rsidRPr="00E92C93">
        <w:rPr>
          <w:rFonts w:ascii="Arial Narrow" w:hAnsi="Arial Narrow" w:cs="Arial Narrow"/>
          <w:sz w:val="22"/>
          <w:szCs w:val="22"/>
        </w:rPr>
        <w:t xml:space="preserve"> podmienky zvýšenia kapitálu EIB, ako aj výšku zvýšenia kapitálu, percentuálny podiel, ktorý má by</w:t>
      </w:r>
      <w:r w:rsidRPr="00E92C93">
        <w:rPr>
          <w:rFonts w:ascii="Arial Narrow" w:hAnsi="Arial Narrow" w:cs="Arial Narrow"/>
          <w:sz w:val="22"/>
          <w:szCs w:val="22"/>
        </w:rPr>
        <w:t>ť</w:t>
      </w:r>
      <w:r w:rsidRPr="00E92C93">
        <w:rPr>
          <w:rFonts w:ascii="Arial Narrow" w:hAnsi="Arial Narrow" w:cs="Arial Narrow"/>
          <w:sz w:val="22"/>
          <w:szCs w:val="22"/>
        </w:rPr>
        <w:t xml:space="preserve"> splatený </w:t>
      </w:r>
      <w:r w:rsidRPr="00270961">
        <w:rPr>
          <w:rFonts w:ascii="Arial Narrow" w:hAnsi="Arial Narrow" w:cs="Arial Narrow"/>
          <w:sz w:val="22"/>
          <w:szCs w:val="22"/>
        </w:rPr>
        <w:t>a platobné podmienky. V tejto súvislosti sa navrhuje vy</w:t>
      </w:r>
      <w:r w:rsidRPr="00270961">
        <w:rPr>
          <w:rFonts w:ascii="Arial Narrow" w:hAnsi="Arial Narrow" w:cs="Arial Narrow"/>
          <w:sz w:val="22"/>
          <w:szCs w:val="22"/>
        </w:rPr>
        <w:t>č</w:t>
      </w:r>
      <w:r w:rsidRPr="00270961">
        <w:rPr>
          <w:rFonts w:ascii="Arial Narrow" w:hAnsi="Arial Narrow" w:cs="Arial Narrow"/>
          <w:sz w:val="22"/>
          <w:szCs w:val="22"/>
        </w:rPr>
        <w:t>leni</w:t>
      </w:r>
      <w:r w:rsidRPr="00270961">
        <w:rPr>
          <w:rFonts w:ascii="Arial Narrow" w:hAnsi="Arial Narrow" w:cs="Arial Narrow"/>
          <w:sz w:val="22"/>
          <w:szCs w:val="22"/>
        </w:rPr>
        <w:t>ť</w:t>
      </w:r>
      <w:r w:rsidRPr="00270961">
        <w:rPr>
          <w:rFonts w:ascii="Arial Narrow" w:hAnsi="Arial Narrow" w:cs="Arial Narrow"/>
          <w:sz w:val="22"/>
          <w:szCs w:val="22"/>
        </w:rPr>
        <w:t xml:space="preserve"> na rok 2010 prostriedky vo výške 12,0 mil. </w:t>
      </w:r>
      <w:r>
        <w:rPr>
          <w:rFonts w:ascii="Arial Narrow" w:hAnsi="Arial Narrow" w:cs="Arial Narrow"/>
          <w:sz w:val="22"/>
          <w:szCs w:val="22"/>
        </w:rPr>
        <w:t>eur</w:t>
      </w:r>
      <w:r w:rsidRPr="00270961">
        <w:rPr>
          <w:rFonts w:ascii="Arial Narrow" w:hAnsi="Arial Narrow" w:cs="Arial Narrow"/>
          <w:sz w:val="22"/>
          <w:szCs w:val="22"/>
        </w:rPr>
        <w:t xml:space="preserve"> a na</w:t>
      </w:r>
      <w:r>
        <w:rPr>
          <w:rFonts w:ascii="Arial Narrow" w:hAnsi="Arial Narrow" w:cs="Arial Narrow"/>
          <w:sz w:val="22"/>
          <w:szCs w:val="22"/>
        </w:rPr>
        <w:t xml:space="preserve"> </w:t>
      </w:r>
      <w:r w:rsidRPr="00270961">
        <w:rPr>
          <w:rFonts w:ascii="Arial Narrow" w:hAnsi="Arial Narrow" w:cs="Arial Narrow"/>
          <w:sz w:val="22"/>
          <w:szCs w:val="22"/>
        </w:rPr>
        <w:t xml:space="preserve">rok 2011 vo výške 13,5 mil. </w:t>
      </w:r>
      <w:r>
        <w:rPr>
          <w:rFonts w:ascii="Arial Narrow" w:hAnsi="Arial Narrow" w:cs="Arial Narrow"/>
          <w:sz w:val="22"/>
          <w:szCs w:val="22"/>
        </w:rPr>
        <w:t>eur</w:t>
      </w:r>
      <w:r w:rsidRPr="00270961">
        <w:rPr>
          <w:rFonts w:ascii="Arial Narrow" w:hAnsi="Arial Narrow" w:cs="Arial Narrow"/>
          <w:sz w:val="22"/>
          <w:szCs w:val="22"/>
        </w:rPr>
        <w:t>.</w:t>
      </w:r>
    </w:p>
    <w:p w:rsidR="00472216" w:rsidP="00472216">
      <w:pPr>
        <w:ind w:firstLine="708"/>
        <w:jc w:val="both"/>
        <w:rPr>
          <w:rFonts w:ascii="Arial Narrow" w:hAnsi="Arial Narrow" w:cs="Arial Narrow"/>
          <w:sz w:val="22"/>
          <w:szCs w:val="22"/>
        </w:rPr>
      </w:pPr>
    </w:p>
    <w:p w:rsidR="00472216" w:rsidP="00472216">
      <w:pPr>
        <w:ind w:firstLine="708"/>
        <w:jc w:val="both"/>
        <w:rPr>
          <w:rFonts w:ascii="Arial Narrow" w:hAnsi="Arial Narrow" w:cs="Arial Narrow"/>
          <w:sz w:val="22"/>
          <w:szCs w:val="22"/>
        </w:rPr>
      </w:pPr>
      <w:r>
        <w:rPr>
          <w:rFonts w:ascii="Arial Narrow" w:hAnsi="Arial Narrow" w:cs="Arial Narrow"/>
          <w:sz w:val="22"/>
          <w:szCs w:val="22"/>
        </w:rPr>
        <w:t>Vláda má záujem na uzatvorení</w:t>
      </w:r>
      <w:r w:rsidRPr="00910E14">
        <w:rPr>
          <w:rFonts w:ascii="Arial Narrow" w:hAnsi="Arial Narrow" w:cs="Arial Narrow"/>
          <w:sz w:val="22"/>
          <w:szCs w:val="22"/>
        </w:rPr>
        <w:t xml:space="preserve"> Záru</w:t>
      </w:r>
      <w:r w:rsidRPr="00910E14">
        <w:rPr>
          <w:rFonts w:ascii="Arial Narrow" w:hAnsi="Arial Narrow" w:cs="Arial Narrow"/>
          <w:sz w:val="22"/>
          <w:szCs w:val="22"/>
        </w:rPr>
        <w:t>č</w:t>
      </w:r>
      <w:r>
        <w:rPr>
          <w:rFonts w:ascii="Arial Narrow" w:hAnsi="Arial Narrow" w:cs="Arial Narrow"/>
          <w:sz w:val="22"/>
          <w:szCs w:val="22"/>
        </w:rPr>
        <w:t>nej zmluvy</w:t>
      </w:r>
      <w:r w:rsidRPr="00910E14">
        <w:rPr>
          <w:rFonts w:ascii="Arial Narrow" w:hAnsi="Arial Narrow" w:cs="Arial Narrow"/>
          <w:sz w:val="22"/>
          <w:szCs w:val="22"/>
        </w:rPr>
        <w:t xml:space="preserve"> medzi </w:t>
      </w:r>
      <w:r w:rsidRPr="00910E14">
        <w:rPr>
          <w:rFonts w:ascii="Arial Narrow" w:hAnsi="Arial Narrow" w:cs="Arial Narrow"/>
          <w:sz w:val="22"/>
          <w:szCs w:val="22"/>
        </w:rPr>
        <w:t>č</w:t>
      </w:r>
      <w:r w:rsidRPr="00910E14">
        <w:rPr>
          <w:rFonts w:ascii="Arial Narrow" w:hAnsi="Arial Narrow" w:cs="Arial Narrow"/>
          <w:sz w:val="22"/>
          <w:szCs w:val="22"/>
        </w:rPr>
        <w:t>lenskými štátmi EIB a EIB oh</w:t>
      </w:r>
      <w:r w:rsidRPr="00910E14">
        <w:rPr>
          <w:rFonts w:ascii="Arial Narrow" w:hAnsi="Arial Narrow" w:cs="Arial Narrow"/>
          <w:sz w:val="22"/>
          <w:szCs w:val="22"/>
        </w:rPr>
        <w:t>ľ</w:t>
      </w:r>
      <w:r w:rsidRPr="00910E14">
        <w:rPr>
          <w:rFonts w:ascii="Arial Narrow" w:hAnsi="Arial Narrow" w:cs="Arial Narrow"/>
          <w:sz w:val="22"/>
          <w:szCs w:val="22"/>
        </w:rPr>
        <w:t>adom úverov, ktoré poskytne EIB v prospech investi</w:t>
      </w:r>
      <w:r w:rsidRPr="00910E14">
        <w:rPr>
          <w:rFonts w:ascii="Arial Narrow" w:hAnsi="Arial Narrow" w:cs="Arial Narrow"/>
          <w:sz w:val="22"/>
          <w:szCs w:val="22"/>
        </w:rPr>
        <w:t>č</w:t>
      </w:r>
      <w:r w:rsidRPr="00910E14">
        <w:rPr>
          <w:rFonts w:ascii="Arial Narrow" w:hAnsi="Arial Narrow" w:cs="Arial Narrow"/>
          <w:sz w:val="22"/>
          <w:szCs w:val="22"/>
        </w:rPr>
        <w:t>ných projektov v štátoch Afriky, Karibiku a Tichomoria a v zámorských krajinách a </w:t>
      </w:r>
      <w:r w:rsidRPr="00910E14">
        <w:rPr>
          <w:rFonts w:ascii="Arial Narrow" w:hAnsi="Arial Narrow" w:cs="Arial Narrow"/>
          <w:sz w:val="22"/>
          <w:szCs w:val="22"/>
        </w:rPr>
        <w:t>ú</w:t>
      </w:r>
      <w:r w:rsidRPr="00910E14">
        <w:rPr>
          <w:rFonts w:ascii="Arial Narrow" w:hAnsi="Arial Narrow" w:cs="Arial Narrow"/>
          <w:sz w:val="22"/>
          <w:szCs w:val="22"/>
        </w:rPr>
        <w:t>zemiach. Na základe tejto Záru</w:t>
      </w:r>
      <w:r w:rsidRPr="00910E14">
        <w:rPr>
          <w:rFonts w:ascii="Arial Narrow" w:hAnsi="Arial Narrow" w:cs="Arial Narrow"/>
          <w:sz w:val="22"/>
          <w:szCs w:val="22"/>
        </w:rPr>
        <w:t>č</w:t>
      </w:r>
      <w:r w:rsidRPr="00910E14">
        <w:rPr>
          <w:rFonts w:ascii="Arial Narrow" w:hAnsi="Arial Narrow" w:cs="Arial Narrow"/>
          <w:sz w:val="22"/>
          <w:szCs w:val="22"/>
        </w:rPr>
        <w:t>nej zmluvy SR poskytne záruku v prospech EIB. O</w:t>
      </w:r>
      <w:r w:rsidRPr="00910E14">
        <w:rPr>
          <w:rFonts w:ascii="Arial Narrow" w:hAnsi="Arial Narrow" w:cs="Arial Narrow"/>
          <w:sz w:val="22"/>
          <w:szCs w:val="22"/>
        </w:rPr>
        <w:t>č</w:t>
      </w:r>
      <w:r w:rsidRPr="00910E14">
        <w:rPr>
          <w:rFonts w:ascii="Arial Narrow" w:hAnsi="Arial Narrow" w:cs="Arial Narrow"/>
          <w:sz w:val="22"/>
          <w:szCs w:val="22"/>
        </w:rPr>
        <w:t xml:space="preserve">akávaná </w:t>
      </w:r>
      <w:r w:rsidRPr="00910E14">
        <w:rPr>
          <w:rFonts w:ascii="Arial Narrow" w:hAnsi="Arial Narrow" w:cs="Arial Narrow"/>
          <w:sz w:val="22"/>
          <w:szCs w:val="22"/>
        </w:rPr>
        <w:t>č</w:t>
      </w:r>
      <w:r w:rsidRPr="00910E14">
        <w:rPr>
          <w:rFonts w:ascii="Arial Narrow" w:hAnsi="Arial Narrow" w:cs="Arial Narrow"/>
          <w:sz w:val="22"/>
          <w:szCs w:val="22"/>
        </w:rPr>
        <w:t>istá angažovanos</w:t>
      </w:r>
      <w:r w:rsidRPr="00910E14">
        <w:rPr>
          <w:rFonts w:ascii="Arial Narrow" w:hAnsi="Arial Narrow" w:cs="Arial Narrow"/>
          <w:sz w:val="22"/>
          <w:szCs w:val="22"/>
        </w:rPr>
        <w:t>ť</w:t>
      </w:r>
      <w:r w:rsidRPr="00910E14">
        <w:rPr>
          <w:rFonts w:ascii="Arial Narrow" w:hAnsi="Arial Narrow" w:cs="Arial Narrow"/>
          <w:sz w:val="22"/>
          <w:szCs w:val="22"/>
        </w:rPr>
        <w:t xml:space="preserve"> SR z titulu uplatnených záruk v S</w:t>
      </w:r>
      <w:r>
        <w:rPr>
          <w:rFonts w:ascii="Arial Narrow" w:hAnsi="Arial Narrow" w:cs="Arial Narrow"/>
          <w:sz w:val="22"/>
          <w:szCs w:val="22"/>
        </w:rPr>
        <w:t>k</w:t>
      </w:r>
      <w:r w:rsidRPr="00910E14">
        <w:rPr>
          <w:rFonts w:ascii="Arial Narrow" w:hAnsi="Arial Narrow" w:cs="Arial Narrow"/>
          <w:sz w:val="22"/>
          <w:szCs w:val="22"/>
        </w:rPr>
        <w:t xml:space="preserve"> predstavuje </w:t>
      </w:r>
      <w:r w:rsidRPr="00910E14">
        <w:rPr>
          <w:rFonts w:ascii="Arial Narrow" w:hAnsi="Arial Narrow" w:cs="Arial Narrow"/>
          <w:sz w:val="22"/>
          <w:szCs w:val="22"/>
        </w:rPr>
        <w:t>č</w:t>
      </w:r>
      <w:r>
        <w:rPr>
          <w:rFonts w:ascii="Arial Narrow" w:hAnsi="Arial Narrow" w:cs="Arial Narrow"/>
          <w:sz w:val="22"/>
          <w:szCs w:val="22"/>
        </w:rPr>
        <w:t xml:space="preserve">iastky vo výške </w:t>
      </w:r>
      <w:r w:rsidRPr="00270961">
        <w:rPr>
          <w:rFonts w:ascii="Arial Narrow" w:hAnsi="Arial Narrow" w:cs="Arial Narrow"/>
          <w:sz w:val="22"/>
          <w:szCs w:val="22"/>
        </w:rPr>
        <w:t xml:space="preserve">49,8 tis. </w:t>
      </w:r>
      <w:r>
        <w:rPr>
          <w:rFonts w:ascii="Arial Narrow" w:hAnsi="Arial Narrow" w:cs="Arial Narrow"/>
          <w:sz w:val="22"/>
          <w:szCs w:val="22"/>
        </w:rPr>
        <w:t>eur</w:t>
      </w:r>
      <w:r w:rsidRPr="00270961">
        <w:rPr>
          <w:rFonts w:ascii="Arial Narrow" w:hAnsi="Arial Narrow" w:cs="Arial Narrow"/>
          <w:sz w:val="22"/>
          <w:szCs w:val="22"/>
        </w:rPr>
        <w:t xml:space="preserve"> v roku 2009, 109,5 tis. </w:t>
      </w:r>
      <w:r>
        <w:rPr>
          <w:rFonts w:ascii="Arial Narrow" w:hAnsi="Arial Narrow" w:cs="Arial Narrow"/>
          <w:sz w:val="22"/>
          <w:szCs w:val="22"/>
        </w:rPr>
        <w:t>eur</w:t>
      </w:r>
      <w:r w:rsidRPr="00270961">
        <w:rPr>
          <w:rFonts w:ascii="Arial Narrow" w:hAnsi="Arial Narrow" w:cs="Arial Narrow"/>
          <w:sz w:val="22"/>
          <w:szCs w:val="22"/>
        </w:rPr>
        <w:t xml:space="preserve"> v roku 2010 a 185,9 tis. </w:t>
      </w:r>
      <w:r>
        <w:rPr>
          <w:rFonts w:ascii="Arial Narrow" w:hAnsi="Arial Narrow" w:cs="Arial Narrow"/>
          <w:sz w:val="22"/>
          <w:szCs w:val="22"/>
        </w:rPr>
        <w:t>eur</w:t>
      </w:r>
      <w:r w:rsidRPr="00270961">
        <w:rPr>
          <w:rFonts w:ascii="Arial Narrow" w:hAnsi="Arial Narrow" w:cs="Arial Narrow"/>
          <w:sz w:val="22"/>
          <w:szCs w:val="22"/>
        </w:rPr>
        <w:t xml:space="preserve"> v roku 2011. Konkr</w:t>
      </w:r>
      <w:r w:rsidRPr="00270961">
        <w:rPr>
          <w:rFonts w:ascii="Arial Narrow" w:hAnsi="Arial Narrow" w:cs="Arial Narrow"/>
          <w:sz w:val="22"/>
          <w:szCs w:val="22"/>
        </w:rPr>
        <w:t>é</w:t>
      </w:r>
      <w:r w:rsidRPr="00270961">
        <w:rPr>
          <w:rFonts w:ascii="Arial Narrow" w:hAnsi="Arial Narrow" w:cs="Arial Narrow"/>
          <w:sz w:val="22"/>
          <w:szCs w:val="22"/>
        </w:rPr>
        <w:t>tne výdavky budú realizované</w:t>
      </w:r>
      <w:r w:rsidRPr="00910E14">
        <w:rPr>
          <w:rFonts w:ascii="Arial Narrow" w:hAnsi="Arial Narrow" w:cs="Arial Narrow"/>
          <w:sz w:val="22"/>
          <w:szCs w:val="22"/>
        </w:rPr>
        <w:t xml:space="preserve"> v závislosti od toho, </w:t>
      </w:r>
      <w:r w:rsidRPr="00910E14">
        <w:rPr>
          <w:rFonts w:ascii="Arial Narrow" w:hAnsi="Arial Narrow" w:cs="Arial Narrow"/>
          <w:sz w:val="22"/>
          <w:szCs w:val="22"/>
        </w:rPr>
        <w:t>č</w:t>
      </w:r>
      <w:r w:rsidRPr="00910E14">
        <w:rPr>
          <w:rFonts w:ascii="Arial Narrow" w:hAnsi="Arial Narrow" w:cs="Arial Narrow"/>
          <w:sz w:val="22"/>
          <w:szCs w:val="22"/>
        </w:rPr>
        <w:t>i EIB vyzve SR na úhradu za dlžníka. Tieto prostriedky predstavujú aktíva SR a budú úro</w:t>
      </w:r>
      <w:r w:rsidRPr="00910E14">
        <w:rPr>
          <w:rFonts w:ascii="Arial Narrow" w:hAnsi="Arial Narrow" w:cs="Arial Narrow"/>
          <w:sz w:val="22"/>
          <w:szCs w:val="22"/>
        </w:rPr>
        <w:t>č</w:t>
      </w:r>
      <w:r w:rsidRPr="00910E14">
        <w:rPr>
          <w:rFonts w:ascii="Arial Narrow" w:hAnsi="Arial Narrow" w:cs="Arial Narrow"/>
          <w:sz w:val="22"/>
          <w:szCs w:val="22"/>
        </w:rPr>
        <w:t xml:space="preserve">ené. </w:t>
      </w:r>
    </w:p>
    <w:p w:rsidR="00472216" w:rsidP="00472216">
      <w:pPr>
        <w:jc w:val="both"/>
        <w:rPr>
          <w:rFonts w:ascii="Arial Narrow" w:hAnsi="Arial Narrow" w:cs="Arial Narrow"/>
          <w:sz w:val="22"/>
          <w:szCs w:val="22"/>
        </w:rPr>
      </w:pPr>
    </w:p>
    <w:p w:rsidR="00472216" w:rsidRPr="00567C63" w:rsidP="00472216">
      <w:pPr>
        <w:jc w:val="both"/>
        <w:rPr>
          <w:rFonts w:ascii="Arial Narrow" w:hAnsi="Arial Narrow" w:cs="Arial Narrow"/>
          <w:sz w:val="22"/>
          <w:szCs w:val="22"/>
        </w:rPr>
      </w:pPr>
      <w:bookmarkStart w:id="79" w:name="_Toc148255263"/>
      <w:r>
        <w:rPr>
          <w:rFonts w:ascii="Arial Narrow" w:hAnsi="Arial Narrow" w:cs="Times New Roman"/>
          <w:sz w:val="22"/>
          <w:szCs w:val="22"/>
        </w:rPr>
        <w:t xml:space="preserve">5.2.4.   Vláda SR svojim uznesením č. 1174 z 8. decembra 2004 k návrhu konečnej podoby zmluvných dokumentov súvisiacich s privatizáciou Slovenských elektrární, a. s v bode A. 2. schválila ukončenie činnosti </w:t>
      </w:r>
      <w:r w:rsidRPr="00270961">
        <w:rPr>
          <w:rFonts w:ascii="Arial Narrow" w:hAnsi="Arial Narrow" w:cs="Times New Roman"/>
          <w:sz w:val="22"/>
          <w:szCs w:val="22"/>
        </w:rPr>
        <w:t xml:space="preserve">Združenia Dunaj a vysporiadanie pohľadávky SE, a. s. vo výške 113,85 mil. </w:t>
      </w:r>
      <w:r>
        <w:rPr>
          <w:rFonts w:ascii="Arial Narrow" w:hAnsi="Arial Narrow" w:cs="Times New Roman"/>
          <w:sz w:val="22"/>
          <w:szCs w:val="22"/>
        </w:rPr>
        <w:t>eur</w:t>
      </w:r>
      <w:r w:rsidRPr="00270961">
        <w:rPr>
          <w:rFonts w:ascii="Arial Narrow" w:hAnsi="Arial Narrow" w:cs="Times New Roman"/>
          <w:sz w:val="22"/>
          <w:szCs w:val="22"/>
        </w:rPr>
        <w:t>, ktorú SE, a. s. vykazujú voči</w:t>
      </w:r>
      <w:r>
        <w:rPr>
          <w:rFonts w:ascii="Arial Narrow" w:hAnsi="Arial Narrow" w:cs="Times New Roman"/>
          <w:sz w:val="22"/>
          <w:szCs w:val="22"/>
        </w:rPr>
        <w:t xml:space="preserve"> Združeniu Dunaj, a to z výnosu z privatizácie SE, a. s.</w:t>
      </w:r>
      <w:bookmarkEnd w:id="79"/>
    </w:p>
    <w:p w:rsidR="00472216" w:rsidRPr="00567C63" w:rsidP="00472216">
      <w:pPr>
        <w:pStyle w:val="BodyText"/>
        <w:spacing w:after="0"/>
        <w:jc w:val="both"/>
        <w:outlineLvl w:val="0"/>
        <w:rPr>
          <w:rFonts w:ascii="Arial Narrow" w:hAnsi="Arial Narrow" w:cs="Arial Narrow"/>
          <w:sz w:val="22"/>
          <w:szCs w:val="22"/>
        </w:rPr>
      </w:pPr>
    </w:p>
    <w:p w:rsidR="004938EB" w:rsidP="00472216">
      <w:pPr>
        <w:pStyle w:val="BodyText"/>
        <w:spacing w:after="0"/>
        <w:jc w:val="both"/>
        <w:rPr>
          <w:rFonts w:ascii="Arial Narrow" w:hAnsi="Arial Narrow" w:cs="Times New Roman"/>
          <w:sz w:val="22"/>
          <w:szCs w:val="22"/>
        </w:rPr>
      </w:pPr>
      <w:r w:rsidR="00472216">
        <w:rPr>
          <w:rFonts w:ascii="Arial Narrow" w:hAnsi="Arial Narrow" w:cs="Times New Roman"/>
          <w:sz w:val="22"/>
          <w:szCs w:val="22"/>
        </w:rPr>
        <w:t xml:space="preserve">5.2.5.     </w:t>
      </w:r>
      <w:r w:rsidRPr="004C2D5D" w:rsidR="00472216">
        <w:rPr>
          <w:rFonts w:ascii="Arial Narrow" w:hAnsi="Arial Narrow" w:cs="Times New Roman"/>
          <w:sz w:val="22"/>
          <w:szCs w:val="22"/>
        </w:rPr>
        <w:t xml:space="preserve">Na základe dlhodobej koncepcie rozvoja SZRB, a. s. sa na rok 2011 predpokladá posilnenie zdrojových možností banky, a to vkladom do základného imania. Kapitálové posilnenie SZRB, a. s. bude mať pozitívny vplyv nielen na rozšírenie obchodných aktivít banky, ale aj na podporu malého a stredného podnikania a na podporu exportu. </w:t>
      </w:r>
      <w:bookmarkStart w:id="80" w:name="_Toc141529503"/>
      <w:bookmarkStart w:id="81" w:name="_Toc143348617"/>
      <w:bookmarkStart w:id="82" w:name="_Toc148255264"/>
      <w:bookmarkStart w:id="83" w:name="_Toc174871979"/>
      <w:bookmarkStart w:id="84" w:name="_Toc206478414"/>
    </w:p>
    <w:p w:rsidR="00CD30B7" w:rsidP="00472216">
      <w:pPr>
        <w:pStyle w:val="BodyText"/>
        <w:spacing w:after="0"/>
        <w:jc w:val="both"/>
        <w:rPr>
          <w:rFonts w:ascii="Arial Narrow" w:hAnsi="Arial Narrow" w:cs="Times New Roman"/>
          <w:sz w:val="22"/>
          <w:szCs w:val="22"/>
        </w:rPr>
      </w:pPr>
    </w:p>
    <w:p w:rsidR="00472216" w:rsidP="00472216">
      <w:pPr>
        <w:pStyle w:val="BodyText"/>
        <w:spacing w:after="0"/>
        <w:jc w:val="both"/>
        <w:rPr>
          <w:rFonts w:ascii="Arial Narrow" w:hAnsi="Arial Narrow" w:cs="Times New Roman"/>
          <w:sz w:val="22"/>
          <w:szCs w:val="22"/>
        </w:rPr>
      </w:pPr>
      <w:r>
        <w:rPr>
          <w:rFonts w:ascii="Arial Narrow" w:hAnsi="Arial Narrow" w:cs="Times New Roman"/>
          <w:sz w:val="22"/>
          <w:szCs w:val="22"/>
        </w:rPr>
        <w:t xml:space="preserve">5.2.6.   Uznesením vlády SR č. 1088 z 19. decembra 2007 bol schválený návrh inštitucionalizácie systému podpory exportu v Slovenskej republike, ktorý zadefinoval potrebu zdrojového posilnenia EXIMBANKY SR, a to </w:t>
      </w:r>
      <w:r w:rsidRPr="004C2D5D">
        <w:rPr>
          <w:rFonts w:ascii="Arial Narrow" w:hAnsi="Arial Narrow" w:cs="Times New Roman"/>
          <w:sz w:val="22"/>
          <w:szCs w:val="22"/>
        </w:rPr>
        <w:t>vkladom do základného imania</w:t>
      </w:r>
      <w:r>
        <w:rPr>
          <w:rFonts w:ascii="Arial Narrow" w:hAnsi="Arial Narrow" w:cs="Times New Roman"/>
          <w:sz w:val="22"/>
          <w:szCs w:val="22"/>
        </w:rPr>
        <w:t>. P</w:t>
      </w:r>
      <w:r w:rsidRPr="004C2D5D">
        <w:rPr>
          <w:rFonts w:ascii="Arial Narrow" w:hAnsi="Arial Narrow" w:cs="Times New Roman"/>
          <w:sz w:val="22"/>
          <w:szCs w:val="22"/>
        </w:rPr>
        <w:t>osilnenie zdrojových možností banky</w:t>
      </w:r>
      <w:r>
        <w:rPr>
          <w:rFonts w:ascii="Arial Narrow" w:hAnsi="Arial Narrow" w:cs="Times New Roman"/>
          <w:sz w:val="22"/>
          <w:szCs w:val="22"/>
        </w:rPr>
        <w:t xml:space="preserve"> </w:t>
      </w:r>
      <w:r w:rsidRPr="004C2D5D">
        <w:rPr>
          <w:rFonts w:ascii="Arial Narrow" w:hAnsi="Arial Narrow" w:cs="Times New Roman"/>
          <w:sz w:val="22"/>
          <w:szCs w:val="22"/>
        </w:rPr>
        <w:t xml:space="preserve">bude mať pozitívny vplyv na </w:t>
      </w:r>
      <w:r>
        <w:rPr>
          <w:rFonts w:ascii="Arial Narrow" w:hAnsi="Arial Narrow" w:cs="Times New Roman"/>
          <w:sz w:val="22"/>
          <w:szCs w:val="22"/>
        </w:rPr>
        <w:t xml:space="preserve">dosiahnutie definovaných cieľov proexportnej politiky EXIMBANKY SR. </w:t>
      </w:r>
    </w:p>
    <w:p w:rsidR="00472216" w:rsidP="00472216">
      <w:pPr>
        <w:pStyle w:val="BodyText"/>
        <w:spacing w:after="0"/>
        <w:jc w:val="both"/>
        <w:rPr>
          <w:rFonts w:ascii="Arial Narrow" w:hAnsi="Arial Narrow" w:cs="Times New Roman"/>
          <w:sz w:val="22"/>
          <w:szCs w:val="22"/>
        </w:rPr>
      </w:pPr>
    </w:p>
    <w:p w:rsidR="00472216" w:rsidRPr="003B2DEA" w:rsidP="00472216">
      <w:pPr>
        <w:pStyle w:val="Heading1"/>
        <w:spacing w:after="0"/>
        <w:rPr>
          <w:rFonts w:ascii="Arial Narrow" w:hAnsi="Arial Narrow"/>
          <w:sz w:val="28"/>
          <w:szCs w:val="28"/>
        </w:rPr>
      </w:pPr>
      <w:bookmarkStart w:id="85" w:name="_Toc211592405"/>
      <w:r w:rsidRPr="003B2DEA">
        <w:rPr>
          <w:rFonts w:ascii="Arial Narrow" w:hAnsi="Arial Narrow"/>
          <w:sz w:val="28"/>
          <w:szCs w:val="28"/>
        </w:rPr>
        <w:t>6. Štátny rozpočet v metodike ESA 95</w:t>
      </w:r>
      <w:bookmarkEnd w:id="78"/>
      <w:bookmarkEnd w:id="80"/>
      <w:bookmarkEnd w:id="81"/>
      <w:bookmarkEnd w:id="82"/>
      <w:bookmarkEnd w:id="83"/>
      <w:bookmarkEnd w:id="84"/>
      <w:bookmarkEnd w:id="85"/>
    </w:p>
    <w:p w:rsidR="00472216" w:rsidRPr="00362451" w:rsidP="00472216">
      <w:pPr>
        <w:jc w:val="both"/>
        <w:rPr>
          <w:rFonts w:ascii="Arial Narrow" w:hAnsi="Arial Narrow" w:cs="Arial Narrow"/>
          <w:sz w:val="22"/>
          <w:szCs w:val="22"/>
        </w:rPr>
      </w:pPr>
    </w:p>
    <w:p w:rsidR="00472216" w:rsidP="00472216">
      <w:pPr>
        <w:pStyle w:val="BodyTextIndent"/>
        <w:spacing w:after="0"/>
        <w:ind w:left="0" w:firstLine="709"/>
        <w:jc w:val="both"/>
        <w:rPr>
          <w:rFonts w:ascii="Arial Narrow" w:hAnsi="Arial Narrow" w:cs="Times New Roman"/>
          <w:sz w:val="22"/>
          <w:szCs w:val="22"/>
        </w:rPr>
      </w:pPr>
      <w:r>
        <w:rPr>
          <w:rFonts w:ascii="Arial Narrow" w:hAnsi="Arial Narrow" w:cs="Times New Roman"/>
          <w:sz w:val="22"/>
          <w:szCs w:val="22"/>
        </w:rPr>
        <w:t xml:space="preserve">Na schodok štátneho rozpočtu na hotovostnom princípe majú vplyv modifikujúce faktory, ktoré predstavujú rozdiel medzi rozpočtovaním na hotovostnom a na akruálnom princípe (metodika ESA 95). Súčasťou modifikujúcich faktorov štátneho rozpočtu na roky 2009 až 2011 je saldo rozpočtových operácií štátnych finančných aktív bez finančných operácií a zahrnutie položiek časového rozlíšenia ako aj výdavky určené na verejnoprospešný účel </w:t>
      </w:r>
      <w:r w:rsidRPr="007D7B7C">
        <w:rPr>
          <w:rFonts w:ascii="Arial Narrow" w:hAnsi="Arial Narrow" w:cs="Times New Roman"/>
          <w:sz w:val="22"/>
          <w:szCs w:val="22"/>
        </w:rPr>
        <w:t xml:space="preserve">(bližšie v časti 3.2. </w:t>
      </w:r>
      <w:r w:rsidRPr="007D7B7C">
        <w:rPr>
          <w:rFonts w:ascii="Arial Narrow" w:hAnsi="Arial Narrow" w:cs="Arial Narrow"/>
          <w:sz w:val="22"/>
          <w:szCs w:val="22"/>
        </w:rPr>
        <w:t>Akruálne dane pre rozpočet verejnej správy</w:t>
      </w:r>
      <w:r>
        <w:rPr>
          <w:rFonts w:ascii="Arial Narrow" w:hAnsi="Arial Narrow" w:cs="Arial Narrow"/>
          <w:sz w:val="22"/>
          <w:szCs w:val="22"/>
        </w:rPr>
        <w:t xml:space="preserve"> na roky </w:t>
      </w:r>
      <w:r w:rsidRPr="007D7B7C">
        <w:rPr>
          <w:rFonts w:ascii="Arial Narrow" w:hAnsi="Arial Narrow" w:cs="Arial Narrow"/>
          <w:sz w:val="22"/>
          <w:szCs w:val="22"/>
        </w:rPr>
        <w:t xml:space="preserve"> 200</w:t>
      </w:r>
      <w:r>
        <w:rPr>
          <w:rFonts w:ascii="Arial Narrow" w:hAnsi="Arial Narrow" w:cs="Arial Narrow"/>
          <w:sz w:val="22"/>
          <w:szCs w:val="22"/>
        </w:rPr>
        <w:t>9</w:t>
      </w:r>
      <w:r w:rsidRPr="007D7B7C">
        <w:rPr>
          <w:rFonts w:ascii="Arial Narrow" w:hAnsi="Arial Narrow" w:cs="Arial Narrow"/>
          <w:sz w:val="22"/>
          <w:szCs w:val="22"/>
        </w:rPr>
        <w:t xml:space="preserve"> až 201</w:t>
      </w:r>
      <w:r>
        <w:rPr>
          <w:rFonts w:ascii="Arial Narrow" w:hAnsi="Arial Narrow" w:cs="Arial Narrow"/>
          <w:sz w:val="22"/>
          <w:szCs w:val="22"/>
        </w:rPr>
        <w:t>1</w:t>
      </w:r>
      <w:r w:rsidRPr="007D7B7C">
        <w:rPr>
          <w:rFonts w:ascii="Arial Narrow" w:hAnsi="Arial Narrow" w:cs="Times New Roman"/>
          <w:sz w:val="22"/>
          <w:szCs w:val="22"/>
        </w:rPr>
        <w:t>).</w:t>
      </w:r>
      <w:r>
        <w:rPr>
          <w:rFonts w:ascii="Arial Narrow" w:hAnsi="Arial Narrow" w:cs="Times New Roman"/>
          <w:sz w:val="22"/>
          <w:szCs w:val="22"/>
        </w:rPr>
        <w:t xml:space="preserve"> </w:t>
      </w:r>
    </w:p>
    <w:p w:rsidR="00472216" w:rsidP="00472216">
      <w:pPr>
        <w:pStyle w:val="BodyTextIndent"/>
        <w:spacing w:after="0"/>
        <w:ind w:left="0" w:firstLine="709"/>
        <w:jc w:val="both"/>
        <w:rPr>
          <w:rFonts w:ascii="Arial Narrow" w:hAnsi="Arial Narrow" w:cs="Times New Roman"/>
          <w:sz w:val="22"/>
          <w:szCs w:val="22"/>
        </w:rPr>
      </w:pPr>
    </w:p>
    <w:tbl>
      <w:tblPr>
        <w:tblW w:w="7920" w:type="dxa"/>
        <w:jc w:val="center"/>
        <w:tblInd w:w="58" w:type="dxa"/>
        <w:tblCellMar>
          <w:left w:w="70" w:type="dxa"/>
          <w:right w:w="70" w:type="dxa"/>
        </w:tblCellMar>
      </w:tblPr>
      <w:tblGrid>
        <w:gridCol w:w="3440"/>
        <w:gridCol w:w="1120"/>
        <w:gridCol w:w="1120"/>
        <w:gridCol w:w="1120"/>
        <w:gridCol w:w="1120"/>
      </w:tblGrid>
      <w:tr>
        <w:tblPrEx>
          <w:tblW w:w="7920" w:type="dxa"/>
          <w:jc w:val="center"/>
          <w:tblInd w:w="58" w:type="dxa"/>
          <w:tblCellMar>
            <w:left w:w="70" w:type="dxa"/>
            <w:right w:w="70" w:type="dxa"/>
          </w:tblCellMar>
        </w:tblPrEx>
        <w:trPr>
          <w:trHeight w:val="36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000000"/>
            <w:noWrap/>
            <w:textDirection w:val="lrTb"/>
            <w:vAlign w:val="top"/>
          </w:tcPr>
          <w:p w:rsidR="00472216" w:rsidRPr="001B5FCC" w:rsidP="00472216">
            <w:pPr>
              <w:rPr>
                <w:rFonts w:ascii="Arial Narrow" w:hAnsi="Arial Narrow" w:cs="Arial"/>
                <w:color w:val="FFFFFF"/>
                <w:sz w:val="16"/>
                <w:szCs w:val="16"/>
                <w:lang w:eastAsia="sk-SK"/>
              </w:rPr>
            </w:pPr>
            <w:r w:rsidRPr="001B5FCC">
              <w:rPr>
                <w:rFonts w:ascii="Arial Narrow" w:hAnsi="Arial Narrow" w:cs="Arial"/>
                <w:color w:val="FFFFFF"/>
                <w:sz w:val="16"/>
                <w:szCs w:val="16"/>
                <w:lang w:eastAsia="sk-SK"/>
              </w:rPr>
              <w:t>(v tis. eur)</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B5FCC" w:rsidP="00472216">
            <w:pPr>
              <w:jc w:val="center"/>
              <w:rPr>
                <w:rFonts w:ascii="Arial Narrow" w:hAnsi="Arial Narrow" w:cs="Arial"/>
                <w:b/>
                <w:bCs/>
                <w:color w:val="FFFFFF"/>
                <w:sz w:val="20"/>
                <w:lang w:eastAsia="sk-SK"/>
              </w:rPr>
            </w:pPr>
            <w:r w:rsidRPr="001B5FCC">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B5FCC" w:rsidP="00472216">
            <w:pPr>
              <w:jc w:val="center"/>
              <w:rPr>
                <w:rFonts w:ascii="Arial Narrow" w:hAnsi="Arial Narrow" w:cs="Arial"/>
                <w:b/>
                <w:bCs/>
                <w:color w:val="FFFFFF"/>
                <w:sz w:val="20"/>
                <w:lang w:eastAsia="sk-SK"/>
              </w:rPr>
            </w:pPr>
            <w:r w:rsidRPr="001B5FCC">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1B5FCC" w:rsidP="00472216">
            <w:pPr>
              <w:jc w:val="center"/>
              <w:rPr>
                <w:rFonts w:ascii="Arial Narrow" w:hAnsi="Arial Narrow" w:cs="Arial"/>
                <w:b/>
                <w:bCs/>
                <w:color w:val="FFFFFF"/>
                <w:sz w:val="20"/>
                <w:lang w:eastAsia="sk-SK"/>
              </w:rPr>
            </w:pPr>
            <w:r w:rsidRPr="001B5FCC">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1B5FCC" w:rsidP="00472216">
            <w:pPr>
              <w:jc w:val="center"/>
              <w:rPr>
                <w:rFonts w:ascii="Arial Narrow" w:hAnsi="Arial Narrow" w:cs="Arial"/>
                <w:b/>
                <w:bCs/>
                <w:color w:val="FFFFFF"/>
                <w:sz w:val="20"/>
                <w:lang w:eastAsia="sk-SK"/>
              </w:rPr>
            </w:pPr>
            <w:r w:rsidRPr="001B5FCC">
              <w:rPr>
                <w:rFonts w:ascii="Arial Narrow" w:hAnsi="Arial Narrow" w:cs="Arial"/>
                <w:b/>
                <w:bCs/>
                <w:color w:val="FFFFFF"/>
                <w:sz w:val="20"/>
                <w:lang w:eastAsia="sk-SK"/>
              </w:rPr>
              <w:t>2011</w:t>
            </w:r>
          </w:p>
        </w:tc>
      </w:tr>
      <w:tr>
        <w:tblPrEx>
          <w:tblW w:w="7920" w:type="dxa"/>
          <w:jc w:val="center"/>
          <w:tblInd w:w="58" w:type="dxa"/>
          <w:tblCellMar>
            <w:left w:w="70" w:type="dxa"/>
            <w:right w:w="70" w:type="dxa"/>
          </w:tblCellMar>
        </w:tblPrEx>
        <w:trPr>
          <w:trHeight w:val="540"/>
          <w:jc w:val="center"/>
        </w:trPr>
        <w:tc>
          <w:tcPr>
            <w:tcW w:w="3440" w:type="dxa"/>
            <w:tcBorders>
              <w:top w:val="nil"/>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1B5FCC" w:rsidP="00472216">
            <w:pPr>
              <w:rPr>
                <w:rFonts w:ascii="Arial Narrow" w:hAnsi="Arial Narrow" w:cs="Arial"/>
                <w:b/>
                <w:bCs/>
                <w:sz w:val="20"/>
                <w:lang w:eastAsia="sk-SK"/>
              </w:rPr>
            </w:pPr>
            <w:r w:rsidRPr="001B5FCC">
              <w:rPr>
                <w:rFonts w:ascii="Arial Narrow" w:hAnsi="Arial Narrow" w:cs="Arial"/>
                <w:b/>
                <w:bCs/>
                <w:sz w:val="20"/>
                <w:lang w:eastAsia="sk-SK"/>
              </w:rPr>
              <w:t>Modifikujúce faktory</w:t>
            </w:r>
            <w:r w:rsidRPr="001B5FCC">
              <w:rPr>
                <w:rFonts w:ascii="Arial Narrow" w:hAnsi="Arial Narrow" w:cs="Arial"/>
                <w:sz w:val="20"/>
                <w:lang w:eastAsia="sk-SK"/>
              </w:rPr>
              <w:t>, z toho:</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1B5FCC" w:rsidP="00472216">
            <w:pPr>
              <w:jc w:val="right"/>
              <w:rPr>
                <w:rFonts w:ascii="Arial Narrow" w:hAnsi="Arial Narrow" w:cs="Arial"/>
                <w:b/>
                <w:bCs/>
                <w:sz w:val="20"/>
                <w:lang w:eastAsia="sk-SK"/>
              </w:rPr>
            </w:pPr>
            <w:r w:rsidRPr="001B5FCC">
              <w:rPr>
                <w:rFonts w:ascii="Arial Narrow" w:hAnsi="Arial Narrow" w:cs="Arial"/>
                <w:b/>
                <w:bCs/>
                <w:sz w:val="20"/>
                <w:lang w:eastAsia="sk-SK"/>
              </w:rPr>
              <w:t>-635 883</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1B5FCC" w:rsidP="00472216">
            <w:pPr>
              <w:jc w:val="right"/>
              <w:rPr>
                <w:rFonts w:ascii="Arial Narrow" w:hAnsi="Arial Narrow" w:cs="Arial"/>
                <w:b/>
                <w:bCs/>
                <w:sz w:val="20"/>
                <w:lang w:eastAsia="sk-SK"/>
              </w:rPr>
            </w:pPr>
            <w:r w:rsidRPr="001B5FCC">
              <w:rPr>
                <w:rFonts w:ascii="Arial Narrow" w:hAnsi="Arial Narrow" w:cs="Arial"/>
                <w:b/>
                <w:bCs/>
                <w:sz w:val="20"/>
                <w:lang w:eastAsia="sk-SK"/>
              </w:rPr>
              <w:t>-784 685</w:t>
            </w:r>
          </w:p>
        </w:tc>
        <w:tc>
          <w:tcPr>
            <w:tcW w:w="1120" w:type="dxa"/>
            <w:tcBorders>
              <w:top w:val="nil"/>
              <w:left w:val="nil"/>
              <w:bottom w:val="single" w:sz="8" w:space="0" w:color="auto"/>
              <w:right w:val="single" w:sz="4" w:space="0" w:color="auto"/>
              <w:tl2br w:val="nil"/>
              <w:tr2bl w:val="nil"/>
            </w:tcBorders>
            <w:shd w:val="clear" w:color="auto" w:fill="C0C0C0"/>
            <w:noWrap/>
            <w:textDirection w:val="lrTb"/>
            <w:vAlign w:val="center"/>
          </w:tcPr>
          <w:p w:rsidR="00472216" w:rsidRPr="001B5FCC" w:rsidP="00472216">
            <w:pPr>
              <w:jc w:val="right"/>
              <w:rPr>
                <w:rFonts w:ascii="Arial Narrow" w:hAnsi="Arial Narrow" w:cs="Arial"/>
                <w:b/>
                <w:bCs/>
                <w:sz w:val="20"/>
                <w:lang w:eastAsia="sk-SK"/>
              </w:rPr>
            </w:pPr>
            <w:r w:rsidRPr="001B5FCC">
              <w:rPr>
                <w:rFonts w:ascii="Arial Narrow" w:hAnsi="Arial Narrow" w:cs="Arial"/>
                <w:b/>
                <w:bCs/>
                <w:sz w:val="20"/>
                <w:lang w:eastAsia="sk-SK"/>
              </w:rPr>
              <w:t>-475 227</w:t>
            </w:r>
          </w:p>
        </w:tc>
        <w:tc>
          <w:tcPr>
            <w:tcW w:w="112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472216" w:rsidRPr="001B5FCC" w:rsidP="00472216">
            <w:pPr>
              <w:jc w:val="right"/>
              <w:rPr>
                <w:rFonts w:ascii="Arial Narrow" w:hAnsi="Arial Narrow" w:cs="Arial"/>
                <w:b/>
                <w:bCs/>
                <w:sz w:val="20"/>
                <w:lang w:eastAsia="sk-SK"/>
              </w:rPr>
            </w:pPr>
            <w:r w:rsidRPr="001B5FCC">
              <w:rPr>
                <w:rFonts w:ascii="Arial Narrow" w:hAnsi="Arial Narrow" w:cs="Arial"/>
                <w:b/>
                <w:bCs/>
                <w:sz w:val="20"/>
                <w:lang w:eastAsia="sk-SK"/>
              </w:rPr>
              <w:t>-225 557</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B5FCC" w:rsidP="00472216">
            <w:pPr>
              <w:rPr>
                <w:rFonts w:ascii="Arial Narrow" w:hAnsi="Arial Narrow" w:cs="Arial"/>
                <w:sz w:val="20"/>
                <w:lang w:eastAsia="sk-SK"/>
              </w:rPr>
            </w:pPr>
            <w:r w:rsidRPr="001B5FCC">
              <w:rPr>
                <w:rFonts w:ascii="Arial Narrow" w:hAnsi="Arial Narrow" w:cs="Arial"/>
                <w:sz w:val="20"/>
                <w:lang w:eastAsia="sk-SK"/>
              </w:rPr>
              <w:t>1. saldo rozp. operácíí ŠFA bez FO</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-540 165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-477 096</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-446 259</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0</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B5FCC" w:rsidP="00472216">
            <w:pPr>
              <w:rPr>
                <w:rFonts w:ascii="Arial Narrow" w:hAnsi="Arial Narrow" w:cs="Arial"/>
                <w:sz w:val="20"/>
                <w:lang w:eastAsia="sk-SK"/>
              </w:rPr>
            </w:pPr>
            <w:r w:rsidRPr="001B5FCC">
              <w:rPr>
                <w:rFonts w:ascii="Arial Narrow" w:hAnsi="Arial Narrow" w:cs="Arial"/>
                <w:sz w:val="20"/>
                <w:lang w:eastAsia="sk-SK"/>
              </w:rPr>
              <w:t>2. vplyv čas. rozlíšenia platených úrokov</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-144 639</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-101 225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-51 115</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-92 714</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B5FCC" w:rsidP="00472216">
            <w:pPr>
              <w:rPr>
                <w:rFonts w:ascii="Arial Narrow" w:hAnsi="Arial Narrow" w:cs="Arial"/>
                <w:sz w:val="20"/>
                <w:lang w:eastAsia="sk-SK"/>
              </w:rPr>
            </w:pPr>
            <w:r w:rsidRPr="001B5FCC">
              <w:rPr>
                <w:rFonts w:ascii="Arial Narrow" w:hAnsi="Arial Narrow" w:cs="Arial"/>
                <w:sz w:val="20"/>
                <w:lang w:eastAsia="sk-SK"/>
              </w:rPr>
              <w:t>3. medziročná zmena stavu pohľadávok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14 433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-207</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71 670</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-86 938</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1B5FCC" w:rsidP="00472216">
            <w:pPr>
              <w:rPr>
                <w:rFonts w:ascii="Arial Narrow" w:hAnsi="Arial Narrow" w:cs="Arial"/>
                <w:sz w:val="20"/>
                <w:lang w:eastAsia="sk-SK"/>
              </w:rPr>
            </w:pPr>
            <w:r w:rsidRPr="001B5FCC">
              <w:rPr>
                <w:rFonts w:ascii="Arial Narrow" w:hAnsi="Arial Narrow" w:cs="Arial"/>
                <w:sz w:val="20"/>
                <w:lang w:eastAsia="sk-SK"/>
              </w:rPr>
              <w:t>4. časové rozlíšenie daňových príjmov</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80 329</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-151 752</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11 189</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21 114</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8" w:space="0" w:color="auto"/>
              <w:right w:val="single" w:sz="4" w:space="0" w:color="auto"/>
              <w:tl2br w:val="nil"/>
              <w:tr2bl w:val="nil"/>
            </w:tcBorders>
            <w:noWrap/>
            <w:textDirection w:val="lrTb"/>
            <w:vAlign w:val="center"/>
          </w:tcPr>
          <w:p w:rsidR="00472216" w:rsidRPr="001B5FCC" w:rsidP="00472216">
            <w:pPr>
              <w:rPr>
                <w:rFonts w:ascii="Arial Narrow" w:hAnsi="Arial Narrow" w:cs="Arial"/>
                <w:sz w:val="20"/>
                <w:lang w:eastAsia="sk-SK"/>
              </w:rPr>
            </w:pPr>
            <w:r w:rsidRPr="001B5FCC">
              <w:rPr>
                <w:rFonts w:ascii="Arial Narrow" w:hAnsi="Arial Narrow" w:cs="Arial"/>
                <w:sz w:val="20"/>
                <w:lang w:eastAsia="sk-SK"/>
              </w:rPr>
              <w:t>5. výdavky na VPÚ</w:t>
            </w:r>
          </w:p>
        </w:tc>
        <w:tc>
          <w:tcPr>
            <w:tcW w:w="1120" w:type="dxa"/>
            <w:tcBorders>
              <w:top w:val="nil"/>
              <w:left w:val="nil"/>
              <w:bottom w:val="single" w:sz="8"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-45 841</w:t>
            </w:r>
          </w:p>
        </w:tc>
        <w:tc>
          <w:tcPr>
            <w:tcW w:w="1120" w:type="dxa"/>
            <w:tcBorders>
              <w:top w:val="nil"/>
              <w:left w:val="nil"/>
              <w:bottom w:val="single" w:sz="8"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-54 405</w:t>
            </w:r>
          </w:p>
        </w:tc>
        <w:tc>
          <w:tcPr>
            <w:tcW w:w="1120" w:type="dxa"/>
            <w:tcBorders>
              <w:top w:val="nil"/>
              <w:left w:val="nil"/>
              <w:bottom w:val="single" w:sz="8" w:space="0" w:color="auto"/>
              <w:right w:val="single" w:sz="4"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-60 712</w:t>
            </w:r>
          </w:p>
        </w:tc>
        <w:tc>
          <w:tcPr>
            <w:tcW w:w="1120" w:type="dxa"/>
            <w:tcBorders>
              <w:top w:val="nil"/>
              <w:left w:val="nil"/>
              <w:bottom w:val="single" w:sz="8" w:space="0" w:color="auto"/>
              <w:right w:val="single" w:sz="8" w:space="0" w:color="auto"/>
              <w:tl2br w:val="nil"/>
              <w:tr2bl w:val="nil"/>
            </w:tcBorders>
            <w:noWrap/>
            <w:textDirection w:val="lrTb"/>
            <w:vAlign w:val="center"/>
          </w:tcPr>
          <w:p w:rsidR="00472216" w:rsidRPr="001B5FCC" w:rsidP="00472216">
            <w:pPr>
              <w:jc w:val="right"/>
              <w:rPr>
                <w:rFonts w:ascii="Arial Narrow" w:hAnsi="Arial Narrow" w:cs="Arial"/>
                <w:sz w:val="20"/>
                <w:lang w:eastAsia="sk-SK"/>
              </w:rPr>
            </w:pPr>
            <w:r w:rsidRPr="001B5FCC">
              <w:rPr>
                <w:rFonts w:ascii="Arial Narrow" w:hAnsi="Arial Narrow" w:cs="Arial"/>
                <w:sz w:val="20"/>
                <w:lang w:eastAsia="sk-SK"/>
              </w:rPr>
              <w:t>-67 019</w:t>
            </w:r>
          </w:p>
        </w:tc>
      </w:tr>
    </w:tbl>
    <w:p w:rsidR="00472216" w:rsidP="00472216">
      <w:pPr>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6.1.</w:t>
        <w:tab/>
        <w:t>Saldo rozpočtových operácií štátnych finančných aktív bez finančných operácií je uvedené v predchádzajúcej časti 5.</w:t>
      </w:r>
      <w:r>
        <w:rPr>
          <w:rFonts w:ascii="Arial Narrow" w:hAnsi="Arial Narrow" w:cs="Times New Roman"/>
          <w:sz w:val="22"/>
          <w:szCs w:val="22"/>
        </w:rPr>
        <w:t xml:space="preserve"> Štátne</w:t>
      </w:r>
      <w:r>
        <w:rPr>
          <w:rFonts w:ascii="Arial Narrow" w:hAnsi="Arial Narrow" w:cs="Arial Narrow"/>
          <w:sz w:val="22"/>
          <w:szCs w:val="22"/>
        </w:rPr>
        <w:t xml:space="preserve"> finančné aktíva.</w:t>
      </w:r>
    </w:p>
    <w:p w:rsidR="00472216" w:rsidP="00472216">
      <w:pPr>
        <w:ind w:firstLine="708"/>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6.2.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472216" w:rsidP="00472216">
      <w:pPr>
        <w:jc w:val="both"/>
        <w:rPr>
          <w:rFonts w:ascii="Arial Narrow" w:hAnsi="Arial Narrow" w:cs="Arial Narrow"/>
          <w:sz w:val="22"/>
          <w:szCs w:val="22"/>
        </w:rPr>
      </w:pPr>
    </w:p>
    <w:tbl>
      <w:tblPr>
        <w:tblW w:w="7920" w:type="dxa"/>
        <w:jc w:val="center"/>
        <w:tblInd w:w="58" w:type="dxa"/>
        <w:tblCellMar>
          <w:left w:w="70" w:type="dxa"/>
          <w:right w:w="70" w:type="dxa"/>
        </w:tblCellMar>
      </w:tblPr>
      <w:tblGrid>
        <w:gridCol w:w="3440"/>
        <w:gridCol w:w="1120"/>
        <w:gridCol w:w="1120"/>
        <w:gridCol w:w="1120"/>
        <w:gridCol w:w="1120"/>
      </w:tblGrid>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000000"/>
            <w:textDirection w:val="lrTb"/>
            <w:vAlign w:val="center"/>
          </w:tcPr>
          <w:p w:rsidR="00472216" w:rsidRPr="008F0B3F" w:rsidP="00472216">
            <w:pPr>
              <w:rPr>
                <w:rFonts w:ascii="Arial Narrow" w:hAnsi="Arial Narrow" w:cs="Arial"/>
                <w:b/>
                <w:bCs/>
                <w:color w:val="FFFFFF"/>
                <w:sz w:val="20"/>
                <w:lang w:eastAsia="sk-SK"/>
              </w:rPr>
            </w:pPr>
            <w:r w:rsidRPr="008F0B3F">
              <w:rPr>
                <w:rFonts w:ascii="Arial Narrow" w:hAnsi="Arial Narrow" w:cs="Arial"/>
                <w:b/>
                <w:bCs/>
                <w:color w:val="FFFFFF"/>
                <w:sz w:val="20"/>
                <w:lang w:eastAsia="sk-SK"/>
              </w:rPr>
              <w:t>Platené úroky</w:t>
              <w:br/>
            </w:r>
            <w:r w:rsidRPr="008F0B3F">
              <w:rPr>
                <w:rFonts w:ascii="Arial Narrow" w:hAnsi="Arial Narrow" w:cs="Arial"/>
                <w:b/>
                <w:color w:val="FFFFFF"/>
                <w:sz w:val="16"/>
                <w:szCs w:val="16"/>
                <w:lang w:eastAsia="sk-SK"/>
              </w:rPr>
              <w:t>(v tis. eur)</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B7325C" w:rsidP="00472216">
            <w:pPr>
              <w:jc w:val="center"/>
              <w:rPr>
                <w:rFonts w:ascii="Arial Narrow" w:hAnsi="Arial Narrow" w:cs="Arial"/>
                <w:b/>
                <w:bCs/>
                <w:color w:val="FFFFFF"/>
                <w:sz w:val="20"/>
                <w:lang w:eastAsia="sk-SK"/>
              </w:rPr>
            </w:pPr>
            <w:r w:rsidRPr="00B7325C">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B7325C" w:rsidP="00472216">
            <w:pPr>
              <w:jc w:val="center"/>
              <w:rPr>
                <w:rFonts w:ascii="Arial Narrow" w:hAnsi="Arial Narrow" w:cs="Arial"/>
                <w:b/>
                <w:bCs/>
                <w:color w:val="FFFFFF"/>
                <w:sz w:val="20"/>
                <w:lang w:eastAsia="sk-SK"/>
              </w:rPr>
            </w:pPr>
            <w:r w:rsidRPr="00B7325C">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B7325C" w:rsidP="00472216">
            <w:pPr>
              <w:jc w:val="center"/>
              <w:rPr>
                <w:rFonts w:ascii="Arial Narrow" w:hAnsi="Arial Narrow" w:cs="Arial"/>
                <w:b/>
                <w:bCs/>
                <w:color w:val="FFFFFF"/>
                <w:sz w:val="20"/>
                <w:lang w:eastAsia="sk-SK"/>
              </w:rPr>
            </w:pPr>
            <w:r w:rsidRPr="00B7325C">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B7325C" w:rsidP="00472216">
            <w:pPr>
              <w:jc w:val="center"/>
              <w:rPr>
                <w:rFonts w:ascii="Arial Narrow" w:hAnsi="Arial Narrow" w:cs="Arial"/>
                <w:b/>
                <w:bCs/>
                <w:color w:val="FFFFFF"/>
                <w:sz w:val="20"/>
                <w:lang w:eastAsia="sk-SK"/>
              </w:rPr>
            </w:pPr>
            <w:r w:rsidRPr="00B7325C">
              <w:rPr>
                <w:rFonts w:ascii="Arial Narrow" w:hAnsi="Arial Narrow" w:cs="Arial"/>
                <w:b/>
                <w:bCs/>
                <w:color w:val="FFFFFF"/>
                <w:sz w:val="20"/>
                <w:lang w:eastAsia="sk-SK"/>
              </w:rPr>
              <w:t>2011</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B7325C" w:rsidP="00472216">
            <w:pPr>
              <w:rPr>
                <w:rFonts w:ascii="Arial Narrow" w:hAnsi="Arial Narrow" w:cs="Arial"/>
                <w:sz w:val="20"/>
                <w:lang w:eastAsia="sk-SK"/>
              </w:rPr>
            </w:pPr>
            <w:r w:rsidRPr="00B7325C">
              <w:rPr>
                <w:rFonts w:ascii="Arial Narrow" w:hAnsi="Arial Narrow" w:cs="Arial"/>
                <w:sz w:val="20"/>
                <w:lang w:eastAsia="sk-SK"/>
              </w:rPr>
              <w:t>Hotovostný princíp</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910 705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998 453</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1 137 051</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1 115 568</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l2br w:val="nil"/>
              <w:tr2bl w:val="nil"/>
            </w:tcBorders>
            <w:noWrap/>
            <w:textDirection w:val="lrTb"/>
            <w:vAlign w:val="center"/>
          </w:tcPr>
          <w:p w:rsidR="00472216" w:rsidRPr="00B7325C" w:rsidP="00472216">
            <w:pPr>
              <w:rPr>
                <w:rFonts w:ascii="Arial Narrow" w:hAnsi="Arial Narrow" w:cs="Arial"/>
                <w:sz w:val="20"/>
                <w:lang w:eastAsia="sk-SK"/>
              </w:rPr>
            </w:pPr>
            <w:r w:rsidRPr="00B7325C">
              <w:rPr>
                <w:rFonts w:ascii="Arial Narrow" w:hAnsi="Arial Narrow" w:cs="Arial"/>
                <w:sz w:val="20"/>
                <w:lang w:eastAsia="sk-SK"/>
              </w:rPr>
              <w:t>Akruálny princíp</w:t>
            </w:r>
          </w:p>
        </w:tc>
        <w:tc>
          <w:tcPr>
            <w:tcW w:w="1120" w:type="dxa"/>
            <w:tcBorders>
              <w:top w:val="nil"/>
              <w:left w:val="nil"/>
              <w:bottom w:val="nil"/>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1 055 344</w:t>
            </w:r>
          </w:p>
        </w:tc>
        <w:tc>
          <w:tcPr>
            <w:tcW w:w="1120" w:type="dxa"/>
            <w:tcBorders>
              <w:top w:val="nil"/>
              <w:left w:val="nil"/>
              <w:bottom w:val="nil"/>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1 099 678</w:t>
            </w:r>
          </w:p>
        </w:tc>
        <w:tc>
          <w:tcPr>
            <w:tcW w:w="1120" w:type="dxa"/>
            <w:tcBorders>
              <w:top w:val="nil"/>
              <w:left w:val="nil"/>
              <w:bottom w:val="nil"/>
              <w:right w:val="single" w:sz="4"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1 188 166</w:t>
            </w:r>
          </w:p>
        </w:tc>
        <w:tc>
          <w:tcPr>
            <w:tcW w:w="1120" w:type="dxa"/>
            <w:tcBorders>
              <w:top w:val="nil"/>
              <w:left w:val="nil"/>
              <w:bottom w:val="nil"/>
              <w:right w:val="single" w:sz="8" w:space="0" w:color="auto"/>
              <w:tl2br w:val="nil"/>
              <w:tr2bl w:val="nil"/>
            </w:tcBorders>
            <w:noWrap/>
            <w:textDirection w:val="lrTb"/>
            <w:vAlign w:val="center"/>
          </w:tcPr>
          <w:p w:rsidR="00472216" w:rsidRPr="00B7325C" w:rsidP="00472216">
            <w:pPr>
              <w:jc w:val="right"/>
              <w:rPr>
                <w:rFonts w:ascii="Arial Narrow" w:hAnsi="Arial Narrow" w:cs="Arial"/>
                <w:sz w:val="20"/>
                <w:lang w:eastAsia="sk-SK"/>
              </w:rPr>
            </w:pPr>
            <w:r w:rsidRPr="00B7325C">
              <w:rPr>
                <w:rFonts w:ascii="Arial Narrow" w:hAnsi="Arial Narrow" w:cs="Arial"/>
                <w:sz w:val="20"/>
                <w:lang w:eastAsia="sk-SK"/>
              </w:rPr>
              <w:t>1 208 282</w:t>
            </w:r>
          </w:p>
        </w:tc>
      </w:tr>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B7325C" w:rsidP="00472216">
            <w:pPr>
              <w:rPr>
                <w:rFonts w:ascii="Arial Narrow" w:hAnsi="Arial Narrow" w:cs="Arial"/>
                <w:b/>
                <w:bCs/>
                <w:sz w:val="20"/>
                <w:lang w:eastAsia="sk-SK"/>
              </w:rPr>
            </w:pPr>
            <w:r w:rsidRPr="00B7325C">
              <w:rPr>
                <w:rFonts w:ascii="Arial Narrow" w:hAnsi="Arial Narrow" w:cs="Arial"/>
                <w:b/>
                <w:bCs/>
                <w:sz w:val="20"/>
                <w:lang w:eastAsia="sk-SK"/>
              </w:rPr>
              <w:t>Rozdiel</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B7325C" w:rsidP="00472216">
            <w:pPr>
              <w:jc w:val="right"/>
              <w:rPr>
                <w:rFonts w:ascii="Arial Narrow" w:hAnsi="Arial Narrow" w:cs="Arial"/>
                <w:b/>
                <w:bCs/>
                <w:sz w:val="20"/>
                <w:lang w:eastAsia="sk-SK"/>
              </w:rPr>
            </w:pPr>
            <w:r w:rsidRPr="00B7325C">
              <w:rPr>
                <w:rFonts w:ascii="Arial Narrow" w:hAnsi="Arial Narrow" w:cs="Arial"/>
                <w:b/>
                <w:bCs/>
                <w:sz w:val="20"/>
                <w:lang w:eastAsia="sk-SK"/>
              </w:rPr>
              <w:t>-144 639</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B7325C" w:rsidP="00472216">
            <w:pPr>
              <w:jc w:val="right"/>
              <w:rPr>
                <w:rFonts w:ascii="Arial Narrow" w:hAnsi="Arial Narrow" w:cs="Arial"/>
                <w:b/>
                <w:bCs/>
                <w:sz w:val="20"/>
                <w:lang w:eastAsia="sk-SK"/>
              </w:rPr>
            </w:pPr>
            <w:r w:rsidRPr="00B7325C">
              <w:rPr>
                <w:rFonts w:ascii="Arial Narrow" w:hAnsi="Arial Narrow" w:cs="Arial"/>
                <w:b/>
                <w:bCs/>
                <w:sz w:val="20"/>
                <w:lang w:eastAsia="sk-SK"/>
              </w:rPr>
              <w:t>-101 225</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B7325C" w:rsidP="00472216">
            <w:pPr>
              <w:jc w:val="right"/>
              <w:rPr>
                <w:rFonts w:ascii="Arial Narrow" w:hAnsi="Arial Narrow" w:cs="Arial"/>
                <w:b/>
                <w:bCs/>
                <w:sz w:val="20"/>
                <w:lang w:eastAsia="sk-SK"/>
              </w:rPr>
            </w:pPr>
            <w:r w:rsidRPr="00B7325C">
              <w:rPr>
                <w:rFonts w:ascii="Arial Narrow" w:hAnsi="Arial Narrow" w:cs="Arial"/>
                <w:b/>
                <w:bCs/>
                <w:sz w:val="20"/>
                <w:lang w:eastAsia="sk-SK"/>
              </w:rPr>
              <w:t>-51 115</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B7325C" w:rsidP="00472216">
            <w:pPr>
              <w:jc w:val="right"/>
              <w:rPr>
                <w:rFonts w:ascii="Arial Narrow" w:hAnsi="Arial Narrow" w:cs="Arial"/>
                <w:b/>
                <w:bCs/>
                <w:sz w:val="20"/>
                <w:lang w:eastAsia="sk-SK"/>
              </w:rPr>
            </w:pPr>
            <w:r w:rsidRPr="00B7325C">
              <w:rPr>
                <w:rFonts w:ascii="Arial Narrow" w:hAnsi="Arial Narrow" w:cs="Arial"/>
                <w:b/>
                <w:bCs/>
                <w:sz w:val="20"/>
                <w:lang w:eastAsia="sk-SK"/>
              </w:rPr>
              <w:t>-92 714</w:t>
            </w:r>
          </w:p>
        </w:tc>
      </w:tr>
    </w:tbl>
    <w:p w:rsidR="00472216" w:rsidP="00472216">
      <w:pPr>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6.3.</w:t>
        <w:tab/>
        <w:t xml:space="preserve">Medziročnú zmenu stavu pohľadávok voči EÚ tvoria pohľadávky na priame platby, predvstupový fond ISPA a na štrukturálne fondy </w:t>
      </w:r>
      <w:r w:rsidRPr="007D7B7C">
        <w:rPr>
          <w:rFonts w:ascii="Arial Narrow" w:hAnsi="Arial Narrow" w:cs="Arial Narrow"/>
          <w:sz w:val="22"/>
          <w:szCs w:val="22"/>
        </w:rPr>
        <w:t>(</w:t>
      </w:r>
      <w:r w:rsidRPr="00E66A9C">
        <w:rPr>
          <w:rFonts w:ascii="Arial Narrow" w:hAnsi="Arial Narrow" w:cs="Arial Narrow"/>
          <w:sz w:val="22"/>
          <w:szCs w:val="22"/>
        </w:rPr>
        <w:t>bližšie v prílohe 2. Rozpočtové vzťahy SR a EÚ).</w:t>
      </w:r>
    </w:p>
    <w:p w:rsidR="00472216" w:rsidP="00472216">
      <w:pPr>
        <w:ind w:firstLine="708"/>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6.4.</w:t>
        <w:tab/>
        <w:t xml:space="preserve">Časové rozlíšenie daňových príjmov </w:t>
      </w:r>
      <w:r w:rsidRPr="007D7B7C">
        <w:rPr>
          <w:rFonts w:ascii="Arial Narrow" w:hAnsi="Arial Narrow" w:cs="Arial Narrow"/>
          <w:sz w:val="22"/>
          <w:szCs w:val="22"/>
        </w:rPr>
        <w:t>(</w:t>
      </w:r>
      <w:r w:rsidRPr="00E66A9C">
        <w:rPr>
          <w:rFonts w:ascii="Arial Narrow" w:hAnsi="Arial Narrow" w:cs="Arial Narrow"/>
          <w:sz w:val="22"/>
          <w:szCs w:val="22"/>
        </w:rPr>
        <w:t>časť 3.2. Akruálne dane pre rozpočet verejnej správy na roky 2009 až 2011</w:t>
      </w:r>
      <w:r>
        <w:rPr>
          <w:rFonts w:ascii="Arial Narrow" w:hAnsi="Arial Narrow" w:cs="Arial Narrow"/>
          <w:sz w:val="22"/>
          <w:szCs w:val="22"/>
        </w:rPr>
        <w:t xml:space="preserve">) je ďalším faktorom, ktorý ovplyvňuje schodok štátneho rozpočtu. Ide o rozdiel hotovostných a akruálnych daní. </w:t>
      </w:r>
    </w:p>
    <w:p w:rsidR="004938EB" w:rsidP="00472216">
      <w:pPr>
        <w:jc w:val="both"/>
        <w:rPr>
          <w:rFonts w:ascii="Arial Narrow" w:hAnsi="Arial Narrow" w:cs="Arial Narrow"/>
          <w:sz w:val="22"/>
          <w:szCs w:val="22"/>
        </w:rPr>
      </w:pPr>
    </w:p>
    <w:p w:rsidR="004938EB" w:rsidP="00472216">
      <w:pPr>
        <w:jc w:val="both"/>
        <w:rPr>
          <w:rFonts w:ascii="Arial Narrow" w:hAnsi="Arial Narrow" w:cs="Arial Narrow"/>
          <w:sz w:val="22"/>
          <w:szCs w:val="22"/>
        </w:rPr>
      </w:pPr>
    </w:p>
    <w:p w:rsidR="00CD30B7" w:rsidP="00472216">
      <w:pPr>
        <w:jc w:val="both"/>
        <w:rPr>
          <w:rFonts w:ascii="Arial Narrow" w:hAnsi="Arial Narrow" w:cs="Arial Narrow"/>
          <w:sz w:val="22"/>
          <w:szCs w:val="22"/>
        </w:rPr>
      </w:pPr>
    </w:p>
    <w:p w:rsidR="00CD30B7" w:rsidP="00472216">
      <w:pPr>
        <w:jc w:val="both"/>
        <w:rPr>
          <w:rFonts w:ascii="Arial Narrow" w:hAnsi="Arial Narrow" w:cs="Arial Narrow"/>
          <w:sz w:val="22"/>
          <w:szCs w:val="22"/>
        </w:rPr>
      </w:pPr>
    </w:p>
    <w:p w:rsidR="004938EB" w:rsidP="00472216">
      <w:pPr>
        <w:jc w:val="both"/>
        <w:rPr>
          <w:rFonts w:ascii="Arial Narrow" w:hAnsi="Arial Narrow" w:cs="Arial Narrow"/>
          <w:sz w:val="22"/>
          <w:szCs w:val="22"/>
        </w:rPr>
      </w:pPr>
    </w:p>
    <w:tbl>
      <w:tblPr>
        <w:tblW w:w="7920" w:type="dxa"/>
        <w:jc w:val="center"/>
        <w:tblInd w:w="58" w:type="dxa"/>
        <w:tblCellMar>
          <w:left w:w="70" w:type="dxa"/>
          <w:right w:w="70" w:type="dxa"/>
        </w:tblCellMar>
      </w:tblPr>
      <w:tblGrid>
        <w:gridCol w:w="3440"/>
        <w:gridCol w:w="1120"/>
        <w:gridCol w:w="1120"/>
        <w:gridCol w:w="1120"/>
        <w:gridCol w:w="1120"/>
      </w:tblGrid>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000000"/>
            <w:textDirection w:val="lrTb"/>
            <w:vAlign w:val="center"/>
          </w:tcPr>
          <w:p w:rsidR="00472216" w:rsidRPr="00371F46" w:rsidP="00472216">
            <w:pPr>
              <w:rPr>
                <w:rFonts w:ascii="Arial Narrow" w:hAnsi="Arial Narrow" w:cs="Arial"/>
                <w:b/>
                <w:bCs/>
                <w:color w:val="FFFFFF"/>
                <w:sz w:val="20"/>
                <w:lang w:eastAsia="sk-SK"/>
              </w:rPr>
            </w:pPr>
            <w:r w:rsidRPr="00371F46">
              <w:rPr>
                <w:rFonts w:ascii="Arial Narrow" w:hAnsi="Arial Narrow" w:cs="Arial"/>
                <w:b/>
                <w:bCs/>
                <w:color w:val="FFFFFF"/>
                <w:sz w:val="20"/>
                <w:lang w:eastAsia="sk-SK"/>
              </w:rPr>
              <w:t>Daňové príjmy štátneho rozpočtu</w:t>
              <w:br/>
            </w:r>
            <w:r w:rsidRPr="00371F46">
              <w:rPr>
                <w:rFonts w:ascii="Arial Narrow" w:hAnsi="Arial Narrow" w:cs="Arial"/>
                <w:color w:val="FFFFFF"/>
                <w:sz w:val="16"/>
                <w:szCs w:val="16"/>
                <w:lang w:eastAsia="sk-SK"/>
              </w:rPr>
              <w:t>(v tis. eur)</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71F46" w:rsidP="00472216">
            <w:pPr>
              <w:jc w:val="center"/>
              <w:rPr>
                <w:rFonts w:ascii="Arial Narrow" w:hAnsi="Arial Narrow" w:cs="Arial"/>
                <w:b/>
                <w:bCs/>
                <w:color w:val="FFFFFF"/>
                <w:sz w:val="20"/>
                <w:lang w:eastAsia="sk-SK"/>
              </w:rPr>
            </w:pPr>
            <w:r w:rsidRPr="00371F46">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71F46" w:rsidP="00472216">
            <w:pPr>
              <w:jc w:val="center"/>
              <w:rPr>
                <w:rFonts w:ascii="Arial Narrow" w:hAnsi="Arial Narrow" w:cs="Arial"/>
                <w:b/>
                <w:bCs/>
                <w:color w:val="FFFFFF"/>
                <w:sz w:val="20"/>
                <w:lang w:eastAsia="sk-SK"/>
              </w:rPr>
            </w:pPr>
            <w:r w:rsidRPr="00371F46">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71F46" w:rsidP="00472216">
            <w:pPr>
              <w:jc w:val="center"/>
              <w:rPr>
                <w:rFonts w:ascii="Arial Narrow" w:hAnsi="Arial Narrow" w:cs="Arial"/>
                <w:b/>
                <w:bCs/>
                <w:color w:val="FFFFFF"/>
                <w:sz w:val="20"/>
                <w:lang w:eastAsia="sk-SK"/>
              </w:rPr>
            </w:pPr>
            <w:r w:rsidRPr="00371F46">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371F46" w:rsidP="00472216">
            <w:pPr>
              <w:jc w:val="center"/>
              <w:rPr>
                <w:rFonts w:ascii="Arial Narrow" w:hAnsi="Arial Narrow" w:cs="Arial"/>
                <w:b/>
                <w:bCs/>
                <w:color w:val="FFFFFF"/>
                <w:sz w:val="20"/>
                <w:lang w:eastAsia="sk-SK"/>
              </w:rPr>
            </w:pPr>
            <w:r w:rsidRPr="00371F46">
              <w:rPr>
                <w:rFonts w:ascii="Arial Narrow" w:hAnsi="Arial Narrow" w:cs="Arial"/>
                <w:b/>
                <w:bCs/>
                <w:color w:val="FFFFFF"/>
                <w:sz w:val="20"/>
                <w:lang w:eastAsia="sk-SK"/>
              </w:rPr>
              <w:t>2011</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noWrap/>
            <w:textDirection w:val="lrTb"/>
            <w:vAlign w:val="center"/>
          </w:tcPr>
          <w:p w:rsidR="00472216" w:rsidRPr="00371F46" w:rsidP="00472216">
            <w:pPr>
              <w:rPr>
                <w:rFonts w:ascii="Arial Narrow" w:hAnsi="Arial Narrow" w:cs="Arial"/>
                <w:sz w:val="20"/>
                <w:lang w:eastAsia="sk-SK"/>
              </w:rPr>
            </w:pPr>
            <w:r w:rsidRPr="00371F46">
              <w:rPr>
                <w:rFonts w:ascii="Arial Narrow" w:hAnsi="Arial Narrow" w:cs="Arial"/>
                <w:sz w:val="20"/>
                <w:lang w:eastAsia="sk-SK"/>
              </w:rPr>
              <w:t>Akruálny princíp</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9 075 085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9 856 645</w:t>
            </w:r>
          </w:p>
        </w:tc>
        <w:tc>
          <w:tcPr>
            <w:tcW w:w="1120" w:type="dxa"/>
            <w:tcBorders>
              <w:top w:val="nil"/>
              <w:left w:val="nil"/>
              <w:bottom w:val="single" w:sz="4" w:space="0" w:color="auto"/>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10 742 471</w:t>
            </w:r>
          </w:p>
        </w:tc>
        <w:tc>
          <w:tcPr>
            <w:tcW w:w="1120" w:type="dxa"/>
            <w:tcBorders>
              <w:top w:val="nil"/>
              <w:left w:val="nil"/>
              <w:bottom w:val="single" w:sz="4" w:space="0" w:color="auto"/>
              <w:right w:val="single" w:sz="8"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11 532 651</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l2br w:val="nil"/>
              <w:tr2bl w:val="nil"/>
            </w:tcBorders>
            <w:noWrap/>
            <w:textDirection w:val="lrTb"/>
            <w:vAlign w:val="center"/>
          </w:tcPr>
          <w:p w:rsidR="00472216" w:rsidRPr="00371F46" w:rsidP="00472216">
            <w:pPr>
              <w:rPr>
                <w:rFonts w:ascii="Arial Narrow" w:hAnsi="Arial Narrow" w:cs="Arial"/>
                <w:sz w:val="20"/>
                <w:lang w:eastAsia="sk-SK"/>
              </w:rPr>
            </w:pPr>
            <w:r w:rsidRPr="00371F46">
              <w:rPr>
                <w:rFonts w:ascii="Arial Narrow" w:hAnsi="Arial Narrow" w:cs="Arial"/>
                <w:sz w:val="20"/>
                <w:lang w:eastAsia="sk-SK"/>
              </w:rPr>
              <w:t>Hotovostný princíp</w:t>
            </w:r>
          </w:p>
        </w:tc>
        <w:tc>
          <w:tcPr>
            <w:tcW w:w="1120" w:type="dxa"/>
            <w:tcBorders>
              <w:top w:val="nil"/>
              <w:left w:val="nil"/>
              <w:bottom w:val="nil"/>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8 994 755</w:t>
            </w:r>
          </w:p>
        </w:tc>
        <w:tc>
          <w:tcPr>
            <w:tcW w:w="1120" w:type="dxa"/>
            <w:tcBorders>
              <w:top w:val="nil"/>
              <w:left w:val="nil"/>
              <w:bottom w:val="nil"/>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10 008 397</w:t>
            </w:r>
          </w:p>
        </w:tc>
        <w:tc>
          <w:tcPr>
            <w:tcW w:w="1120" w:type="dxa"/>
            <w:tcBorders>
              <w:top w:val="nil"/>
              <w:left w:val="nil"/>
              <w:bottom w:val="nil"/>
              <w:right w:val="single" w:sz="4"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10 731 28</w:t>
            </w:r>
            <w:r>
              <w:rPr>
                <w:rFonts w:ascii="Arial Narrow" w:hAnsi="Arial Narrow" w:cs="Arial"/>
                <w:sz w:val="20"/>
                <w:lang w:eastAsia="sk-SK"/>
              </w:rPr>
              <w:t>2</w:t>
            </w:r>
          </w:p>
        </w:tc>
        <w:tc>
          <w:tcPr>
            <w:tcW w:w="1120" w:type="dxa"/>
            <w:tcBorders>
              <w:top w:val="nil"/>
              <w:left w:val="nil"/>
              <w:bottom w:val="nil"/>
              <w:right w:val="single" w:sz="8" w:space="0" w:color="auto"/>
              <w:tl2br w:val="nil"/>
              <w:tr2bl w:val="nil"/>
            </w:tcBorders>
            <w:noWrap/>
            <w:textDirection w:val="lrTb"/>
            <w:vAlign w:val="center"/>
          </w:tcPr>
          <w:p w:rsidR="00472216" w:rsidRPr="00371F46" w:rsidP="00472216">
            <w:pPr>
              <w:jc w:val="right"/>
              <w:rPr>
                <w:rFonts w:ascii="Arial Narrow" w:hAnsi="Arial Narrow" w:cs="Arial"/>
                <w:sz w:val="20"/>
                <w:lang w:eastAsia="sk-SK"/>
              </w:rPr>
            </w:pPr>
            <w:r w:rsidRPr="00371F46">
              <w:rPr>
                <w:rFonts w:ascii="Arial Narrow" w:hAnsi="Arial Narrow" w:cs="Arial"/>
                <w:sz w:val="20"/>
                <w:lang w:eastAsia="sk-SK"/>
              </w:rPr>
              <w:t>11 511 53</w:t>
            </w:r>
            <w:r>
              <w:rPr>
                <w:rFonts w:ascii="Arial Narrow" w:hAnsi="Arial Narrow" w:cs="Arial"/>
                <w:sz w:val="20"/>
                <w:lang w:eastAsia="sk-SK"/>
              </w:rPr>
              <w:t>7</w:t>
            </w:r>
          </w:p>
        </w:tc>
      </w:tr>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371F46" w:rsidP="00472216">
            <w:pPr>
              <w:rPr>
                <w:rFonts w:ascii="Arial Narrow" w:hAnsi="Arial Narrow" w:cs="Arial"/>
                <w:b/>
                <w:bCs/>
                <w:sz w:val="20"/>
                <w:lang w:eastAsia="sk-SK"/>
              </w:rPr>
            </w:pPr>
            <w:r w:rsidRPr="00371F46">
              <w:rPr>
                <w:rFonts w:ascii="Arial Narrow" w:hAnsi="Arial Narrow" w:cs="Arial"/>
                <w:b/>
                <w:bCs/>
                <w:sz w:val="20"/>
                <w:lang w:eastAsia="sk-SK"/>
              </w:rPr>
              <w:t>Rozdiel</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71F46" w:rsidP="00472216">
            <w:pPr>
              <w:jc w:val="right"/>
              <w:rPr>
                <w:rFonts w:ascii="Arial Narrow" w:hAnsi="Arial Narrow" w:cs="Arial"/>
                <w:b/>
                <w:bCs/>
                <w:sz w:val="20"/>
                <w:lang w:eastAsia="sk-SK"/>
              </w:rPr>
            </w:pPr>
            <w:r w:rsidRPr="00371F46">
              <w:rPr>
                <w:rFonts w:ascii="Arial Narrow" w:hAnsi="Arial Narrow" w:cs="Arial"/>
                <w:b/>
                <w:bCs/>
                <w:sz w:val="20"/>
                <w:lang w:eastAsia="sk-SK"/>
              </w:rPr>
              <w:t>80 329</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71F46" w:rsidP="00472216">
            <w:pPr>
              <w:jc w:val="right"/>
              <w:rPr>
                <w:rFonts w:ascii="Arial Narrow" w:hAnsi="Arial Narrow" w:cs="Arial"/>
                <w:b/>
                <w:bCs/>
                <w:sz w:val="20"/>
                <w:lang w:eastAsia="sk-SK"/>
              </w:rPr>
            </w:pPr>
            <w:r w:rsidRPr="00371F46">
              <w:rPr>
                <w:rFonts w:ascii="Arial Narrow" w:hAnsi="Arial Narrow" w:cs="Arial"/>
                <w:b/>
                <w:bCs/>
                <w:sz w:val="20"/>
                <w:lang w:eastAsia="sk-SK"/>
              </w:rPr>
              <w:t>-151 752</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71F46" w:rsidP="00472216">
            <w:pPr>
              <w:jc w:val="right"/>
              <w:rPr>
                <w:rFonts w:ascii="Arial Narrow" w:hAnsi="Arial Narrow" w:cs="Arial"/>
                <w:b/>
                <w:bCs/>
                <w:sz w:val="20"/>
                <w:lang w:eastAsia="sk-SK"/>
              </w:rPr>
            </w:pPr>
            <w:r w:rsidRPr="00371F46">
              <w:rPr>
                <w:rFonts w:ascii="Arial Narrow" w:hAnsi="Arial Narrow" w:cs="Arial"/>
                <w:b/>
                <w:bCs/>
                <w:sz w:val="20"/>
                <w:lang w:eastAsia="sk-SK"/>
              </w:rPr>
              <w:t>11 189</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371F46" w:rsidP="00472216">
            <w:pPr>
              <w:jc w:val="right"/>
              <w:rPr>
                <w:rFonts w:ascii="Arial Narrow" w:hAnsi="Arial Narrow" w:cs="Arial"/>
                <w:b/>
                <w:bCs/>
                <w:sz w:val="20"/>
                <w:lang w:eastAsia="sk-SK"/>
              </w:rPr>
            </w:pPr>
            <w:r w:rsidRPr="00371F46">
              <w:rPr>
                <w:rFonts w:ascii="Arial Narrow" w:hAnsi="Arial Narrow" w:cs="Arial"/>
                <w:b/>
                <w:bCs/>
                <w:sz w:val="20"/>
                <w:lang w:eastAsia="sk-SK"/>
              </w:rPr>
              <w:t>21 114</w:t>
            </w:r>
          </w:p>
        </w:tc>
      </w:tr>
    </w:tbl>
    <w:p w:rsidR="00472216" w:rsidP="00472216">
      <w:pPr>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 xml:space="preserve">6.5.      Posledným z modifikujúcich faktorov sú výdavky na verejnoprospešný účel. </w:t>
      </w:r>
    </w:p>
    <w:p w:rsidR="00472216" w:rsidP="00472216">
      <w:pPr>
        <w:ind w:firstLine="708"/>
        <w:jc w:val="both"/>
        <w:rPr>
          <w:rFonts w:ascii="Arial Narrow" w:hAnsi="Arial Narrow" w:cs="Arial Narrow"/>
          <w:sz w:val="22"/>
          <w:szCs w:val="22"/>
        </w:rPr>
      </w:pPr>
    </w:p>
    <w:p w:rsidR="00472216" w:rsidP="00472216">
      <w:pPr>
        <w:jc w:val="both"/>
        <w:rPr>
          <w:rFonts w:ascii="Arial Narrow" w:hAnsi="Arial Narrow" w:cs="Arial Narrow"/>
          <w:sz w:val="22"/>
          <w:szCs w:val="22"/>
        </w:rPr>
      </w:pPr>
      <w:r>
        <w:rPr>
          <w:rFonts w:ascii="Arial Narrow" w:hAnsi="Arial Narrow" w:cs="Arial Narrow"/>
          <w:sz w:val="22"/>
          <w:szCs w:val="22"/>
        </w:rPr>
        <w:t xml:space="preserve">           Akrualizácia štátneho rozpočtu je ďalej vykonaná za predpokladu:</w:t>
      </w:r>
    </w:p>
    <w:p w:rsidR="00472216" w:rsidP="00472216">
      <w:pPr>
        <w:numPr>
          <w:ilvl w:val="0"/>
          <w:numId w:val="12"/>
        </w:numPr>
        <w:tabs>
          <w:tab w:val="left" w:pos="540"/>
          <w:tab w:val="clear" w:pos="2160"/>
        </w:tabs>
        <w:ind w:left="540" w:hanging="540"/>
        <w:jc w:val="both"/>
        <w:rPr>
          <w:rFonts w:ascii="Arial Narrow" w:hAnsi="Arial Narrow" w:cs="Arial Narrow"/>
          <w:sz w:val="22"/>
          <w:szCs w:val="22"/>
        </w:rPr>
      </w:pPr>
      <w:r>
        <w:rPr>
          <w:rFonts w:ascii="Arial Narrow" w:hAnsi="Arial Narrow" w:cs="Arial Narrow"/>
          <w:sz w:val="22"/>
          <w:szCs w:val="22"/>
        </w:rPr>
        <w:t xml:space="preserve">nulovej zmeny stavu pohľadávok a záväzkov rozpočtových organizácií, </w:t>
      </w:r>
    </w:p>
    <w:p w:rsidR="00472216" w:rsidP="00472216">
      <w:pPr>
        <w:numPr>
          <w:ilvl w:val="0"/>
          <w:numId w:val="11"/>
        </w:numPr>
        <w:tabs>
          <w:tab w:val="clear" w:pos="420"/>
          <w:tab w:val="left" w:pos="540"/>
        </w:tabs>
        <w:ind w:left="540" w:hanging="540"/>
        <w:jc w:val="both"/>
        <w:rPr>
          <w:rFonts w:ascii="Arial Narrow" w:hAnsi="Arial Narrow" w:cs="Arial Narrow"/>
          <w:sz w:val="22"/>
          <w:szCs w:val="22"/>
        </w:rPr>
      </w:pPr>
      <w:r>
        <w:rPr>
          <w:rFonts w:ascii="Arial Narrow" w:hAnsi="Arial Narrow" w:cs="Arial Narrow"/>
          <w:sz w:val="22"/>
          <w:szCs w:val="22"/>
        </w:rPr>
        <w:t xml:space="preserve">nulovej zmeny stavu mimorozpočtových účtov štátnych rozpočtových organizácií, </w:t>
      </w:r>
    </w:p>
    <w:p w:rsidR="00472216" w:rsidP="00472216">
      <w:pPr>
        <w:numPr>
          <w:ilvl w:val="0"/>
          <w:numId w:val="11"/>
        </w:numPr>
        <w:tabs>
          <w:tab w:val="clear" w:pos="420"/>
          <w:tab w:val="left" w:pos="540"/>
        </w:tabs>
        <w:ind w:left="540" w:hanging="540"/>
        <w:jc w:val="both"/>
        <w:rPr>
          <w:rFonts w:ascii="Arial Narrow" w:hAnsi="Arial Narrow" w:cs="Arial Narrow"/>
          <w:sz w:val="22"/>
          <w:szCs w:val="22"/>
        </w:rPr>
      </w:pPr>
      <w:r>
        <w:rPr>
          <w:rFonts w:ascii="Arial Narrow" w:hAnsi="Arial Narrow" w:cs="Arial Narrow"/>
          <w:sz w:val="22"/>
          <w:szCs w:val="22"/>
        </w:rPr>
        <w:t>nerealizovania tovarových deblokácií,</w:t>
      </w:r>
    </w:p>
    <w:p w:rsidR="00472216" w:rsidP="00472216">
      <w:pPr>
        <w:numPr>
          <w:ilvl w:val="0"/>
          <w:numId w:val="11"/>
        </w:numPr>
        <w:tabs>
          <w:tab w:val="clear" w:pos="420"/>
          <w:tab w:val="left" w:pos="540"/>
        </w:tabs>
        <w:ind w:left="540" w:hanging="540"/>
        <w:jc w:val="both"/>
        <w:rPr>
          <w:rFonts w:ascii="Arial Narrow" w:hAnsi="Arial Narrow" w:cs="Arial Narrow"/>
          <w:sz w:val="22"/>
          <w:szCs w:val="22"/>
        </w:rPr>
      </w:pPr>
      <w:r>
        <w:rPr>
          <w:rFonts w:ascii="Arial Narrow" w:hAnsi="Arial Narrow" w:cs="Arial Narrow"/>
          <w:sz w:val="22"/>
          <w:szCs w:val="22"/>
        </w:rPr>
        <w:t xml:space="preserve">neodpúšťania pohľadávok voči zahraničiu. </w:t>
      </w:r>
    </w:p>
    <w:p w:rsidR="00472216" w:rsidP="00472216">
      <w:pPr>
        <w:jc w:val="both"/>
        <w:rPr>
          <w:rFonts w:ascii="Arial Narrow" w:hAnsi="Arial Narrow" w:cs="Arial Narrow"/>
          <w:sz w:val="22"/>
          <w:szCs w:val="22"/>
        </w:rPr>
      </w:pPr>
    </w:p>
    <w:p w:rsidR="00472216" w:rsidP="00472216">
      <w:pPr>
        <w:pStyle w:val="BodyText"/>
        <w:spacing w:after="0"/>
        <w:ind w:firstLine="709"/>
        <w:jc w:val="both"/>
        <w:rPr>
          <w:rFonts w:ascii="Arial Narrow" w:hAnsi="Arial Narrow" w:cs="Arial Narrow"/>
          <w:bCs/>
          <w:sz w:val="22"/>
          <w:szCs w:val="22"/>
        </w:rPr>
      </w:pPr>
      <w:r>
        <w:rPr>
          <w:rFonts w:ascii="Arial Narrow" w:hAnsi="Arial Narrow" w:cs="Arial Narrow"/>
          <w:b/>
          <w:bCs/>
          <w:sz w:val="22"/>
          <w:szCs w:val="22"/>
        </w:rPr>
        <w:t>Schodok štátneho rozpočtu na hotovostnom princípe upravený o modifikujúce faktory predstavuje schodok štátneho rozpočtu v metodike ESA 95</w:t>
      </w:r>
      <w:r>
        <w:rPr>
          <w:rFonts w:ascii="Arial Narrow" w:hAnsi="Arial Narrow" w:cs="Arial Narrow"/>
          <w:bCs/>
          <w:sz w:val="22"/>
          <w:szCs w:val="22"/>
        </w:rPr>
        <w:t xml:space="preserve"> a v jednotlivých rokoch rozpočtového rámca sa predpokladá nasledovne.</w:t>
      </w:r>
    </w:p>
    <w:p w:rsidR="00472216" w:rsidRPr="00B7325C" w:rsidP="00472216">
      <w:pPr>
        <w:pStyle w:val="BodyText"/>
        <w:spacing w:after="0"/>
        <w:ind w:firstLine="709"/>
        <w:jc w:val="both"/>
        <w:rPr>
          <w:rFonts w:ascii="Arial Narrow" w:hAnsi="Arial Narrow" w:cs="Arial Narrow"/>
          <w:sz w:val="22"/>
          <w:szCs w:val="22"/>
        </w:rPr>
      </w:pPr>
    </w:p>
    <w:tbl>
      <w:tblPr>
        <w:tblW w:w="7920" w:type="dxa"/>
        <w:jc w:val="center"/>
        <w:tblInd w:w="58" w:type="dxa"/>
        <w:tblCellMar>
          <w:left w:w="70" w:type="dxa"/>
          <w:right w:w="70" w:type="dxa"/>
        </w:tblCellMar>
      </w:tblPr>
      <w:tblGrid>
        <w:gridCol w:w="3440"/>
        <w:gridCol w:w="1120"/>
        <w:gridCol w:w="1120"/>
        <w:gridCol w:w="1120"/>
        <w:gridCol w:w="1120"/>
      </w:tblGrid>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000000"/>
            <w:noWrap/>
            <w:textDirection w:val="lrTb"/>
            <w:vAlign w:val="top"/>
          </w:tcPr>
          <w:p w:rsidR="00472216" w:rsidRPr="00345B04" w:rsidP="00472216">
            <w:pPr>
              <w:rPr>
                <w:rFonts w:ascii="Arial Narrow" w:hAnsi="Arial Narrow" w:cs="Arial"/>
                <w:color w:val="FFFFFF"/>
                <w:sz w:val="16"/>
                <w:szCs w:val="16"/>
                <w:lang w:eastAsia="sk-SK"/>
              </w:rPr>
            </w:pPr>
            <w:r w:rsidRPr="00345B04">
              <w:rPr>
                <w:rFonts w:ascii="Arial Narrow" w:hAnsi="Arial Narrow" w:cs="Arial"/>
                <w:color w:val="FFFFFF"/>
                <w:sz w:val="16"/>
                <w:szCs w:val="16"/>
                <w:lang w:eastAsia="sk-SK"/>
              </w:rPr>
              <w:t>(v tis. eur)</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45B04" w:rsidP="00472216">
            <w:pPr>
              <w:jc w:val="center"/>
              <w:rPr>
                <w:rFonts w:ascii="Arial Narrow" w:hAnsi="Arial Narrow" w:cs="Arial"/>
                <w:b/>
                <w:bCs/>
                <w:color w:val="FFFFFF"/>
                <w:sz w:val="20"/>
                <w:lang w:eastAsia="sk-SK"/>
              </w:rPr>
            </w:pPr>
            <w:r w:rsidRPr="00345B04">
              <w:rPr>
                <w:rFonts w:ascii="Arial Narrow" w:hAnsi="Arial Narrow" w:cs="Arial"/>
                <w:b/>
                <w:bCs/>
                <w:color w:val="FFFFFF"/>
                <w:sz w:val="20"/>
                <w:lang w:eastAsia="sk-SK"/>
              </w:rPr>
              <w:t>2008</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45B04" w:rsidP="00472216">
            <w:pPr>
              <w:jc w:val="center"/>
              <w:rPr>
                <w:rFonts w:ascii="Arial Narrow" w:hAnsi="Arial Narrow" w:cs="Arial"/>
                <w:b/>
                <w:bCs/>
                <w:color w:val="FFFFFF"/>
                <w:sz w:val="20"/>
                <w:lang w:eastAsia="sk-SK"/>
              </w:rPr>
            </w:pPr>
            <w:r w:rsidRPr="00345B04">
              <w:rPr>
                <w:rFonts w:ascii="Arial Narrow" w:hAnsi="Arial Narrow" w:cs="Arial"/>
                <w:b/>
                <w:bCs/>
                <w:color w:val="FFFFFF"/>
                <w:sz w:val="20"/>
                <w:lang w:eastAsia="sk-SK"/>
              </w:rPr>
              <w:t>2009</w:t>
            </w:r>
          </w:p>
        </w:tc>
        <w:tc>
          <w:tcPr>
            <w:tcW w:w="1120" w:type="dxa"/>
            <w:tcBorders>
              <w:top w:val="single" w:sz="8" w:space="0" w:color="auto"/>
              <w:left w:val="nil"/>
              <w:bottom w:val="single" w:sz="8" w:space="0" w:color="auto"/>
              <w:right w:val="single" w:sz="4" w:space="0" w:color="auto"/>
              <w:tl2br w:val="nil"/>
              <w:tr2bl w:val="nil"/>
            </w:tcBorders>
            <w:shd w:val="clear" w:color="auto" w:fill="000000"/>
            <w:noWrap/>
            <w:textDirection w:val="lrTb"/>
            <w:vAlign w:val="center"/>
          </w:tcPr>
          <w:p w:rsidR="00472216" w:rsidRPr="00345B04" w:rsidP="00472216">
            <w:pPr>
              <w:jc w:val="center"/>
              <w:rPr>
                <w:rFonts w:ascii="Arial Narrow" w:hAnsi="Arial Narrow" w:cs="Arial"/>
                <w:b/>
                <w:bCs/>
                <w:color w:val="FFFFFF"/>
                <w:sz w:val="20"/>
                <w:lang w:eastAsia="sk-SK"/>
              </w:rPr>
            </w:pPr>
            <w:r w:rsidRPr="00345B04">
              <w:rPr>
                <w:rFonts w:ascii="Arial Narrow" w:hAnsi="Arial Narrow" w:cs="Arial"/>
                <w:b/>
                <w:bCs/>
                <w:color w:val="FFFFFF"/>
                <w:sz w:val="20"/>
                <w:lang w:eastAsia="sk-SK"/>
              </w:rPr>
              <w:t>2010</w:t>
            </w:r>
          </w:p>
        </w:tc>
        <w:tc>
          <w:tcPr>
            <w:tcW w:w="1120" w:type="dxa"/>
            <w:tcBorders>
              <w:top w:val="single" w:sz="8" w:space="0" w:color="auto"/>
              <w:left w:val="nil"/>
              <w:bottom w:val="single" w:sz="8" w:space="0" w:color="auto"/>
              <w:right w:val="single" w:sz="8" w:space="0" w:color="auto"/>
              <w:tl2br w:val="nil"/>
              <w:tr2bl w:val="nil"/>
            </w:tcBorders>
            <w:shd w:val="clear" w:color="auto" w:fill="000000"/>
            <w:noWrap/>
            <w:textDirection w:val="lrTb"/>
            <w:vAlign w:val="center"/>
          </w:tcPr>
          <w:p w:rsidR="00472216" w:rsidRPr="00345B04" w:rsidP="00472216">
            <w:pPr>
              <w:jc w:val="center"/>
              <w:rPr>
                <w:rFonts w:ascii="Arial Narrow" w:hAnsi="Arial Narrow" w:cs="Arial"/>
                <w:b/>
                <w:bCs/>
                <w:color w:val="FFFFFF"/>
                <w:sz w:val="20"/>
                <w:lang w:eastAsia="sk-SK"/>
              </w:rPr>
            </w:pPr>
            <w:r w:rsidRPr="00345B04">
              <w:rPr>
                <w:rFonts w:ascii="Arial Narrow" w:hAnsi="Arial Narrow" w:cs="Arial"/>
                <w:b/>
                <w:bCs/>
                <w:color w:val="FFFFFF"/>
                <w:sz w:val="20"/>
                <w:lang w:eastAsia="sk-SK"/>
              </w:rPr>
              <w:t>2011</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l2br w:val="nil"/>
              <w:tr2bl w:val="nil"/>
            </w:tcBorders>
            <w:shd w:val="clear" w:color="auto" w:fill="C0C0C0"/>
            <w:noWrap/>
            <w:textDirection w:val="lrTb"/>
            <w:vAlign w:val="center"/>
          </w:tcPr>
          <w:p w:rsidR="00472216" w:rsidRPr="00345B04" w:rsidP="00472216">
            <w:pPr>
              <w:rPr>
                <w:rFonts w:ascii="Arial Narrow" w:hAnsi="Arial Narrow" w:cs="Arial"/>
                <w:b/>
                <w:bCs/>
                <w:sz w:val="20"/>
                <w:lang w:eastAsia="sk-SK"/>
              </w:rPr>
            </w:pPr>
            <w:r w:rsidRPr="00345B04">
              <w:rPr>
                <w:rFonts w:ascii="Arial Narrow" w:hAnsi="Arial Narrow" w:cs="Arial"/>
                <w:b/>
                <w:bCs/>
                <w:sz w:val="20"/>
                <w:lang w:eastAsia="sk-SK"/>
              </w:rPr>
              <w:t>Schodok ŠR na hot. princípe</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-1 061 585</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-886 701</w:t>
            </w:r>
          </w:p>
        </w:tc>
        <w:tc>
          <w:tcPr>
            <w:tcW w:w="1120" w:type="dxa"/>
            <w:tcBorders>
              <w:top w:val="nil"/>
              <w:left w:val="nil"/>
              <w:bottom w:val="single" w:sz="4"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-465 016</w:t>
            </w:r>
          </w:p>
        </w:tc>
        <w:tc>
          <w:tcPr>
            <w:tcW w:w="112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-133 966</w:t>
            </w:r>
          </w:p>
        </w:tc>
      </w:tr>
      <w:tr>
        <w:tblPrEx>
          <w:tblW w:w="7920" w:type="dxa"/>
          <w:jc w:val="center"/>
          <w:tblInd w:w="58"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l2br w:val="nil"/>
              <w:tr2bl w:val="nil"/>
            </w:tcBorders>
            <w:noWrap/>
            <w:textDirection w:val="lrTb"/>
            <w:vAlign w:val="center"/>
          </w:tcPr>
          <w:p w:rsidR="00472216" w:rsidRPr="00345B04" w:rsidP="00472216">
            <w:pPr>
              <w:rPr>
                <w:rFonts w:ascii="Arial Narrow" w:hAnsi="Arial Narrow" w:cs="Arial"/>
                <w:b/>
                <w:bCs/>
                <w:sz w:val="20"/>
                <w:lang w:eastAsia="sk-SK"/>
              </w:rPr>
            </w:pPr>
            <w:r w:rsidRPr="00345B04">
              <w:rPr>
                <w:rFonts w:ascii="Arial Narrow" w:hAnsi="Arial Narrow" w:cs="Arial"/>
                <w:b/>
                <w:bCs/>
                <w:sz w:val="20"/>
                <w:lang w:eastAsia="sk-SK"/>
              </w:rPr>
              <w:t>Modifikujúce faktory</w:t>
            </w:r>
          </w:p>
        </w:tc>
        <w:tc>
          <w:tcPr>
            <w:tcW w:w="1120" w:type="dxa"/>
            <w:tcBorders>
              <w:top w:val="nil"/>
              <w:left w:val="nil"/>
              <w:bottom w:val="nil"/>
              <w:right w:val="single" w:sz="4" w:space="0" w:color="auto"/>
              <w:tl2br w:val="nil"/>
              <w:tr2bl w:val="nil"/>
            </w:tcBorders>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-635 883</w:t>
            </w:r>
          </w:p>
        </w:tc>
        <w:tc>
          <w:tcPr>
            <w:tcW w:w="1120" w:type="dxa"/>
            <w:tcBorders>
              <w:top w:val="nil"/>
              <w:left w:val="nil"/>
              <w:bottom w:val="nil"/>
              <w:right w:val="single" w:sz="4" w:space="0" w:color="auto"/>
              <w:tl2br w:val="nil"/>
              <w:tr2bl w:val="nil"/>
            </w:tcBorders>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-784 685</w:t>
            </w:r>
          </w:p>
        </w:tc>
        <w:tc>
          <w:tcPr>
            <w:tcW w:w="1120" w:type="dxa"/>
            <w:tcBorders>
              <w:top w:val="nil"/>
              <w:left w:val="nil"/>
              <w:bottom w:val="nil"/>
              <w:right w:val="single" w:sz="4" w:space="0" w:color="auto"/>
              <w:tl2br w:val="nil"/>
              <w:tr2bl w:val="nil"/>
            </w:tcBorders>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-475 227</w:t>
            </w:r>
          </w:p>
        </w:tc>
        <w:tc>
          <w:tcPr>
            <w:tcW w:w="1120" w:type="dxa"/>
            <w:tcBorders>
              <w:top w:val="nil"/>
              <w:left w:val="nil"/>
              <w:bottom w:val="nil"/>
              <w:right w:val="single" w:sz="8" w:space="0" w:color="auto"/>
              <w:tl2br w:val="nil"/>
              <w:tr2bl w:val="nil"/>
            </w:tcBorders>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-225 557</w:t>
            </w:r>
          </w:p>
        </w:tc>
      </w:tr>
      <w:tr>
        <w:tblPrEx>
          <w:tblW w:w="7920" w:type="dxa"/>
          <w:jc w:val="center"/>
          <w:tblInd w:w="58"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472216" w:rsidRPr="00345B04" w:rsidP="00472216">
            <w:pPr>
              <w:rPr>
                <w:rFonts w:ascii="Arial Narrow" w:hAnsi="Arial Narrow" w:cs="Arial"/>
                <w:b/>
                <w:bCs/>
                <w:sz w:val="20"/>
                <w:lang w:eastAsia="sk-SK"/>
              </w:rPr>
            </w:pPr>
            <w:r w:rsidRPr="00345B04">
              <w:rPr>
                <w:rFonts w:ascii="Arial Narrow" w:hAnsi="Arial Narrow" w:cs="Arial"/>
                <w:b/>
                <w:bCs/>
                <w:sz w:val="20"/>
                <w:lang w:eastAsia="sk-SK"/>
              </w:rPr>
              <w:t>Schodok ŠR (ESA 95)</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-1 697 467</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-1 671 386</w:t>
            </w:r>
          </w:p>
        </w:tc>
        <w:tc>
          <w:tcPr>
            <w:tcW w:w="1120" w:type="dxa"/>
            <w:tcBorders>
              <w:top w:val="single" w:sz="8" w:space="0" w:color="auto"/>
              <w:left w:val="nil"/>
              <w:bottom w:val="single" w:sz="8" w:space="0" w:color="auto"/>
              <w:right w:val="single" w:sz="4"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-940 243</w:t>
            </w:r>
          </w:p>
        </w:tc>
        <w:tc>
          <w:tcPr>
            <w:tcW w:w="112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472216" w:rsidRPr="00345B04" w:rsidP="00472216">
            <w:pPr>
              <w:jc w:val="right"/>
              <w:rPr>
                <w:rFonts w:ascii="Arial Narrow" w:hAnsi="Arial Narrow" w:cs="Arial"/>
                <w:b/>
                <w:bCs/>
                <w:sz w:val="20"/>
                <w:lang w:eastAsia="sk-SK"/>
              </w:rPr>
            </w:pPr>
            <w:r w:rsidRPr="00345B04">
              <w:rPr>
                <w:rFonts w:ascii="Arial Narrow" w:hAnsi="Arial Narrow" w:cs="Arial"/>
                <w:b/>
                <w:bCs/>
                <w:sz w:val="20"/>
                <w:lang w:eastAsia="sk-SK"/>
              </w:rPr>
              <w:t>-359 523</w:t>
            </w:r>
          </w:p>
        </w:tc>
      </w:tr>
    </w:tbl>
    <w:p w:rsidR="00472216" w:rsidP="00472216">
      <w:pPr>
        <w:rPr>
          <w:rFonts w:cs="Times New Roman"/>
        </w:rPr>
      </w:pPr>
    </w:p>
    <w:p w:rsidR="00472216" w:rsidP="00472216">
      <w:pPr>
        <w:rPr>
          <w:rFonts w:cs="Times New Roman"/>
        </w:rPr>
      </w:pPr>
    </w:p>
    <w:sectPr>
      <w:footerReference w:type="even" r:id="rId10"/>
      <w:footerReference w:type="default" r:id="rId11"/>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altName w:val="Tahoma"/>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imesNewRoman">
    <w:panose1 w:val="00000000000000000000"/>
    <w:charset w:val="00"/>
    <w:family w:val="auto"/>
    <w:pitch w:val="default"/>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Garamond">
    <w:panose1 w:val="02020404030301010803"/>
    <w:charset w:val="00"/>
    <w:family w:val="roman"/>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12" w:rsidP="00E3085A">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6E0312" w:rsidP="000E060D">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12" w:rsidRPr="004B218E" w:rsidP="00E3085A">
    <w:pPr>
      <w:pStyle w:val="Footer"/>
      <w:framePr w:vAnchor="text" w:hAnchor="margin" w:xAlign="center" w:y="1"/>
      <w:rPr>
        <w:rStyle w:val="PageNumber"/>
        <w:rFonts w:ascii="Arial Narrow" w:hAnsi="Arial Narrow" w:cs="Times New Roman"/>
        <w:sz w:val="22"/>
        <w:szCs w:val="22"/>
      </w:rPr>
    </w:pPr>
    <w:r w:rsidRPr="004B218E">
      <w:rPr>
        <w:rStyle w:val="PageNumber"/>
        <w:rFonts w:ascii="Arial Narrow" w:hAnsi="Arial Narrow" w:cs="Times New Roman"/>
        <w:sz w:val="22"/>
        <w:szCs w:val="22"/>
      </w:rPr>
      <w:fldChar w:fldCharType="begin"/>
    </w:r>
    <w:r w:rsidRPr="004B218E">
      <w:rPr>
        <w:rStyle w:val="PageNumber"/>
        <w:rFonts w:ascii="Arial Narrow" w:hAnsi="Arial Narrow" w:cs="Times New Roman"/>
        <w:sz w:val="22"/>
        <w:szCs w:val="22"/>
      </w:rPr>
      <w:instrText xml:space="preserve">PAGE  </w:instrText>
    </w:r>
    <w:r w:rsidRPr="004B218E">
      <w:rPr>
        <w:rStyle w:val="PageNumber"/>
        <w:rFonts w:ascii="Arial Narrow" w:hAnsi="Arial Narrow" w:cs="Times New Roman"/>
        <w:sz w:val="22"/>
        <w:szCs w:val="22"/>
      </w:rPr>
      <w:fldChar w:fldCharType="separate"/>
    </w:r>
    <w:r w:rsidR="00B90FAF">
      <w:rPr>
        <w:rStyle w:val="PageNumber"/>
        <w:rFonts w:ascii="Arial Narrow" w:hAnsi="Arial Narrow" w:cs="Times New Roman"/>
        <w:noProof/>
        <w:sz w:val="22"/>
        <w:szCs w:val="22"/>
      </w:rPr>
      <w:t>2</w:t>
    </w:r>
    <w:r w:rsidRPr="004B218E">
      <w:rPr>
        <w:rStyle w:val="PageNumber"/>
        <w:rFonts w:ascii="Arial Narrow" w:hAnsi="Arial Narrow" w:cs="Times New Roman"/>
        <w:sz w:val="22"/>
        <w:szCs w:val="22"/>
      </w:rPr>
      <w:fldChar w:fldCharType="end"/>
    </w:r>
  </w:p>
  <w:p w:rsidR="006E0312" w:rsidP="000E060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P="000E060D">
      <w:pPr>
        <w:pStyle w:val="FootnoteText"/>
        <w:rPr>
          <w:rFonts w:cs="Times New Roman"/>
        </w:rPr>
      </w:pPr>
      <w:r w:rsidRPr="00DD5735" w:rsidR="006E0312">
        <w:rPr>
          <w:rStyle w:val="FootnoteReference"/>
          <w:rFonts w:ascii="Arial Narrow" w:hAnsi="Arial Narrow" w:cs="Times New Roman"/>
          <w:sz w:val="18"/>
          <w:szCs w:val="18"/>
        </w:rPr>
        <w:footnoteRef/>
      </w:r>
      <w:r w:rsidRPr="00DD5735" w:rsidR="006E0312">
        <w:rPr>
          <w:rFonts w:ascii="Arial Narrow" w:hAnsi="Arial Narrow" w:cs="Times New Roman"/>
          <w:sz w:val="18"/>
          <w:szCs w:val="18"/>
        </w:rPr>
        <w:t xml:space="preserve"> Ministerstvo financií SR vychádza z krátkodobých prognóz Európskej komisie, strednodobých prognóz OECD a národných prognóz; pri prognózach Českej republiky sa odvoláva na aktualizovanú národnú prognózu MF ČR.   </w:t>
      </w:r>
    </w:p>
  </w:footnote>
  <w:footnote w:id="1">
    <w:p w:rsidP="00F105AC">
      <w:pPr>
        <w:pStyle w:val="FootnoteText"/>
        <w:ind w:left="180" w:hanging="180"/>
        <w:jc w:val="both"/>
        <w:rPr>
          <w:rFonts w:cs="Times New Roman"/>
        </w:rPr>
      </w:pPr>
      <w:r w:rsidRPr="00DD5735" w:rsidR="006E0312">
        <w:rPr>
          <w:rStyle w:val="FootnoteReference"/>
          <w:rFonts w:ascii="Arial Narrow" w:hAnsi="Arial Narrow" w:cs="Times New Roman"/>
          <w:sz w:val="18"/>
          <w:szCs w:val="18"/>
        </w:rPr>
        <w:footnoteRef/>
      </w:r>
      <w:r w:rsidRPr="00DD5735" w:rsidR="006E0312">
        <w:rPr>
          <w:rFonts w:ascii="Arial Narrow" w:hAnsi="Arial Narrow" w:cs="Times New Roman"/>
          <w:sz w:val="18"/>
          <w:szCs w:val="18"/>
        </w:rPr>
        <w:t xml:space="preserve"> </w:t>
        <w:tab/>
        <w:t xml:space="preserve">Všetky uvádzané hodnoty sú počítané v metodike, ktorá sa používa pri posudzovaní plnenia maastrichtského kritéria pre  výšku hrubého dlhu verejnej správy – tzv. maastrichtský hrubý dlh verejnej správy.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54F"/>
    <w:multiLevelType w:val="multilevel"/>
    <w:tmpl w:val="A57CF886"/>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1">
    <w:nsid w:val="01BC3D5A"/>
    <w:multiLevelType w:val="hybridMultilevel"/>
    <w:tmpl w:val="AB962B42"/>
    <w:lvl w:ilvl="0">
      <w:start w:val="8"/>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2">
    <w:nsid w:val="025F3893"/>
    <w:multiLevelType w:val="multilevel"/>
    <w:tmpl w:val="77AA2190"/>
    <w:lvl w:ilvl="0">
      <w:start w:val="5"/>
      <w:numFmt w:val="decimal"/>
      <w:lvlText w:val="%1."/>
      <w:lvlJc w:val="left"/>
      <w:pPr>
        <w:tabs>
          <w:tab w:val="num" w:pos="450"/>
        </w:tabs>
        <w:ind w:left="450" w:hanging="450"/>
      </w:pPr>
      <w:rPr>
        <w:rFonts w:cs="Times New Roman"/>
        <w:rtl w:val="0"/>
      </w:rPr>
    </w:lvl>
    <w:lvl w:ilvl="1">
      <w:start w:val="2"/>
      <w:numFmt w:val="decimal"/>
      <w:lvlText w:val="%1.%2."/>
      <w:lvlJc w:val="left"/>
      <w:pPr>
        <w:tabs>
          <w:tab w:val="num" w:pos="450"/>
        </w:tabs>
        <w:ind w:left="450" w:hanging="450"/>
      </w:pPr>
      <w:rPr>
        <w:rFonts w:cs="Times New Roman"/>
        <w:rtl w:val="0"/>
      </w:rPr>
    </w:lvl>
    <w:lvl w:ilvl="2">
      <w:start w:val="4"/>
      <w:numFmt w:val="decimal"/>
      <w:lvlText w:val="%1.%2.%3."/>
      <w:lvlJc w:val="left"/>
      <w:pPr>
        <w:tabs>
          <w:tab w:val="num" w:pos="720"/>
        </w:tabs>
        <w:ind w:left="720" w:hanging="720"/>
      </w:pPr>
      <w:rPr>
        <w:rFonts w:cs="Times New Roman"/>
        <w:rtl w:val="0"/>
      </w:rPr>
    </w:lvl>
    <w:lvl w:ilvl="3">
      <w:start w:val="1"/>
      <w:numFmt w:val="decimal"/>
      <w:lvlText w:val="%1.%2.%3.%4."/>
      <w:lvlJc w:val="left"/>
      <w:pPr>
        <w:tabs>
          <w:tab w:val="num" w:pos="720"/>
        </w:tabs>
        <w:ind w:left="720" w:hanging="720"/>
      </w:pPr>
      <w:rPr>
        <w:rFonts w:cs="Times New Roman"/>
        <w:rtl w:val="0"/>
      </w:rPr>
    </w:lvl>
    <w:lvl w:ilvl="4">
      <w:start w:val="1"/>
      <w:numFmt w:val="decimal"/>
      <w:lvlText w:val="%1.%2.%3.%4.%5."/>
      <w:lvlJc w:val="left"/>
      <w:pPr>
        <w:tabs>
          <w:tab w:val="num" w:pos="1080"/>
        </w:tabs>
        <w:ind w:left="1080" w:hanging="1080"/>
      </w:pPr>
      <w:rPr>
        <w:rFonts w:cs="Times New Roman"/>
        <w:rtl w:val="0"/>
      </w:rPr>
    </w:lvl>
    <w:lvl w:ilvl="5">
      <w:start w:val="1"/>
      <w:numFmt w:val="decimal"/>
      <w:lvlText w:val="%1.%2.%3.%4.%5.%6."/>
      <w:lvlJc w:val="left"/>
      <w:pPr>
        <w:tabs>
          <w:tab w:val="num" w:pos="1080"/>
        </w:tabs>
        <w:ind w:left="1080" w:hanging="1080"/>
      </w:pPr>
      <w:rPr>
        <w:rFonts w:cs="Times New Roman"/>
        <w:rtl w:val="0"/>
      </w:rPr>
    </w:lvl>
    <w:lvl w:ilvl="6">
      <w:start w:val="1"/>
      <w:numFmt w:val="decimal"/>
      <w:lvlText w:val="%1.%2.%3.%4.%5.%6.%7."/>
      <w:lvlJc w:val="left"/>
      <w:pPr>
        <w:tabs>
          <w:tab w:val="num" w:pos="1080"/>
        </w:tabs>
        <w:ind w:left="1080" w:hanging="1080"/>
      </w:pPr>
      <w:rPr>
        <w:rFonts w:cs="Times New Roman"/>
        <w:rtl w:val="0"/>
      </w:rPr>
    </w:lvl>
    <w:lvl w:ilvl="7">
      <w:start w:val="1"/>
      <w:numFmt w:val="decimal"/>
      <w:lvlText w:val="%1.%2.%3.%4.%5.%6.%7.%8."/>
      <w:lvlJc w:val="left"/>
      <w:pPr>
        <w:tabs>
          <w:tab w:val="num" w:pos="1440"/>
        </w:tabs>
        <w:ind w:left="1440" w:hanging="1440"/>
      </w:pPr>
      <w:rPr>
        <w:rFonts w:cs="Times New Roman"/>
        <w:rtl w:val="0"/>
      </w:rPr>
    </w:lvl>
    <w:lvl w:ilvl="8">
      <w:start w:val="1"/>
      <w:numFmt w:val="decimal"/>
      <w:lvlText w:val="%1.%2.%3.%4.%5.%6.%7.%8.%9."/>
      <w:lvlJc w:val="left"/>
      <w:pPr>
        <w:tabs>
          <w:tab w:val="num" w:pos="1440"/>
        </w:tabs>
        <w:ind w:left="1440" w:hanging="1440"/>
      </w:pPr>
      <w:rPr>
        <w:rFonts w:cs="Times New Roman"/>
        <w:rtl w:val="0"/>
      </w:rPr>
    </w:lvl>
  </w:abstractNum>
  <w:abstractNum w:abstractNumId="3">
    <w:nsid w:val="026B74D5"/>
    <w:multiLevelType w:val="hybridMultilevel"/>
    <w:tmpl w:val="D7A6BE08"/>
    <w:lvl w:ilvl="0">
      <w:start w:val="0"/>
      <w:numFmt w:val="bullet"/>
      <w:lvlText w:val="-"/>
      <w:lvlJc w:val="left"/>
      <w:pPr>
        <w:tabs>
          <w:tab w:val="num" w:pos="2160"/>
        </w:tabs>
        <w:ind w:left="2160" w:hanging="360"/>
      </w:pPr>
      <w:rPr>
        <w:rFonts w:ascii="Arial Narrow" w:hAnsi="Arial Narrow"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04282F30"/>
    <w:multiLevelType w:val="hybridMultilevel"/>
    <w:tmpl w:val="3DE881A4"/>
    <w:lvl w:ilvl="0">
      <w:start w:val="2"/>
      <w:numFmt w:val="bullet"/>
      <w:lvlText w:val="-"/>
      <w:lvlJc w:val="left"/>
      <w:pPr>
        <w:tabs>
          <w:tab w:val="num" w:pos="585"/>
        </w:tabs>
        <w:ind w:left="585" w:hanging="360"/>
      </w:pPr>
      <w:rPr>
        <w:rFonts w:ascii="Times New Roman" w:hAnsi="Times New Roman" w:cs="Times New Roman"/>
        <w:rtl w:val="0"/>
      </w:rPr>
    </w:lvl>
    <w:lvl w:ilvl="1">
      <w:start w:val="1"/>
      <w:numFmt w:val="bullet"/>
      <w:lvlText w:val="o"/>
      <w:lvlJc w:val="left"/>
      <w:pPr>
        <w:tabs>
          <w:tab w:val="num" w:pos="1305"/>
        </w:tabs>
        <w:ind w:left="1305" w:hanging="360"/>
      </w:pPr>
      <w:rPr>
        <w:rFonts w:ascii="Courier New" w:hAnsi="Courier New"/>
        <w:rtl w:val="0"/>
      </w:rPr>
    </w:lvl>
    <w:lvl w:ilvl="2">
      <w:start w:val="1"/>
      <w:numFmt w:val="bullet"/>
      <w:lvlText w:val=""/>
      <w:lvlJc w:val="left"/>
      <w:pPr>
        <w:tabs>
          <w:tab w:val="num" w:pos="2025"/>
        </w:tabs>
        <w:ind w:left="2025" w:hanging="360"/>
      </w:pPr>
      <w:rPr>
        <w:rFonts w:ascii="Wingdings" w:hAnsi="Wingdings"/>
        <w:rtl w:val="0"/>
      </w:rPr>
    </w:lvl>
    <w:lvl w:ilvl="3">
      <w:start w:val="1"/>
      <w:numFmt w:val="bullet"/>
      <w:lvlText w:val=""/>
      <w:lvlJc w:val="left"/>
      <w:pPr>
        <w:tabs>
          <w:tab w:val="num" w:pos="2745"/>
        </w:tabs>
        <w:ind w:left="2745" w:hanging="360"/>
      </w:pPr>
      <w:rPr>
        <w:rFonts w:ascii="Symbol" w:hAnsi="Symbol"/>
        <w:rtl w:val="0"/>
      </w:rPr>
    </w:lvl>
    <w:lvl w:ilvl="4">
      <w:start w:val="1"/>
      <w:numFmt w:val="bullet"/>
      <w:lvlText w:val="o"/>
      <w:lvlJc w:val="left"/>
      <w:pPr>
        <w:tabs>
          <w:tab w:val="num" w:pos="3465"/>
        </w:tabs>
        <w:ind w:left="3465" w:hanging="360"/>
      </w:pPr>
      <w:rPr>
        <w:rFonts w:ascii="Courier New" w:hAnsi="Courier New"/>
        <w:rtl w:val="0"/>
      </w:rPr>
    </w:lvl>
    <w:lvl w:ilvl="5">
      <w:start w:val="1"/>
      <w:numFmt w:val="bullet"/>
      <w:lvlText w:val=""/>
      <w:lvlJc w:val="left"/>
      <w:pPr>
        <w:tabs>
          <w:tab w:val="num" w:pos="4185"/>
        </w:tabs>
        <w:ind w:left="4185" w:hanging="360"/>
      </w:pPr>
      <w:rPr>
        <w:rFonts w:ascii="Wingdings" w:hAnsi="Wingdings"/>
        <w:rtl w:val="0"/>
      </w:rPr>
    </w:lvl>
    <w:lvl w:ilvl="6">
      <w:start w:val="1"/>
      <w:numFmt w:val="bullet"/>
      <w:lvlText w:val=""/>
      <w:lvlJc w:val="left"/>
      <w:pPr>
        <w:tabs>
          <w:tab w:val="num" w:pos="4905"/>
        </w:tabs>
        <w:ind w:left="4905" w:hanging="360"/>
      </w:pPr>
      <w:rPr>
        <w:rFonts w:ascii="Symbol" w:hAnsi="Symbol"/>
        <w:rtl w:val="0"/>
      </w:rPr>
    </w:lvl>
    <w:lvl w:ilvl="7">
      <w:start w:val="1"/>
      <w:numFmt w:val="bullet"/>
      <w:lvlText w:val="o"/>
      <w:lvlJc w:val="left"/>
      <w:pPr>
        <w:tabs>
          <w:tab w:val="num" w:pos="5625"/>
        </w:tabs>
        <w:ind w:left="5625" w:hanging="360"/>
      </w:pPr>
      <w:rPr>
        <w:rFonts w:ascii="Courier New" w:hAnsi="Courier New"/>
        <w:rtl w:val="0"/>
      </w:rPr>
    </w:lvl>
    <w:lvl w:ilvl="8">
      <w:start w:val="1"/>
      <w:numFmt w:val="bullet"/>
      <w:lvlText w:val=""/>
      <w:lvlJc w:val="left"/>
      <w:pPr>
        <w:tabs>
          <w:tab w:val="num" w:pos="6345"/>
        </w:tabs>
        <w:ind w:left="6345" w:hanging="360"/>
      </w:pPr>
      <w:rPr>
        <w:rFonts w:ascii="Wingdings" w:hAnsi="Wingdings"/>
        <w:rtl w:val="0"/>
      </w:rPr>
    </w:lvl>
  </w:abstractNum>
  <w:abstractNum w:abstractNumId="5">
    <w:nsid w:val="05BE05CE"/>
    <w:multiLevelType w:val="multilevel"/>
    <w:tmpl w:val="8CE827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60A6A6E"/>
    <w:multiLevelType w:val="multilevel"/>
    <w:tmpl w:val="7716F382"/>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588" w:hanging="1588"/>
      </w:pPr>
      <w:rPr>
        <w:rFonts w:ascii="Arial" w:hAnsi="Arial"/>
        <w:b/>
        <w:i w:val="0"/>
        <w:sz w:val="28"/>
        <w:szCs w:val="28"/>
        <w:rtl w:val="0"/>
      </w:rPr>
    </w:lvl>
    <w:lvl w:ilvl="2">
      <w:start w:val="1"/>
      <w:numFmt w:val="decimal"/>
      <w:lvlText w:val="%1.%2.%3."/>
      <w:lvlJc w:val="left"/>
      <w:pPr>
        <w:tabs>
          <w:tab w:val="num" w:pos="680"/>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696D14"/>
    <w:multiLevelType w:val="hybridMultilevel"/>
    <w:tmpl w:val="738ADEC2"/>
    <w:lvl w:ilvl="0">
      <w:start w:val="1"/>
      <w:numFmt w:val="bullet"/>
      <w:lvlText w:val=""/>
      <w:lvlJc w:val="left"/>
      <w:pPr>
        <w:tabs>
          <w:tab w:val="num" w:pos="1440"/>
        </w:tabs>
        <w:ind w:left="1440" w:hanging="360"/>
      </w:pPr>
      <w:rPr>
        <w:rFonts w:ascii="Symbol" w:hAnsi="Symbol"/>
        <w:rtl w:val="0"/>
      </w:rPr>
    </w:lvl>
    <w:lvl w:ilvl="1">
      <w:start w:val="1"/>
      <w:numFmt w:val="bullet"/>
      <w:lvlText w:val=""/>
      <w:lvlJc w:val="left"/>
      <w:pPr>
        <w:tabs>
          <w:tab w:val="num" w:pos="1802"/>
        </w:tabs>
        <w:ind w:left="2160" w:hanging="360"/>
      </w:pPr>
      <w:rPr>
        <w:rFonts w:ascii="Symbol" w:hAnsi="Symbol"/>
        <w:rtl w:val="0"/>
      </w:rPr>
    </w:lvl>
    <w:lvl w:ilvl="2">
      <w:start w:val="1"/>
      <w:numFmt w:val="bullet"/>
      <w:lvlText w:val=""/>
      <w:lvlJc w:val="left"/>
      <w:pPr>
        <w:tabs>
          <w:tab w:val="num" w:pos="2880"/>
        </w:tabs>
        <w:ind w:left="2880" w:hanging="360"/>
      </w:pPr>
      <w:rPr>
        <w:rFonts w:ascii="Wingdings" w:hAnsi="Wingdings"/>
        <w:rtl w:val="0"/>
      </w:rPr>
    </w:lvl>
    <w:lvl w:ilvl="3">
      <w:start w:val="1"/>
      <w:numFmt w:val="bullet"/>
      <w:lvlText w:val=""/>
      <w:lvlJc w:val="left"/>
      <w:pPr>
        <w:tabs>
          <w:tab w:val="num" w:pos="3600"/>
        </w:tabs>
        <w:ind w:left="3600" w:hanging="360"/>
      </w:pPr>
      <w:rPr>
        <w:rFonts w:ascii="Symbol" w:hAnsi="Symbol"/>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rtl w:val="0"/>
      </w:rPr>
    </w:lvl>
    <w:lvl w:ilvl="6">
      <w:start w:val="1"/>
      <w:numFmt w:val="bullet"/>
      <w:lvlText w:val=""/>
      <w:lvlJc w:val="left"/>
      <w:pPr>
        <w:tabs>
          <w:tab w:val="num" w:pos="5760"/>
        </w:tabs>
        <w:ind w:left="5760" w:hanging="360"/>
      </w:pPr>
      <w:rPr>
        <w:rFonts w:ascii="Symbol" w:hAnsi="Symbol"/>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rtl w:val="0"/>
      </w:rPr>
    </w:lvl>
  </w:abstractNum>
  <w:abstractNum w:abstractNumId="8">
    <w:nsid w:val="07D705DF"/>
    <w:multiLevelType w:val="hybridMultilevel"/>
    <w:tmpl w:val="EBAA97B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
    <w:nsid w:val="0993739A"/>
    <w:multiLevelType w:val="hybridMultilevel"/>
    <w:tmpl w:val="510245C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0A0F04B9"/>
    <w:multiLevelType w:val="hybridMultilevel"/>
    <w:tmpl w:val="A450196E"/>
    <w:lvl w:ilvl="0">
      <w:start w:val="1"/>
      <w:numFmt w:val="bullet"/>
      <w:lvlText w:val=""/>
      <w:lvlJc w:val="left"/>
      <w:pPr>
        <w:tabs>
          <w:tab w:val="num" w:pos="840"/>
        </w:tabs>
        <w:ind w:left="840" w:hanging="360"/>
      </w:pPr>
      <w:rPr>
        <w:rFonts w:ascii="Symbol" w:hAnsi="Symbol"/>
        <w:rtl w:val="0"/>
      </w:rPr>
    </w:lvl>
    <w:lvl w:ilvl="1">
      <w:start w:val="1"/>
      <w:numFmt w:val="bullet"/>
      <w:lvlText w:val="o"/>
      <w:lvlJc w:val="left"/>
      <w:pPr>
        <w:tabs>
          <w:tab w:val="num" w:pos="1560"/>
        </w:tabs>
        <w:ind w:left="1560" w:hanging="360"/>
      </w:pPr>
      <w:rPr>
        <w:rFonts w:ascii="Courier New" w:hAnsi="Courier New" w:cs="Courier New"/>
        <w:rtl w:val="0"/>
      </w:rPr>
    </w:lvl>
    <w:lvl w:ilvl="2">
      <w:start w:val="1"/>
      <w:numFmt w:val="bullet"/>
      <w:lvlText w:val=""/>
      <w:lvlJc w:val="left"/>
      <w:pPr>
        <w:tabs>
          <w:tab w:val="num" w:pos="2280"/>
        </w:tabs>
        <w:ind w:left="2280" w:hanging="360"/>
      </w:pPr>
      <w:rPr>
        <w:rFonts w:ascii="Wingdings" w:hAnsi="Wingdings"/>
        <w:rtl w:val="0"/>
      </w:rPr>
    </w:lvl>
    <w:lvl w:ilvl="3">
      <w:start w:val="1"/>
      <w:numFmt w:val="bullet"/>
      <w:lvlText w:val=""/>
      <w:lvlJc w:val="left"/>
      <w:pPr>
        <w:tabs>
          <w:tab w:val="num" w:pos="3000"/>
        </w:tabs>
        <w:ind w:left="3000" w:hanging="360"/>
      </w:pPr>
      <w:rPr>
        <w:rFonts w:ascii="Symbol" w:hAnsi="Symbol"/>
        <w:rtl w:val="0"/>
      </w:rPr>
    </w:lvl>
    <w:lvl w:ilvl="4">
      <w:start w:val="1"/>
      <w:numFmt w:val="bullet"/>
      <w:lvlText w:val="o"/>
      <w:lvlJc w:val="left"/>
      <w:pPr>
        <w:tabs>
          <w:tab w:val="num" w:pos="3720"/>
        </w:tabs>
        <w:ind w:left="3720" w:hanging="360"/>
      </w:pPr>
      <w:rPr>
        <w:rFonts w:ascii="Courier New" w:hAnsi="Courier New" w:cs="Courier New"/>
        <w:rtl w:val="0"/>
      </w:rPr>
    </w:lvl>
    <w:lvl w:ilvl="5">
      <w:start w:val="1"/>
      <w:numFmt w:val="bullet"/>
      <w:lvlText w:val=""/>
      <w:lvlJc w:val="left"/>
      <w:pPr>
        <w:tabs>
          <w:tab w:val="num" w:pos="4440"/>
        </w:tabs>
        <w:ind w:left="4440" w:hanging="360"/>
      </w:pPr>
      <w:rPr>
        <w:rFonts w:ascii="Wingdings" w:hAnsi="Wingdings"/>
        <w:rtl w:val="0"/>
      </w:rPr>
    </w:lvl>
    <w:lvl w:ilvl="6">
      <w:start w:val="1"/>
      <w:numFmt w:val="bullet"/>
      <w:lvlText w:val=""/>
      <w:lvlJc w:val="left"/>
      <w:pPr>
        <w:tabs>
          <w:tab w:val="num" w:pos="5160"/>
        </w:tabs>
        <w:ind w:left="5160" w:hanging="360"/>
      </w:pPr>
      <w:rPr>
        <w:rFonts w:ascii="Symbol" w:hAnsi="Symbol"/>
        <w:rtl w:val="0"/>
      </w:rPr>
    </w:lvl>
    <w:lvl w:ilvl="7">
      <w:start w:val="1"/>
      <w:numFmt w:val="bullet"/>
      <w:lvlText w:val="o"/>
      <w:lvlJc w:val="left"/>
      <w:pPr>
        <w:tabs>
          <w:tab w:val="num" w:pos="5880"/>
        </w:tabs>
        <w:ind w:left="5880" w:hanging="360"/>
      </w:pPr>
      <w:rPr>
        <w:rFonts w:ascii="Courier New" w:hAnsi="Courier New" w:cs="Courier New"/>
        <w:rtl w:val="0"/>
      </w:rPr>
    </w:lvl>
    <w:lvl w:ilvl="8">
      <w:start w:val="1"/>
      <w:numFmt w:val="bullet"/>
      <w:lvlText w:val=""/>
      <w:lvlJc w:val="left"/>
      <w:pPr>
        <w:tabs>
          <w:tab w:val="num" w:pos="6600"/>
        </w:tabs>
        <w:ind w:left="6600" w:hanging="360"/>
      </w:pPr>
      <w:rPr>
        <w:rFonts w:ascii="Wingdings" w:hAnsi="Wingdings"/>
        <w:rtl w:val="0"/>
      </w:rPr>
    </w:lvl>
  </w:abstractNum>
  <w:abstractNum w:abstractNumId="11">
    <w:nsid w:val="0A62797D"/>
    <w:multiLevelType w:val="hybridMultilevel"/>
    <w:tmpl w:val="1FC41E6A"/>
    <w:lvl w:ilvl="0">
      <w:start w:val="8"/>
      <w:numFmt w:val="bullet"/>
      <w:lvlText w:val="–"/>
      <w:lvlJc w:val="left"/>
      <w:pPr>
        <w:tabs>
          <w:tab w:val="num" w:pos="612"/>
        </w:tabs>
        <w:ind w:left="612"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0AA05F34"/>
    <w:multiLevelType w:val="hybridMultilevel"/>
    <w:tmpl w:val="4F12EA16"/>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
    <w:nsid w:val="0AFD4A1A"/>
    <w:multiLevelType w:val="hybridMultilevel"/>
    <w:tmpl w:val="F77CFCE8"/>
    <w:lvl w:ilvl="0">
      <w:start w:val="1"/>
      <w:numFmt w:val="bullet"/>
      <w:lvlText w:val=""/>
      <w:lvlJc w:val="left"/>
      <w:pPr>
        <w:tabs>
          <w:tab w:val="num" w:pos="1050"/>
        </w:tabs>
        <w:ind w:left="1050" w:hanging="360"/>
      </w:pPr>
      <w:rPr>
        <w:rFonts w:ascii="Symbol" w:hAnsi="Symbol"/>
        <w:rtl w:val="0"/>
      </w:rPr>
    </w:lvl>
    <w:lvl w:ilvl="1">
      <w:start w:val="1"/>
      <w:numFmt w:val="bullet"/>
      <w:lvlText w:val="o"/>
      <w:lvlJc w:val="left"/>
      <w:pPr>
        <w:tabs>
          <w:tab w:val="num" w:pos="1770"/>
        </w:tabs>
        <w:ind w:left="1770" w:hanging="360"/>
      </w:pPr>
      <w:rPr>
        <w:rFonts w:ascii="Courier New" w:hAnsi="Courier New" w:cs="Courier New"/>
        <w:rtl w:val="0"/>
      </w:rPr>
    </w:lvl>
    <w:lvl w:ilvl="2">
      <w:start w:val="1"/>
      <w:numFmt w:val="bullet"/>
      <w:lvlText w:val=""/>
      <w:lvlJc w:val="left"/>
      <w:pPr>
        <w:tabs>
          <w:tab w:val="num" w:pos="2490"/>
        </w:tabs>
        <w:ind w:left="2490" w:hanging="360"/>
      </w:pPr>
      <w:rPr>
        <w:rFonts w:ascii="Wingdings" w:hAnsi="Wingdings"/>
        <w:rtl w:val="0"/>
      </w:rPr>
    </w:lvl>
    <w:lvl w:ilvl="3">
      <w:start w:val="1"/>
      <w:numFmt w:val="bullet"/>
      <w:lvlText w:val=""/>
      <w:lvlJc w:val="left"/>
      <w:pPr>
        <w:tabs>
          <w:tab w:val="num" w:pos="3210"/>
        </w:tabs>
        <w:ind w:left="3210" w:hanging="360"/>
      </w:pPr>
      <w:rPr>
        <w:rFonts w:ascii="Symbol" w:hAnsi="Symbol"/>
        <w:rtl w:val="0"/>
      </w:rPr>
    </w:lvl>
    <w:lvl w:ilvl="4">
      <w:start w:val="1"/>
      <w:numFmt w:val="bullet"/>
      <w:lvlText w:val="o"/>
      <w:lvlJc w:val="left"/>
      <w:pPr>
        <w:tabs>
          <w:tab w:val="num" w:pos="3930"/>
        </w:tabs>
        <w:ind w:left="3930" w:hanging="360"/>
      </w:pPr>
      <w:rPr>
        <w:rFonts w:ascii="Courier New" w:hAnsi="Courier New" w:cs="Courier New"/>
        <w:rtl w:val="0"/>
      </w:rPr>
    </w:lvl>
    <w:lvl w:ilvl="5">
      <w:start w:val="1"/>
      <w:numFmt w:val="bullet"/>
      <w:lvlText w:val=""/>
      <w:lvlJc w:val="left"/>
      <w:pPr>
        <w:tabs>
          <w:tab w:val="num" w:pos="4650"/>
        </w:tabs>
        <w:ind w:left="4650" w:hanging="360"/>
      </w:pPr>
      <w:rPr>
        <w:rFonts w:ascii="Wingdings" w:hAnsi="Wingdings"/>
        <w:rtl w:val="0"/>
      </w:rPr>
    </w:lvl>
    <w:lvl w:ilvl="6">
      <w:start w:val="1"/>
      <w:numFmt w:val="bullet"/>
      <w:lvlText w:val=""/>
      <w:lvlJc w:val="left"/>
      <w:pPr>
        <w:tabs>
          <w:tab w:val="num" w:pos="5370"/>
        </w:tabs>
        <w:ind w:left="5370" w:hanging="360"/>
      </w:pPr>
      <w:rPr>
        <w:rFonts w:ascii="Symbol" w:hAnsi="Symbol"/>
        <w:rtl w:val="0"/>
      </w:rPr>
    </w:lvl>
    <w:lvl w:ilvl="7">
      <w:start w:val="1"/>
      <w:numFmt w:val="bullet"/>
      <w:lvlText w:val="o"/>
      <w:lvlJc w:val="left"/>
      <w:pPr>
        <w:tabs>
          <w:tab w:val="num" w:pos="6090"/>
        </w:tabs>
        <w:ind w:left="6090" w:hanging="360"/>
      </w:pPr>
      <w:rPr>
        <w:rFonts w:ascii="Courier New" w:hAnsi="Courier New" w:cs="Courier New"/>
        <w:rtl w:val="0"/>
      </w:rPr>
    </w:lvl>
    <w:lvl w:ilvl="8">
      <w:start w:val="1"/>
      <w:numFmt w:val="bullet"/>
      <w:lvlText w:val=""/>
      <w:lvlJc w:val="left"/>
      <w:pPr>
        <w:tabs>
          <w:tab w:val="num" w:pos="6810"/>
        </w:tabs>
        <w:ind w:left="6810" w:hanging="360"/>
      </w:pPr>
      <w:rPr>
        <w:rFonts w:ascii="Wingdings" w:hAnsi="Wingdings"/>
        <w:rtl w:val="0"/>
      </w:rPr>
    </w:lvl>
  </w:abstractNum>
  <w:abstractNum w:abstractNumId="14">
    <w:nsid w:val="0B591582"/>
    <w:multiLevelType w:val="hybridMultilevel"/>
    <w:tmpl w:val="9B6ABD76"/>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
    <w:nsid w:val="0CA11FDE"/>
    <w:multiLevelType w:val="hybridMultilevel"/>
    <w:tmpl w:val="7F58E7FC"/>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
    <w:nsid w:val="0CC3506D"/>
    <w:multiLevelType w:val="hybridMultilevel"/>
    <w:tmpl w:val="338A81AE"/>
    <w:lvl w:ilvl="0">
      <w:start w:val="1"/>
      <w:numFmt w:val="bullet"/>
      <w:lvlText w:val="–"/>
      <w:lvlJc w:val="left"/>
      <w:pPr>
        <w:tabs>
          <w:tab w:val="num" w:pos="643"/>
        </w:tabs>
        <w:ind w:left="643" w:hanging="283"/>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D8601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0D9A095A"/>
    <w:multiLevelType w:val="hybridMultilevel"/>
    <w:tmpl w:val="FCAE3B24"/>
    <w:lvl w:ilvl="0">
      <w:start w:val="1"/>
      <w:numFmt w:val="bullet"/>
      <w:lvlText w:val=""/>
      <w:lvlJc w:val="left"/>
      <w:pPr>
        <w:tabs>
          <w:tab w:val="num" w:pos="1077"/>
        </w:tabs>
        <w:ind w:left="1077" w:hanging="283"/>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9">
    <w:nsid w:val="0E353198"/>
    <w:multiLevelType w:val="multilevel"/>
    <w:tmpl w:val="9AF07268"/>
    <w:lvl w:ilvl="0">
      <w:start w:val="1"/>
      <w:numFmt w:val="decimal"/>
      <w:lvlText w:val="%1."/>
      <w:lvlJc w:val="left"/>
      <w:pPr>
        <w:tabs>
          <w:tab w:val="num" w:pos="390"/>
        </w:tabs>
        <w:ind w:left="390" w:hanging="390"/>
      </w:pPr>
      <w:rPr>
        <w:rFonts w:cs="Times New Roman"/>
        <w:b/>
        <w:rtl w:val="0"/>
      </w:rPr>
    </w:lvl>
    <w:lvl w:ilvl="1">
      <w:start w:val="1"/>
      <w:numFmt w:val="decimal"/>
      <w:lvlText w:val="%1.%2."/>
      <w:lvlJc w:val="left"/>
      <w:pPr>
        <w:tabs>
          <w:tab w:val="num" w:pos="390"/>
        </w:tabs>
        <w:ind w:left="390" w:hanging="390"/>
      </w:pPr>
      <w:rPr>
        <w:rFonts w:cs="Times New Roman"/>
        <w:b/>
        <w:rtl w:val="0"/>
      </w:rPr>
    </w:lvl>
    <w:lvl w:ilvl="2">
      <w:start w:val="1"/>
      <w:numFmt w:val="decimal"/>
      <w:lvlText w:val="%1.%2.%3."/>
      <w:lvlJc w:val="left"/>
      <w:pPr>
        <w:tabs>
          <w:tab w:val="num" w:pos="720"/>
        </w:tabs>
        <w:ind w:left="720" w:hanging="720"/>
      </w:pPr>
      <w:rPr>
        <w:rFonts w:cs="Times New Roman"/>
        <w:b/>
        <w:rtl w:val="0"/>
      </w:rPr>
    </w:lvl>
    <w:lvl w:ilvl="3">
      <w:start w:val="1"/>
      <w:numFmt w:val="decimal"/>
      <w:lvlText w:val="%1.%2.%3.%4."/>
      <w:lvlJc w:val="left"/>
      <w:pPr>
        <w:tabs>
          <w:tab w:val="num" w:pos="720"/>
        </w:tabs>
        <w:ind w:left="720" w:hanging="720"/>
      </w:pPr>
      <w:rPr>
        <w:rFonts w:cs="Times New Roman"/>
        <w:b/>
        <w:rtl w:val="0"/>
      </w:rPr>
    </w:lvl>
    <w:lvl w:ilvl="4">
      <w:start w:val="1"/>
      <w:numFmt w:val="decimal"/>
      <w:lvlText w:val="%1.%2.%3.%4.%5."/>
      <w:lvlJc w:val="left"/>
      <w:pPr>
        <w:tabs>
          <w:tab w:val="num" w:pos="1080"/>
        </w:tabs>
        <w:ind w:left="1080" w:hanging="1080"/>
      </w:pPr>
      <w:rPr>
        <w:rFonts w:cs="Times New Roman"/>
        <w:b/>
        <w:rtl w:val="0"/>
      </w:rPr>
    </w:lvl>
    <w:lvl w:ilvl="5">
      <w:start w:val="1"/>
      <w:numFmt w:val="decimal"/>
      <w:lvlText w:val="%1.%2.%3.%4.%5.%6."/>
      <w:lvlJc w:val="left"/>
      <w:pPr>
        <w:tabs>
          <w:tab w:val="num" w:pos="1080"/>
        </w:tabs>
        <w:ind w:left="1080" w:hanging="1080"/>
      </w:pPr>
      <w:rPr>
        <w:rFonts w:cs="Times New Roman"/>
        <w:b/>
        <w:rtl w:val="0"/>
      </w:rPr>
    </w:lvl>
    <w:lvl w:ilvl="6">
      <w:start w:val="1"/>
      <w:numFmt w:val="decimal"/>
      <w:lvlText w:val="%1.%2.%3.%4.%5.%6.%7."/>
      <w:lvlJc w:val="left"/>
      <w:pPr>
        <w:tabs>
          <w:tab w:val="num" w:pos="1440"/>
        </w:tabs>
        <w:ind w:left="1440" w:hanging="1440"/>
      </w:pPr>
      <w:rPr>
        <w:rFonts w:cs="Times New Roman"/>
        <w:b/>
        <w:rtl w:val="0"/>
      </w:rPr>
    </w:lvl>
    <w:lvl w:ilvl="7">
      <w:start w:val="1"/>
      <w:numFmt w:val="decimal"/>
      <w:lvlText w:val="%1.%2.%3.%4.%5.%6.%7.%8."/>
      <w:lvlJc w:val="left"/>
      <w:pPr>
        <w:tabs>
          <w:tab w:val="num" w:pos="1440"/>
        </w:tabs>
        <w:ind w:left="1440" w:hanging="1440"/>
      </w:pPr>
      <w:rPr>
        <w:rFonts w:cs="Times New Roman"/>
        <w:b/>
        <w:rtl w:val="0"/>
      </w:rPr>
    </w:lvl>
    <w:lvl w:ilvl="8">
      <w:start w:val="1"/>
      <w:numFmt w:val="decimal"/>
      <w:lvlText w:val="%1.%2.%3.%4.%5.%6.%7.%8.%9."/>
      <w:lvlJc w:val="left"/>
      <w:pPr>
        <w:tabs>
          <w:tab w:val="num" w:pos="1800"/>
        </w:tabs>
        <w:ind w:left="1800" w:hanging="1800"/>
      </w:pPr>
      <w:rPr>
        <w:rFonts w:cs="Times New Roman"/>
        <w:b/>
        <w:rtl w:val="0"/>
      </w:rPr>
    </w:lvl>
  </w:abstractNum>
  <w:abstractNum w:abstractNumId="20">
    <w:nsid w:val="0E464FF9"/>
    <w:multiLevelType w:val="hybridMultilevel"/>
    <w:tmpl w:val="134486E0"/>
    <w:lvl w:ilvl="0">
      <w:start w:val="0"/>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1">
    <w:nsid w:val="0F4C08C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01A6D6F"/>
    <w:multiLevelType w:val="multilevel"/>
    <w:tmpl w:val="03D8B3A6"/>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23">
    <w:nsid w:val="1037427A"/>
    <w:multiLevelType w:val="hybridMultilevel"/>
    <w:tmpl w:val="F07EBC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086127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10E13908"/>
    <w:multiLevelType w:val="hybridMultilevel"/>
    <w:tmpl w:val="4C62CB5E"/>
    <w:lvl w:ilvl="0">
      <w:start w:val="2"/>
      <w:numFmt w:val="bullet"/>
      <w:lvlText w:val="-"/>
      <w:lvlJc w:val="left"/>
      <w:pPr>
        <w:tabs>
          <w:tab w:val="num" w:pos="775"/>
        </w:tabs>
        <w:ind w:left="775" w:hanging="360"/>
      </w:pPr>
      <w:rPr>
        <w:rFonts w:ascii="Times New Roman" w:hAnsi="Times New Roman" w:cs="Times New Roman"/>
        <w:rtl w:val="0"/>
      </w:rPr>
    </w:lvl>
    <w:lvl w:ilvl="1">
      <w:start w:val="1"/>
      <w:numFmt w:val="bullet"/>
      <w:lvlText w:val="–"/>
      <w:lvlJc w:val="left"/>
      <w:pPr>
        <w:tabs>
          <w:tab w:val="num" w:pos="567"/>
        </w:tabs>
        <w:ind w:left="567" w:hanging="283"/>
      </w:pPr>
      <w:rPr>
        <w:rFonts w:ascii="Times New Roman" w:hAnsi="Times New Roman" w:cs="Times New Roman"/>
        <w:rtl w:val="0"/>
      </w:rPr>
    </w:lvl>
    <w:lvl w:ilvl="2">
      <w:start w:val="1"/>
      <w:numFmt w:val="bullet"/>
      <w:lvlText w:val=""/>
      <w:lvlJc w:val="left"/>
      <w:pPr>
        <w:tabs>
          <w:tab w:val="num" w:pos="2215"/>
        </w:tabs>
        <w:ind w:left="2215" w:hanging="360"/>
      </w:pPr>
      <w:rPr>
        <w:rFonts w:ascii="Wingdings" w:hAnsi="Wingdings"/>
        <w:rtl w:val="0"/>
      </w:rPr>
    </w:lvl>
    <w:lvl w:ilvl="3">
      <w:start w:val="1"/>
      <w:numFmt w:val="bullet"/>
      <w:lvlText w:val=""/>
      <w:lvlJc w:val="left"/>
      <w:pPr>
        <w:tabs>
          <w:tab w:val="num" w:pos="2935"/>
        </w:tabs>
        <w:ind w:left="2935" w:hanging="360"/>
      </w:pPr>
      <w:rPr>
        <w:rFonts w:ascii="Symbol" w:hAnsi="Symbol"/>
        <w:rtl w:val="0"/>
      </w:rPr>
    </w:lvl>
    <w:lvl w:ilvl="4">
      <w:start w:val="1"/>
      <w:numFmt w:val="bullet"/>
      <w:lvlText w:val="o"/>
      <w:lvlJc w:val="left"/>
      <w:pPr>
        <w:tabs>
          <w:tab w:val="num" w:pos="3655"/>
        </w:tabs>
        <w:ind w:left="3655" w:hanging="360"/>
      </w:pPr>
      <w:rPr>
        <w:rFonts w:ascii="Courier New" w:hAnsi="Courier New"/>
        <w:rtl w:val="0"/>
      </w:rPr>
    </w:lvl>
    <w:lvl w:ilvl="5">
      <w:start w:val="1"/>
      <w:numFmt w:val="bullet"/>
      <w:lvlText w:val=""/>
      <w:lvlJc w:val="left"/>
      <w:pPr>
        <w:tabs>
          <w:tab w:val="num" w:pos="4375"/>
        </w:tabs>
        <w:ind w:left="4375" w:hanging="360"/>
      </w:pPr>
      <w:rPr>
        <w:rFonts w:ascii="Wingdings" w:hAnsi="Wingdings"/>
        <w:rtl w:val="0"/>
      </w:rPr>
    </w:lvl>
    <w:lvl w:ilvl="6">
      <w:start w:val="1"/>
      <w:numFmt w:val="bullet"/>
      <w:lvlText w:val=""/>
      <w:lvlJc w:val="left"/>
      <w:pPr>
        <w:tabs>
          <w:tab w:val="num" w:pos="5095"/>
        </w:tabs>
        <w:ind w:left="5095" w:hanging="360"/>
      </w:pPr>
      <w:rPr>
        <w:rFonts w:ascii="Symbol" w:hAnsi="Symbol"/>
        <w:rtl w:val="0"/>
      </w:rPr>
    </w:lvl>
    <w:lvl w:ilvl="7">
      <w:start w:val="1"/>
      <w:numFmt w:val="bullet"/>
      <w:lvlText w:val="o"/>
      <w:lvlJc w:val="left"/>
      <w:pPr>
        <w:tabs>
          <w:tab w:val="num" w:pos="5815"/>
        </w:tabs>
        <w:ind w:left="5815" w:hanging="360"/>
      </w:pPr>
      <w:rPr>
        <w:rFonts w:ascii="Courier New" w:hAnsi="Courier New"/>
        <w:rtl w:val="0"/>
      </w:rPr>
    </w:lvl>
    <w:lvl w:ilvl="8">
      <w:start w:val="1"/>
      <w:numFmt w:val="bullet"/>
      <w:lvlText w:val=""/>
      <w:lvlJc w:val="left"/>
      <w:pPr>
        <w:tabs>
          <w:tab w:val="num" w:pos="6535"/>
        </w:tabs>
        <w:ind w:left="6535" w:hanging="360"/>
      </w:pPr>
      <w:rPr>
        <w:rFonts w:ascii="Wingdings" w:hAnsi="Wingdings"/>
        <w:rtl w:val="0"/>
      </w:rPr>
    </w:lvl>
  </w:abstractNum>
  <w:abstractNum w:abstractNumId="26">
    <w:nsid w:val="111A51F0"/>
    <w:multiLevelType w:val="hybridMultilevel"/>
    <w:tmpl w:val="E9B093CC"/>
    <w:lvl w:ilvl="0">
      <w:start w:val="3"/>
      <w:numFmt w:val="bullet"/>
      <w:lvlText w:val="-"/>
      <w:lvlJc w:val="left"/>
      <w:pPr>
        <w:tabs>
          <w:tab w:val="num" w:pos="720"/>
        </w:tabs>
        <w:ind w:left="720" w:hanging="360"/>
      </w:pPr>
      <w:rPr>
        <w:rFonts w:ascii="Arial Narrow" w:hAnsi="Arial Narrow"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7">
    <w:nsid w:val="11412E3F"/>
    <w:multiLevelType w:val="hybridMultilevel"/>
    <w:tmpl w:val="8418ECCE"/>
    <w:lvl w:ilvl="0">
      <w:start w:val="1"/>
      <w:numFmt w:val="decimal"/>
      <w:lvlText w:val="%1)"/>
      <w:lvlJc w:val="left"/>
      <w:pPr>
        <w:tabs>
          <w:tab w:val="num" w:pos="1653"/>
        </w:tabs>
        <w:ind w:left="1653" w:hanging="94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128F1C05"/>
    <w:multiLevelType w:val="hybridMultilevel"/>
    <w:tmpl w:val="778A5D0E"/>
    <w:lvl w:ilvl="0">
      <w:start w:val="3"/>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9">
    <w:nsid w:val="13DD2BD3"/>
    <w:multiLevelType w:val="hybridMultilevel"/>
    <w:tmpl w:val="EA929004"/>
    <w:lvl w:ilvl="0">
      <w:start w:val="1"/>
      <w:numFmt w:val="bullet"/>
      <w:lvlText w:val="▪"/>
      <w:lvlJc w:val="left"/>
      <w:pPr>
        <w:tabs>
          <w:tab w:val="num" w:pos="612"/>
        </w:tabs>
        <w:ind w:left="612" w:hanging="283"/>
      </w:pPr>
      <w:rPr>
        <w:rFonts w:ascii="Times New Roman" w:hAnsi="Times New Roman" w:cs="Times New Roman"/>
        <w:rtl w:val="0"/>
      </w:r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0">
    <w:nsid w:val="1433242B"/>
    <w:multiLevelType w:val="multilevel"/>
    <w:tmpl w:val="721C34FE"/>
    <w:lvl w:ilvl="0">
      <w:start w:val="5"/>
      <w:numFmt w:val="decimal"/>
      <w:lvlText w:val="%1"/>
      <w:lvlJc w:val="left"/>
      <w:pPr>
        <w:tabs>
          <w:tab w:val="num" w:pos="405"/>
        </w:tabs>
        <w:ind w:left="405" w:hanging="405"/>
      </w:pPr>
      <w:rPr>
        <w:rFonts w:cs="Times New Roman"/>
        <w:rtl w:val="0"/>
      </w:rPr>
    </w:lvl>
    <w:lvl w:ilvl="1">
      <w:start w:val="2"/>
      <w:numFmt w:val="decimal"/>
      <w:lvlText w:val="%1.%2"/>
      <w:lvlJc w:val="left"/>
      <w:pPr>
        <w:tabs>
          <w:tab w:val="num" w:pos="405"/>
        </w:tabs>
        <w:ind w:left="405" w:hanging="405"/>
      </w:pPr>
      <w:rPr>
        <w:rFonts w:cs="Times New Roman"/>
        <w:rtl w:val="0"/>
      </w:rPr>
    </w:lvl>
    <w:lvl w:ilvl="2">
      <w:start w:val="4"/>
      <w:numFmt w:val="decimal"/>
      <w:lvlText w:val="%1.%2.%3"/>
      <w:lvlJc w:val="left"/>
      <w:pPr>
        <w:tabs>
          <w:tab w:val="num" w:pos="720"/>
        </w:tabs>
        <w:ind w:left="720" w:hanging="720"/>
      </w:pPr>
      <w:rPr>
        <w:rFonts w:cs="Times New Roman"/>
        <w:rtl w:val="0"/>
      </w:rPr>
    </w:lvl>
    <w:lvl w:ilvl="3">
      <w:start w:val="1"/>
      <w:numFmt w:val="decimal"/>
      <w:lvlText w:val="%1.%2.%3.%4"/>
      <w:lvlJc w:val="left"/>
      <w:pPr>
        <w:tabs>
          <w:tab w:val="num" w:pos="720"/>
        </w:tabs>
        <w:ind w:left="720" w:hanging="720"/>
      </w:pPr>
      <w:rPr>
        <w:rFonts w:cs="Times New Roman"/>
        <w:rtl w:val="0"/>
      </w:rPr>
    </w:lvl>
    <w:lvl w:ilvl="4">
      <w:start w:val="1"/>
      <w:numFmt w:val="decimal"/>
      <w:lvlText w:val="%1.%2.%3.%4.%5"/>
      <w:lvlJc w:val="left"/>
      <w:pPr>
        <w:tabs>
          <w:tab w:val="num" w:pos="720"/>
        </w:tabs>
        <w:ind w:left="720" w:hanging="720"/>
      </w:pPr>
      <w:rPr>
        <w:rFonts w:cs="Times New Roman"/>
        <w:rtl w:val="0"/>
      </w:rPr>
    </w:lvl>
    <w:lvl w:ilvl="5">
      <w:start w:val="1"/>
      <w:numFmt w:val="decimal"/>
      <w:lvlText w:val="%1.%2.%3.%4.%5.%6"/>
      <w:lvlJc w:val="left"/>
      <w:pPr>
        <w:tabs>
          <w:tab w:val="num" w:pos="1080"/>
        </w:tabs>
        <w:ind w:left="1080" w:hanging="1080"/>
      </w:pPr>
      <w:rPr>
        <w:rFonts w:cs="Times New Roman"/>
        <w:rtl w:val="0"/>
      </w:rPr>
    </w:lvl>
    <w:lvl w:ilvl="6">
      <w:start w:val="1"/>
      <w:numFmt w:val="decimal"/>
      <w:lvlText w:val="%1.%2.%3.%4.%5.%6.%7"/>
      <w:lvlJc w:val="left"/>
      <w:pPr>
        <w:tabs>
          <w:tab w:val="num" w:pos="1080"/>
        </w:tabs>
        <w:ind w:left="1080" w:hanging="1080"/>
      </w:pPr>
      <w:rPr>
        <w:rFonts w:cs="Times New Roman"/>
        <w:rtl w:val="0"/>
      </w:rPr>
    </w:lvl>
    <w:lvl w:ilvl="7">
      <w:start w:val="1"/>
      <w:numFmt w:val="decimal"/>
      <w:lvlText w:val="%1.%2.%3.%4.%5.%6.%7.%8"/>
      <w:lvlJc w:val="left"/>
      <w:pPr>
        <w:tabs>
          <w:tab w:val="num" w:pos="1440"/>
        </w:tabs>
        <w:ind w:left="1440" w:hanging="1440"/>
      </w:pPr>
      <w:rPr>
        <w:rFonts w:cs="Times New Roman"/>
        <w:rtl w:val="0"/>
      </w:rPr>
    </w:lvl>
    <w:lvl w:ilvl="8">
      <w:start w:val="1"/>
      <w:numFmt w:val="decimal"/>
      <w:lvlText w:val="%1.%2.%3.%4.%5.%6.%7.%8.%9"/>
      <w:lvlJc w:val="left"/>
      <w:pPr>
        <w:tabs>
          <w:tab w:val="num" w:pos="1440"/>
        </w:tabs>
        <w:ind w:left="1440" w:hanging="1440"/>
      </w:pPr>
      <w:rPr>
        <w:rFonts w:cs="Times New Roman"/>
        <w:rtl w:val="0"/>
      </w:rPr>
    </w:lvl>
  </w:abstractNum>
  <w:abstractNum w:abstractNumId="31">
    <w:nsid w:val="14A3559C"/>
    <w:multiLevelType w:val="multilevel"/>
    <w:tmpl w:val="9AA4EB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14A40C26"/>
    <w:multiLevelType w:val="hybridMultilevel"/>
    <w:tmpl w:val="886C1692"/>
    <w:lvl w:ilvl="0">
      <w:start w:val="1"/>
      <w:numFmt w:val="bullet"/>
      <w:lvlText w:val="–"/>
      <w:lvlJc w:val="left"/>
      <w:pPr>
        <w:tabs>
          <w:tab w:val="num" w:pos="926"/>
        </w:tabs>
        <w:ind w:left="926" w:hanging="283"/>
      </w:pPr>
      <w:rPr>
        <w:rFonts w:ascii="Times New Roman" w:hAnsi="Times New Roman" w:cs="Times New Roman"/>
        <w:rtl w:val="0"/>
      </w:rPr>
    </w:lvl>
    <w:lvl w:ilvl="1">
      <w:start w:val="1"/>
      <w:numFmt w:val="bullet"/>
      <w:lvlText w:val="o"/>
      <w:lvlJc w:val="left"/>
      <w:pPr>
        <w:tabs>
          <w:tab w:val="num" w:pos="2507"/>
        </w:tabs>
        <w:ind w:left="2507" w:hanging="360"/>
      </w:pPr>
      <w:rPr>
        <w:rFonts w:ascii="Courier New" w:hAnsi="Courier New"/>
        <w:rtl w:val="0"/>
      </w:rPr>
    </w:lvl>
    <w:lvl w:ilvl="2">
      <w:start w:val="1"/>
      <w:numFmt w:val="bullet"/>
      <w:lvlText w:val=""/>
      <w:lvlJc w:val="left"/>
      <w:pPr>
        <w:tabs>
          <w:tab w:val="num" w:pos="3227"/>
        </w:tabs>
        <w:ind w:left="3227" w:hanging="360"/>
      </w:pPr>
      <w:rPr>
        <w:rFonts w:ascii="Wingdings" w:hAnsi="Wingdings"/>
        <w:rtl w:val="0"/>
      </w:rPr>
    </w:lvl>
    <w:lvl w:ilvl="3">
      <w:start w:val="1"/>
      <w:numFmt w:val="bullet"/>
      <w:lvlText w:val=""/>
      <w:lvlJc w:val="left"/>
      <w:pPr>
        <w:tabs>
          <w:tab w:val="num" w:pos="3947"/>
        </w:tabs>
        <w:ind w:left="3947" w:hanging="360"/>
      </w:pPr>
      <w:rPr>
        <w:rFonts w:ascii="Symbol" w:hAnsi="Symbol"/>
        <w:rtl w:val="0"/>
      </w:rPr>
    </w:lvl>
    <w:lvl w:ilvl="4">
      <w:start w:val="1"/>
      <w:numFmt w:val="bullet"/>
      <w:lvlText w:val="o"/>
      <w:lvlJc w:val="left"/>
      <w:pPr>
        <w:tabs>
          <w:tab w:val="num" w:pos="4667"/>
        </w:tabs>
        <w:ind w:left="4667" w:hanging="360"/>
      </w:pPr>
      <w:rPr>
        <w:rFonts w:ascii="Courier New" w:hAnsi="Courier New"/>
        <w:rtl w:val="0"/>
      </w:rPr>
    </w:lvl>
    <w:lvl w:ilvl="5">
      <w:start w:val="1"/>
      <w:numFmt w:val="bullet"/>
      <w:lvlText w:val=""/>
      <w:lvlJc w:val="left"/>
      <w:pPr>
        <w:tabs>
          <w:tab w:val="num" w:pos="5387"/>
        </w:tabs>
        <w:ind w:left="5387" w:hanging="360"/>
      </w:pPr>
      <w:rPr>
        <w:rFonts w:ascii="Wingdings" w:hAnsi="Wingdings"/>
        <w:rtl w:val="0"/>
      </w:rPr>
    </w:lvl>
    <w:lvl w:ilvl="6">
      <w:start w:val="1"/>
      <w:numFmt w:val="bullet"/>
      <w:lvlText w:val=""/>
      <w:lvlJc w:val="left"/>
      <w:pPr>
        <w:tabs>
          <w:tab w:val="num" w:pos="6107"/>
        </w:tabs>
        <w:ind w:left="6107" w:hanging="360"/>
      </w:pPr>
      <w:rPr>
        <w:rFonts w:ascii="Symbol" w:hAnsi="Symbol"/>
        <w:rtl w:val="0"/>
      </w:rPr>
    </w:lvl>
    <w:lvl w:ilvl="7">
      <w:start w:val="1"/>
      <w:numFmt w:val="bullet"/>
      <w:lvlText w:val="o"/>
      <w:lvlJc w:val="left"/>
      <w:pPr>
        <w:tabs>
          <w:tab w:val="num" w:pos="6827"/>
        </w:tabs>
        <w:ind w:left="6827" w:hanging="360"/>
      </w:pPr>
      <w:rPr>
        <w:rFonts w:ascii="Courier New" w:hAnsi="Courier New"/>
        <w:rtl w:val="0"/>
      </w:rPr>
    </w:lvl>
    <w:lvl w:ilvl="8">
      <w:start w:val="1"/>
      <w:numFmt w:val="bullet"/>
      <w:lvlText w:val=""/>
      <w:lvlJc w:val="left"/>
      <w:pPr>
        <w:tabs>
          <w:tab w:val="num" w:pos="7547"/>
        </w:tabs>
        <w:ind w:left="7547" w:hanging="360"/>
      </w:pPr>
      <w:rPr>
        <w:rFonts w:ascii="Wingdings" w:hAnsi="Wingdings"/>
        <w:rtl w:val="0"/>
      </w:rPr>
    </w:lvl>
  </w:abstractNum>
  <w:abstractNum w:abstractNumId="33">
    <w:nsid w:val="151C7983"/>
    <w:multiLevelType w:val="multilevel"/>
    <w:tmpl w:val="37087AC4"/>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588" w:hanging="1588"/>
      </w:pPr>
      <w:rPr>
        <w:rFonts w:ascii="Arial" w:hAnsi="Arial"/>
        <w:b/>
        <w:i w:val="0"/>
        <w:sz w:val="28"/>
        <w:szCs w:val="28"/>
        <w:rtl w:val="0"/>
      </w:rPr>
    </w:lvl>
    <w:lvl w:ilvl="2">
      <w:start w:val="1"/>
      <w:numFmt w:val="decimal"/>
      <w:lvlText w:val="%1.%2.%3."/>
      <w:lvlJc w:val="left"/>
      <w:pPr>
        <w:tabs>
          <w:tab w:val="num" w:pos="1440"/>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18C27FDA"/>
    <w:multiLevelType w:val="multilevel"/>
    <w:tmpl w:val="63D41766"/>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35">
    <w:nsid w:val="1941762B"/>
    <w:multiLevelType w:val="multilevel"/>
    <w:tmpl w:val="B948AF2E"/>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680" w:hanging="680"/>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19922E3E"/>
    <w:multiLevelType w:val="hybridMultilevel"/>
    <w:tmpl w:val="8C78402E"/>
    <w:lvl w:ilvl="0">
      <w:start w:val="1"/>
      <w:numFmt w:val="bullet"/>
      <w:lvlText w:val="–"/>
      <w:lvlJc w:val="left"/>
      <w:pPr>
        <w:tabs>
          <w:tab w:val="num" w:pos="644"/>
        </w:tabs>
        <w:ind w:left="624" w:hanging="340"/>
      </w:p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7">
    <w:nsid w:val="1A5F7721"/>
    <w:multiLevelType w:val="multilevel"/>
    <w:tmpl w:val="0F66065C"/>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38">
    <w:nsid w:val="1B4F6344"/>
    <w:multiLevelType w:val="hybridMultilevel"/>
    <w:tmpl w:val="F4A88AEA"/>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39">
    <w:nsid w:val="1B5B2C4C"/>
    <w:multiLevelType w:val="hybridMultilevel"/>
    <w:tmpl w:val="0860BF34"/>
    <w:lvl w:ilvl="0">
      <w:start w:val="1"/>
      <w:numFmt w:val="bullet"/>
      <w:lvlText w:val="▪"/>
      <w:lvlJc w:val="left"/>
      <w:pPr>
        <w:tabs>
          <w:tab w:val="num" w:pos="283"/>
        </w:tabs>
        <w:ind w:left="283" w:hanging="283"/>
      </w:pPr>
      <w:rPr>
        <w:rFonts w:ascii="Times New Roman" w:hAnsi="Times New Roman" w:cs="Times New Roman"/>
        <w:rtl w:val="0"/>
      </w:rPr>
    </w:lvl>
    <w:lvl w:ilvl="1">
      <w:start w:val="1"/>
      <w:numFmt w:val="bullet"/>
      <w:lvlText w:val="o"/>
      <w:lvlJc w:val="left"/>
      <w:pPr>
        <w:tabs>
          <w:tab w:val="num" w:pos="1111"/>
        </w:tabs>
        <w:ind w:left="1111" w:hanging="360"/>
      </w:pPr>
      <w:rPr>
        <w:rFonts w:ascii="Courier New" w:hAnsi="Courier New" w:cs="Courier New"/>
        <w:rtl w:val="0"/>
      </w:rPr>
    </w:lvl>
    <w:lvl w:ilvl="2">
      <w:start w:val="1"/>
      <w:numFmt w:val="bullet"/>
      <w:lvlText w:val=""/>
      <w:lvlJc w:val="left"/>
      <w:pPr>
        <w:tabs>
          <w:tab w:val="num" w:pos="1831"/>
        </w:tabs>
        <w:ind w:left="1831" w:hanging="360"/>
      </w:pPr>
      <w:rPr>
        <w:rFonts w:ascii="Wingdings" w:hAnsi="Wingdings"/>
        <w:rtl w:val="0"/>
      </w:rPr>
    </w:lvl>
    <w:lvl w:ilvl="3">
      <w:start w:val="1"/>
      <w:numFmt w:val="bullet"/>
      <w:lvlText w:val=""/>
      <w:lvlJc w:val="left"/>
      <w:pPr>
        <w:tabs>
          <w:tab w:val="num" w:pos="2551"/>
        </w:tabs>
        <w:ind w:left="2551" w:hanging="360"/>
      </w:pPr>
      <w:rPr>
        <w:rFonts w:ascii="Symbol" w:hAnsi="Symbol"/>
        <w:rtl w:val="0"/>
      </w:rPr>
    </w:lvl>
    <w:lvl w:ilvl="4">
      <w:start w:val="1"/>
      <w:numFmt w:val="bullet"/>
      <w:lvlText w:val="o"/>
      <w:lvlJc w:val="left"/>
      <w:pPr>
        <w:tabs>
          <w:tab w:val="num" w:pos="3271"/>
        </w:tabs>
        <w:ind w:left="3271" w:hanging="360"/>
      </w:pPr>
      <w:rPr>
        <w:rFonts w:ascii="Courier New" w:hAnsi="Courier New" w:cs="Courier New"/>
        <w:rtl w:val="0"/>
      </w:rPr>
    </w:lvl>
    <w:lvl w:ilvl="5">
      <w:start w:val="1"/>
      <w:numFmt w:val="bullet"/>
      <w:lvlText w:val=""/>
      <w:lvlJc w:val="left"/>
      <w:pPr>
        <w:tabs>
          <w:tab w:val="num" w:pos="3991"/>
        </w:tabs>
        <w:ind w:left="3991" w:hanging="360"/>
      </w:pPr>
      <w:rPr>
        <w:rFonts w:ascii="Wingdings" w:hAnsi="Wingdings"/>
        <w:rtl w:val="0"/>
      </w:rPr>
    </w:lvl>
    <w:lvl w:ilvl="6">
      <w:start w:val="1"/>
      <w:numFmt w:val="bullet"/>
      <w:lvlText w:val=""/>
      <w:lvlJc w:val="left"/>
      <w:pPr>
        <w:tabs>
          <w:tab w:val="num" w:pos="4711"/>
        </w:tabs>
        <w:ind w:left="4711" w:hanging="360"/>
      </w:pPr>
      <w:rPr>
        <w:rFonts w:ascii="Symbol" w:hAnsi="Symbol"/>
        <w:rtl w:val="0"/>
      </w:rPr>
    </w:lvl>
    <w:lvl w:ilvl="7">
      <w:start w:val="1"/>
      <w:numFmt w:val="bullet"/>
      <w:lvlText w:val="o"/>
      <w:lvlJc w:val="left"/>
      <w:pPr>
        <w:tabs>
          <w:tab w:val="num" w:pos="5431"/>
        </w:tabs>
        <w:ind w:left="5431" w:hanging="360"/>
      </w:pPr>
      <w:rPr>
        <w:rFonts w:ascii="Courier New" w:hAnsi="Courier New" w:cs="Courier New"/>
        <w:rtl w:val="0"/>
      </w:rPr>
    </w:lvl>
    <w:lvl w:ilvl="8">
      <w:start w:val="1"/>
      <w:numFmt w:val="bullet"/>
      <w:lvlText w:val=""/>
      <w:lvlJc w:val="left"/>
      <w:pPr>
        <w:tabs>
          <w:tab w:val="num" w:pos="6151"/>
        </w:tabs>
        <w:ind w:left="6151" w:hanging="360"/>
      </w:pPr>
      <w:rPr>
        <w:rFonts w:ascii="Wingdings" w:hAnsi="Wingdings"/>
        <w:rtl w:val="0"/>
      </w:rPr>
    </w:lvl>
  </w:abstractNum>
  <w:abstractNum w:abstractNumId="40">
    <w:nsid w:val="1C202F66"/>
    <w:multiLevelType w:val="hybridMultilevel"/>
    <w:tmpl w:val="0DF82F44"/>
    <w:lvl w:ilvl="0">
      <w:start w:val="1"/>
      <w:numFmt w:val="bullet"/>
      <w:lvlText w:val=""/>
      <w:lvlJc w:val="left"/>
      <w:pPr>
        <w:tabs>
          <w:tab w:val="num" w:pos="360"/>
        </w:tabs>
        <w:ind w:left="360" w:hanging="360"/>
      </w:pPr>
      <w:rPr>
        <w:rFonts w:ascii="Wingdings" w:hAnsi="Wingdings"/>
        <w:rtl w:val="0"/>
      </w:rPr>
    </w:lvl>
    <w:lvl w:ilvl="1">
      <w:start w:val="1"/>
      <w:numFmt w:val="bullet"/>
      <w:lvlText w:val=""/>
      <w:lvlJc w:val="left"/>
      <w:pPr>
        <w:tabs>
          <w:tab w:val="num" w:pos="1080"/>
        </w:tabs>
        <w:ind w:left="1080" w:hanging="360"/>
      </w:pPr>
      <w:rPr>
        <w:rFonts w:ascii="Symbol" w:hAnsi="Symbol"/>
        <w:rtl w:val="0"/>
      </w:rPr>
    </w:lvl>
    <w:lvl w:ilvl="2">
      <w:start w:val="0"/>
      <w:numFmt w:val="bullet"/>
      <w:lvlText w:val="-"/>
      <w:lvlJc w:val="left"/>
      <w:pPr>
        <w:tabs>
          <w:tab w:val="num" w:pos="1800"/>
        </w:tabs>
        <w:ind w:left="1800" w:hanging="360"/>
      </w:pPr>
      <w:rPr>
        <w:rFonts w:ascii="Times New Roman" w:hAnsi="Times New Roman" w:cs="Times New Roman"/>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41">
    <w:nsid w:val="1E0E2362"/>
    <w:multiLevelType w:val="hybridMultilevel"/>
    <w:tmpl w:val="57305998"/>
    <w:lvl w:ilvl="0">
      <w:start w:val="1"/>
      <w:numFmt w:val="bullet"/>
      <w:lvlText w:val="-"/>
      <w:lvlJc w:val="left"/>
      <w:pPr>
        <w:tabs>
          <w:tab w:val="num" w:pos="720"/>
        </w:tabs>
        <w:ind w:left="720" w:hanging="360"/>
      </w:pPr>
      <w:rPr>
        <w:rFonts w:ascii="Arial Narrow" w:hAnsi="Arial Narrow" w:cs="Arial Narrow"/>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2">
    <w:nsid w:val="1F066F83"/>
    <w:multiLevelType w:val="hybridMultilevel"/>
    <w:tmpl w:val="EE584AB0"/>
    <w:lvl w:ilvl="0">
      <w:start w:val="0"/>
      <w:numFmt w:val="bullet"/>
      <w:lvlText w:val="–"/>
      <w:lvlJc w:val="left"/>
      <w:pPr>
        <w:tabs>
          <w:tab w:val="num" w:pos="567"/>
        </w:tabs>
        <w:ind w:left="567" w:hanging="283"/>
      </w:pPr>
      <w:rPr>
        <w:rFonts w:ascii="Times New Roman" w:hAnsi="Times New Roman" w:cs="Times New Roman"/>
        <w:b w:val="0"/>
        <w:rtl w:val="0"/>
      </w:rPr>
    </w:lvl>
    <w:lvl w:ilvl="1">
      <w:start w:val="250"/>
      <w:numFmt w:val="bullet"/>
      <w:lvlText w:val="-"/>
      <w:lvlJc w:val="left"/>
      <w:pPr>
        <w:tabs>
          <w:tab w:val="num" w:pos="1935"/>
        </w:tabs>
        <w:ind w:left="1935" w:hanging="855"/>
      </w:pPr>
      <w:rPr>
        <w:rFonts w:ascii="Times New Roman" w:hAnsi="Times New Roman" w:cs="Times New Roman"/>
        <w:rtl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1FAF3C29"/>
    <w:multiLevelType w:val="hybridMultilevel"/>
    <w:tmpl w:val="751E71F2"/>
    <w:lvl w:ilvl="0">
      <w:start w:val="2"/>
      <w:numFmt w:val="bullet"/>
      <w:lvlText w:val="–"/>
      <w:lvlJc w:val="left"/>
      <w:pPr>
        <w:tabs>
          <w:tab w:val="num" w:pos="1068"/>
        </w:tabs>
        <w:ind w:left="1068" w:hanging="360"/>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44">
    <w:nsid w:val="207E43CE"/>
    <w:multiLevelType w:val="hybridMultilevel"/>
    <w:tmpl w:val="EC46C396"/>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1131F8C"/>
    <w:multiLevelType w:val="hybridMultilevel"/>
    <w:tmpl w:val="FBBCE040"/>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6">
    <w:nsid w:val="2194584D"/>
    <w:multiLevelType w:val="hybridMultilevel"/>
    <w:tmpl w:val="89D2E90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7">
    <w:nsid w:val="22E15376"/>
    <w:multiLevelType w:val="hybridMultilevel"/>
    <w:tmpl w:val="5544710A"/>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8">
    <w:nsid w:val="25A0133A"/>
    <w:multiLevelType w:val="hybridMultilevel"/>
    <w:tmpl w:val="B1546634"/>
    <w:lvl w:ilvl="0">
      <w:start w:val="1"/>
      <w:numFmt w:val="bullet"/>
      <w:lvlText w:val=""/>
      <w:lvlJc w:val="left"/>
      <w:pPr>
        <w:tabs>
          <w:tab w:val="num" w:pos="1260"/>
        </w:tabs>
        <w:ind w:left="1260" w:hanging="360"/>
      </w:pPr>
      <w:rPr>
        <w:rFonts w:ascii="Symbol" w:hAnsi="Symbol"/>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49">
    <w:nsid w:val="26BE6F9D"/>
    <w:multiLevelType w:val="hybridMultilevel"/>
    <w:tmpl w:val="333C149E"/>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0">
    <w:nsid w:val="26D2109F"/>
    <w:multiLevelType w:val="multilevel"/>
    <w:tmpl w:val="927A00FA"/>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51">
    <w:nsid w:val="27A6565C"/>
    <w:multiLevelType w:val="hybridMultilevel"/>
    <w:tmpl w:val="CEECB702"/>
    <w:lvl w:ilvl="0">
      <w:start w:val="1"/>
      <w:numFmt w:val="bullet"/>
      <w:lvlText w:val=""/>
      <w:lvlJc w:val="left"/>
      <w:pPr>
        <w:tabs>
          <w:tab w:val="num" w:pos="360"/>
        </w:tabs>
        <w:ind w:left="360" w:hanging="360"/>
      </w:pPr>
      <w:rPr>
        <w:rFonts w:ascii="Wingdings" w:hAnsi="Wingdings"/>
        <w:rtl w:val="0"/>
      </w:rPr>
    </w:lvl>
    <w:lvl w:ilvl="1">
      <w:start w:val="1"/>
      <w:numFmt w:val="bullet"/>
      <w:lvlText w:val=""/>
      <w:lvlJc w:val="left"/>
      <w:pPr>
        <w:tabs>
          <w:tab w:val="num" w:pos="1080"/>
        </w:tabs>
        <w:ind w:left="1080" w:hanging="360"/>
      </w:pPr>
      <w:rPr>
        <w:rFonts w:ascii="Symbol" w:hAnsi="Symbol"/>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52">
    <w:nsid w:val="28A27B38"/>
    <w:multiLevelType w:val="hybridMultilevel"/>
    <w:tmpl w:val="D5A008B2"/>
    <w:lvl w:ilvl="0">
      <w:start w:val="3"/>
      <w:numFmt w:val="bullet"/>
      <w:lvlText w:val="-"/>
      <w:lvlJc w:val="left"/>
      <w:pPr>
        <w:tabs>
          <w:tab w:val="num" w:pos="720"/>
        </w:tabs>
        <w:ind w:left="720" w:hanging="360"/>
      </w:pPr>
      <w:rPr>
        <w:rFonts w:ascii="Arial Narrow" w:hAnsi="Arial Narrow"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3">
    <w:nsid w:val="28CA7DD8"/>
    <w:multiLevelType w:val="hybridMultilevel"/>
    <w:tmpl w:val="52B8E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29514E6D"/>
    <w:multiLevelType w:val="hybridMultilevel"/>
    <w:tmpl w:val="8FD0B1FA"/>
    <w:lvl w:ilvl="0">
      <w:start w:val="2"/>
      <w:numFmt w:val="bullet"/>
      <w:lvlText w:val=""/>
      <w:lvlJc w:val="left"/>
      <w:pPr>
        <w:tabs>
          <w:tab w:val="num" w:pos="2060"/>
        </w:tabs>
        <w:ind w:left="2060" w:hanging="360"/>
      </w:pPr>
      <w:rPr>
        <w:rFonts w:ascii="Symbol" w:hAnsi="Symbol" w:cs="Arial"/>
        <w:rtl w:val="0"/>
      </w:rPr>
    </w:lvl>
    <w:lvl w:ilvl="1">
      <w:start w:val="1"/>
      <w:numFmt w:val="bullet"/>
      <w:lvlText w:val="o"/>
      <w:lvlJc w:val="left"/>
      <w:pPr>
        <w:tabs>
          <w:tab w:val="num" w:pos="2780"/>
        </w:tabs>
        <w:ind w:left="2780" w:hanging="360"/>
      </w:pPr>
      <w:rPr>
        <w:rFonts w:ascii="Courier New" w:hAnsi="Courier New" w:cs="Courier New"/>
        <w:rtl w:val="0"/>
      </w:rPr>
    </w:lvl>
    <w:lvl w:ilvl="2">
      <w:start w:val="1"/>
      <w:numFmt w:val="bullet"/>
      <w:lvlText w:val=""/>
      <w:lvlJc w:val="left"/>
      <w:pPr>
        <w:tabs>
          <w:tab w:val="num" w:pos="3500"/>
        </w:tabs>
        <w:ind w:left="3500" w:hanging="360"/>
      </w:pPr>
      <w:rPr>
        <w:rFonts w:ascii="Wingdings" w:hAnsi="Wingdings"/>
        <w:rtl w:val="0"/>
      </w:rPr>
    </w:lvl>
    <w:lvl w:ilvl="3">
      <w:start w:val="1"/>
      <w:numFmt w:val="bullet"/>
      <w:lvlText w:val=""/>
      <w:lvlJc w:val="left"/>
      <w:pPr>
        <w:tabs>
          <w:tab w:val="num" w:pos="4220"/>
        </w:tabs>
        <w:ind w:left="4220" w:hanging="360"/>
      </w:pPr>
      <w:rPr>
        <w:rFonts w:ascii="Symbol" w:hAnsi="Symbol"/>
        <w:rtl w:val="0"/>
      </w:rPr>
    </w:lvl>
    <w:lvl w:ilvl="4">
      <w:start w:val="1"/>
      <w:numFmt w:val="bullet"/>
      <w:lvlText w:val="o"/>
      <w:lvlJc w:val="left"/>
      <w:pPr>
        <w:tabs>
          <w:tab w:val="num" w:pos="4940"/>
        </w:tabs>
        <w:ind w:left="4940" w:hanging="360"/>
      </w:pPr>
      <w:rPr>
        <w:rFonts w:ascii="Courier New" w:hAnsi="Courier New" w:cs="Courier New"/>
        <w:rtl w:val="0"/>
      </w:rPr>
    </w:lvl>
    <w:lvl w:ilvl="5">
      <w:start w:val="1"/>
      <w:numFmt w:val="bullet"/>
      <w:lvlText w:val=""/>
      <w:lvlJc w:val="left"/>
      <w:pPr>
        <w:tabs>
          <w:tab w:val="num" w:pos="5660"/>
        </w:tabs>
        <w:ind w:left="5660" w:hanging="360"/>
      </w:pPr>
      <w:rPr>
        <w:rFonts w:ascii="Wingdings" w:hAnsi="Wingdings"/>
        <w:rtl w:val="0"/>
      </w:rPr>
    </w:lvl>
    <w:lvl w:ilvl="6">
      <w:start w:val="1"/>
      <w:numFmt w:val="bullet"/>
      <w:lvlText w:val=""/>
      <w:lvlJc w:val="left"/>
      <w:pPr>
        <w:tabs>
          <w:tab w:val="num" w:pos="6380"/>
        </w:tabs>
        <w:ind w:left="6380" w:hanging="360"/>
      </w:pPr>
      <w:rPr>
        <w:rFonts w:ascii="Symbol" w:hAnsi="Symbol"/>
        <w:rtl w:val="0"/>
      </w:rPr>
    </w:lvl>
    <w:lvl w:ilvl="7">
      <w:start w:val="1"/>
      <w:numFmt w:val="bullet"/>
      <w:lvlText w:val="o"/>
      <w:lvlJc w:val="left"/>
      <w:pPr>
        <w:tabs>
          <w:tab w:val="num" w:pos="7100"/>
        </w:tabs>
        <w:ind w:left="7100" w:hanging="360"/>
      </w:pPr>
      <w:rPr>
        <w:rFonts w:ascii="Courier New" w:hAnsi="Courier New" w:cs="Courier New"/>
        <w:rtl w:val="0"/>
      </w:rPr>
    </w:lvl>
    <w:lvl w:ilvl="8">
      <w:start w:val="1"/>
      <w:numFmt w:val="bullet"/>
      <w:lvlText w:val=""/>
      <w:lvlJc w:val="left"/>
      <w:pPr>
        <w:tabs>
          <w:tab w:val="num" w:pos="7820"/>
        </w:tabs>
        <w:ind w:left="7820" w:hanging="360"/>
      </w:pPr>
      <w:rPr>
        <w:rFonts w:ascii="Wingdings" w:hAnsi="Wingdings"/>
        <w:rtl w:val="0"/>
      </w:rPr>
    </w:lvl>
  </w:abstractNum>
  <w:abstractNum w:abstractNumId="55">
    <w:nsid w:val="2A327130"/>
    <w:multiLevelType w:val="hybridMultilevel"/>
    <w:tmpl w:val="1110E146"/>
    <w:lvl w:ilvl="0">
      <w:start w:val="1"/>
      <w:numFmt w:val="bullet"/>
      <w:lvlText w:val="–"/>
      <w:lvlJc w:val="left"/>
      <w:pPr>
        <w:tabs>
          <w:tab w:val="num" w:pos="567"/>
        </w:tabs>
        <w:ind w:left="567" w:hanging="283"/>
      </w:p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6">
    <w:nsid w:val="2DED0930"/>
    <w:multiLevelType w:val="hybridMultilevel"/>
    <w:tmpl w:val="6C72E128"/>
    <w:lvl w:ilvl="0">
      <w:start w:val="1"/>
      <w:numFmt w:val="bullet"/>
      <w:lvlText w:val="–"/>
      <w:lvlJc w:val="left"/>
      <w:pPr>
        <w:tabs>
          <w:tab w:val="num" w:pos="926"/>
        </w:tabs>
        <w:ind w:left="926" w:hanging="283"/>
      </w:pPr>
      <w:rPr>
        <w:rFonts w:ascii="Times New Roman" w:hAnsi="Times New Roman" w:cs="Times New Roman"/>
        <w:rtl w:val="0"/>
      </w:rPr>
    </w:lvl>
    <w:lvl w:ilvl="1">
      <w:start w:val="1"/>
      <w:numFmt w:val="bullet"/>
      <w:lvlText w:val="o"/>
      <w:lvlJc w:val="left"/>
      <w:pPr>
        <w:tabs>
          <w:tab w:val="num" w:pos="2507"/>
        </w:tabs>
        <w:ind w:left="2507" w:hanging="360"/>
      </w:pPr>
      <w:rPr>
        <w:rFonts w:ascii="Courier New" w:hAnsi="Courier New"/>
        <w:rtl w:val="0"/>
      </w:rPr>
    </w:lvl>
    <w:lvl w:ilvl="2">
      <w:start w:val="1"/>
      <w:numFmt w:val="bullet"/>
      <w:lvlText w:val=""/>
      <w:lvlJc w:val="left"/>
      <w:pPr>
        <w:tabs>
          <w:tab w:val="num" w:pos="3227"/>
        </w:tabs>
        <w:ind w:left="3227" w:hanging="360"/>
      </w:pPr>
      <w:rPr>
        <w:rFonts w:ascii="Wingdings" w:hAnsi="Wingdings"/>
        <w:rtl w:val="0"/>
      </w:rPr>
    </w:lvl>
    <w:lvl w:ilvl="3">
      <w:start w:val="1"/>
      <w:numFmt w:val="bullet"/>
      <w:lvlText w:val=""/>
      <w:lvlJc w:val="left"/>
      <w:pPr>
        <w:tabs>
          <w:tab w:val="num" w:pos="3947"/>
        </w:tabs>
        <w:ind w:left="3947" w:hanging="360"/>
      </w:pPr>
      <w:rPr>
        <w:rFonts w:ascii="Symbol" w:hAnsi="Symbol"/>
        <w:rtl w:val="0"/>
      </w:rPr>
    </w:lvl>
    <w:lvl w:ilvl="4">
      <w:start w:val="1"/>
      <w:numFmt w:val="bullet"/>
      <w:lvlText w:val="o"/>
      <w:lvlJc w:val="left"/>
      <w:pPr>
        <w:tabs>
          <w:tab w:val="num" w:pos="4667"/>
        </w:tabs>
        <w:ind w:left="4667" w:hanging="360"/>
      </w:pPr>
      <w:rPr>
        <w:rFonts w:ascii="Courier New" w:hAnsi="Courier New"/>
        <w:rtl w:val="0"/>
      </w:rPr>
    </w:lvl>
    <w:lvl w:ilvl="5">
      <w:start w:val="1"/>
      <w:numFmt w:val="bullet"/>
      <w:lvlText w:val=""/>
      <w:lvlJc w:val="left"/>
      <w:pPr>
        <w:tabs>
          <w:tab w:val="num" w:pos="5387"/>
        </w:tabs>
        <w:ind w:left="5387" w:hanging="360"/>
      </w:pPr>
      <w:rPr>
        <w:rFonts w:ascii="Wingdings" w:hAnsi="Wingdings"/>
        <w:rtl w:val="0"/>
      </w:rPr>
    </w:lvl>
    <w:lvl w:ilvl="6">
      <w:start w:val="1"/>
      <w:numFmt w:val="bullet"/>
      <w:lvlText w:val=""/>
      <w:lvlJc w:val="left"/>
      <w:pPr>
        <w:tabs>
          <w:tab w:val="num" w:pos="6107"/>
        </w:tabs>
        <w:ind w:left="6107" w:hanging="360"/>
      </w:pPr>
      <w:rPr>
        <w:rFonts w:ascii="Symbol" w:hAnsi="Symbol"/>
        <w:rtl w:val="0"/>
      </w:rPr>
    </w:lvl>
    <w:lvl w:ilvl="7">
      <w:start w:val="1"/>
      <w:numFmt w:val="bullet"/>
      <w:lvlText w:val="o"/>
      <w:lvlJc w:val="left"/>
      <w:pPr>
        <w:tabs>
          <w:tab w:val="num" w:pos="6827"/>
        </w:tabs>
        <w:ind w:left="6827" w:hanging="360"/>
      </w:pPr>
      <w:rPr>
        <w:rFonts w:ascii="Courier New" w:hAnsi="Courier New"/>
        <w:rtl w:val="0"/>
      </w:rPr>
    </w:lvl>
    <w:lvl w:ilvl="8">
      <w:start w:val="1"/>
      <w:numFmt w:val="bullet"/>
      <w:lvlText w:val=""/>
      <w:lvlJc w:val="left"/>
      <w:pPr>
        <w:tabs>
          <w:tab w:val="num" w:pos="7547"/>
        </w:tabs>
        <w:ind w:left="7547" w:hanging="360"/>
      </w:pPr>
      <w:rPr>
        <w:rFonts w:ascii="Wingdings" w:hAnsi="Wingdings"/>
        <w:rtl w:val="0"/>
      </w:rPr>
    </w:lvl>
  </w:abstractNum>
  <w:abstractNum w:abstractNumId="57">
    <w:nsid w:val="2F6A2EF4"/>
    <w:multiLevelType w:val="hybridMultilevel"/>
    <w:tmpl w:val="D32004A6"/>
    <w:lvl w:ilvl="0">
      <w:start w:val="1"/>
      <w:numFmt w:val="bullet"/>
      <w:lvlText w:val=""/>
      <w:lvlJc w:val="left"/>
      <w:pPr>
        <w:tabs>
          <w:tab w:val="num" w:pos="360"/>
        </w:tabs>
        <w:ind w:left="360" w:hanging="360"/>
      </w:pPr>
      <w:rPr>
        <w:rFonts w:ascii="Wingdings" w:hAnsi="Wingdings"/>
        <w:rtl w:val="0"/>
      </w:rPr>
    </w:lvl>
    <w:lvl w:ilvl="1">
      <w:start w:val="1"/>
      <w:numFmt w:val="bullet"/>
      <w:lvlText w:val=""/>
      <w:lvlJc w:val="left"/>
      <w:pPr>
        <w:tabs>
          <w:tab w:val="num" w:pos="1080"/>
        </w:tabs>
        <w:ind w:left="1080" w:hanging="360"/>
      </w:pPr>
      <w:rPr>
        <w:rFonts w:ascii="Symbol" w:hAnsi="Symbol"/>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58">
    <w:nsid w:val="30AD0B61"/>
    <w:multiLevelType w:val="hybridMultilevel"/>
    <w:tmpl w:val="5E5ECB8A"/>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9">
    <w:nsid w:val="30D10CD7"/>
    <w:multiLevelType w:val="hybridMultilevel"/>
    <w:tmpl w:val="9010254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0">
    <w:nsid w:val="30EC7E49"/>
    <w:multiLevelType w:val="hybridMultilevel"/>
    <w:tmpl w:val="F16C6362"/>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1">
    <w:nsid w:val="324D65FE"/>
    <w:multiLevelType w:val="hybridMultilevel"/>
    <w:tmpl w:val="F1DC0D10"/>
    <w:lvl w:ilvl="0">
      <w:start w:val="0"/>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2">
    <w:nsid w:val="33173C68"/>
    <w:multiLevelType w:val="hybridMultilevel"/>
    <w:tmpl w:val="32963212"/>
    <w:lvl w:ilvl="0">
      <w:start w:val="2"/>
      <w:numFmt w:val="bullet"/>
      <w:lvlText w:val="–"/>
      <w:lvlJc w:val="left"/>
      <w:pPr>
        <w:tabs>
          <w:tab w:val="num" w:pos="644"/>
        </w:tabs>
        <w:ind w:left="567" w:hanging="283"/>
      </w:pPr>
      <w:rPr>
        <w:rFonts w:ascii="Times New Roman" w:hAnsi="Times New Roman" w:cs="Times New Roman"/>
        <w:rtl w:val="0"/>
      </w:rPr>
    </w:lvl>
    <w:lvl w:ilvl="1">
      <w:start w:val="2"/>
      <w:numFmt w:val="bullet"/>
      <w:lvlText w:val=""/>
      <w:lvlJc w:val="left"/>
      <w:pPr>
        <w:tabs>
          <w:tab w:val="num" w:pos="1366"/>
        </w:tabs>
        <w:ind w:left="1366" w:hanging="289"/>
      </w:pPr>
      <w:rPr>
        <w:rFonts w:ascii="Symbol" w:hAnsi="Symbol"/>
        <w:rtl w:val="0"/>
      </w:rPr>
    </w:lvl>
    <w:lvl w:ilvl="2">
      <w:start w:val="2"/>
      <w:numFmt w:val="bullet"/>
      <w:lvlText w:val="–"/>
      <w:lvlJc w:val="left"/>
      <w:pPr>
        <w:tabs>
          <w:tab w:val="num" w:pos="567"/>
        </w:tabs>
        <w:ind w:left="567" w:hanging="283"/>
      </w:pPr>
      <w:rPr>
        <w:rFonts w:ascii="Times New Roman" w:hAnsi="Times New Roman" w:cs="Times New Roman"/>
        <w:rtl w:val="0"/>
      </w:rPr>
    </w:lvl>
    <w:lvl w:ilvl="3">
      <w:start w:val="1"/>
      <w:numFmt w:val="bullet"/>
      <w:lvlText w:val=""/>
      <w:lvlJc w:val="left"/>
      <w:pPr>
        <w:tabs>
          <w:tab w:val="num" w:pos="2935"/>
        </w:tabs>
        <w:ind w:left="2935" w:hanging="360"/>
      </w:pPr>
      <w:rPr>
        <w:rFonts w:ascii="Symbol" w:hAnsi="Symbol"/>
        <w:rtl w:val="0"/>
      </w:rPr>
    </w:lvl>
    <w:lvl w:ilvl="4">
      <w:start w:val="1"/>
      <w:numFmt w:val="bullet"/>
      <w:lvlText w:val="o"/>
      <w:lvlJc w:val="left"/>
      <w:pPr>
        <w:tabs>
          <w:tab w:val="num" w:pos="3655"/>
        </w:tabs>
        <w:ind w:left="3655" w:hanging="360"/>
      </w:pPr>
      <w:rPr>
        <w:rFonts w:ascii="Courier New" w:hAnsi="Courier New"/>
        <w:rtl w:val="0"/>
      </w:rPr>
    </w:lvl>
    <w:lvl w:ilvl="5">
      <w:start w:val="1"/>
      <w:numFmt w:val="bullet"/>
      <w:lvlText w:val=""/>
      <w:lvlJc w:val="left"/>
      <w:pPr>
        <w:tabs>
          <w:tab w:val="num" w:pos="4375"/>
        </w:tabs>
        <w:ind w:left="4375" w:hanging="360"/>
      </w:pPr>
      <w:rPr>
        <w:rFonts w:ascii="Wingdings" w:hAnsi="Wingdings"/>
        <w:rtl w:val="0"/>
      </w:rPr>
    </w:lvl>
    <w:lvl w:ilvl="6">
      <w:start w:val="1"/>
      <w:numFmt w:val="bullet"/>
      <w:lvlText w:val=""/>
      <w:lvlJc w:val="left"/>
      <w:pPr>
        <w:tabs>
          <w:tab w:val="num" w:pos="5095"/>
        </w:tabs>
        <w:ind w:left="5095" w:hanging="360"/>
      </w:pPr>
      <w:rPr>
        <w:rFonts w:ascii="Symbol" w:hAnsi="Symbol"/>
        <w:rtl w:val="0"/>
      </w:rPr>
    </w:lvl>
    <w:lvl w:ilvl="7">
      <w:start w:val="1"/>
      <w:numFmt w:val="bullet"/>
      <w:lvlText w:val="o"/>
      <w:lvlJc w:val="left"/>
      <w:pPr>
        <w:tabs>
          <w:tab w:val="num" w:pos="5815"/>
        </w:tabs>
        <w:ind w:left="5815" w:hanging="360"/>
      </w:pPr>
      <w:rPr>
        <w:rFonts w:ascii="Courier New" w:hAnsi="Courier New"/>
        <w:rtl w:val="0"/>
      </w:rPr>
    </w:lvl>
    <w:lvl w:ilvl="8">
      <w:start w:val="1"/>
      <w:numFmt w:val="bullet"/>
      <w:lvlText w:val=""/>
      <w:lvlJc w:val="left"/>
      <w:pPr>
        <w:tabs>
          <w:tab w:val="num" w:pos="6535"/>
        </w:tabs>
        <w:ind w:left="6535" w:hanging="360"/>
      </w:pPr>
      <w:rPr>
        <w:rFonts w:ascii="Wingdings" w:hAnsi="Wingdings"/>
        <w:rtl w:val="0"/>
      </w:rPr>
    </w:lvl>
  </w:abstractNum>
  <w:abstractNum w:abstractNumId="63">
    <w:nsid w:val="338F3533"/>
    <w:multiLevelType w:val="multilevel"/>
    <w:tmpl w:val="2C0E8DE2"/>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64">
    <w:nsid w:val="33DC391F"/>
    <w:multiLevelType w:val="hybridMultilevel"/>
    <w:tmpl w:val="3CBC79D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3693704A"/>
    <w:multiLevelType w:val="hybridMultilevel"/>
    <w:tmpl w:val="153C097C"/>
    <w:lvl w:ilvl="0">
      <w:start w:val="2"/>
      <w:numFmt w:val="bullet"/>
      <w:lvlText w:val="–"/>
      <w:lvlJc w:val="left"/>
      <w:pPr>
        <w:tabs>
          <w:tab w:val="num" w:pos="644"/>
        </w:tabs>
        <w:ind w:left="567" w:hanging="283"/>
      </w:pPr>
      <w:rPr>
        <w:rFonts w:ascii="Arial Narrow" w:hAnsi="Arial Narrow"/>
        <w:rtl w:val="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6">
    <w:nsid w:val="372E0EE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nsid w:val="37514D63"/>
    <w:multiLevelType w:val="multilevel"/>
    <w:tmpl w:val="FB2A2DE6"/>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588" w:hanging="1588"/>
      </w:pPr>
      <w:rPr>
        <w:rFonts w:ascii="Arial" w:hAnsi="Arial"/>
        <w:b/>
        <w:i w:val="0"/>
        <w:sz w:val="28"/>
        <w:szCs w:val="28"/>
        <w:rtl w:val="0"/>
      </w:rPr>
    </w:lvl>
    <w:lvl w:ilvl="2">
      <w:start w:val="1"/>
      <w:numFmt w:val="decimal"/>
      <w:lvlText w:val="%1.%2.%3."/>
      <w:lvlJc w:val="left"/>
      <w:pPr>
        <w:tabs>
          <w:tab w:val="num" w:pos="964"/>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A035790"/>
    <w:multiLevelType w:val="hybridMultilevel"/>
    <w:tmpl w:val="D6061B4A"/>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9">
    <w:nsid w:val="3A0917CD"/>
    <w:multiLevelType w:val="hybridMultilevel"/>
    <w:tmpl w:val="A1665BC0"/>
    <w:lvl w:ilvl="0">
      <w:start w:val="1"/>
      <w:numFmt w:val="bullet"/>
      <w:lvlText w:val="▪"/>
      <w:lvlJc w:val="left"/>
      <w:pPr>
        <w:tabs>
          <w:tab w:val="num" w:pos="612"/>
        </w:tabs>
        <w:ind w:left="612" w:hanging="283"/>
      </w:pPr>
      <w:rPr>
        <w:rFonts w:ascii="Times New Roman" w:hAnsi="Times New Roman" w:cs="Times New Roman"/>
        <w:rtl w:val="0"/>
      </w:r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0">
    <w:nsid w:val="3A202970"/>
    <w:multiLevelType w:val="multilevel"/>
    <w:tmpl w:val="7A3A6F2C"/>
    <w:lvl w:ilvl="0">
      <w:start w:val="1"/>
      <w:numFmt w:val="decimal"/>
      <w:lvlText w:val="%1/"/>
      <w:lvlJc w:val="left"/>
      <w:pPr>
        <w:tabs>
          <w:tab w:val="num" w:pos="113"/>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3AC26494"/>
    <w:multiLevelType w:val="hybridMultilevel"/>
    <w:tmpl w:val="7D5800DE"/>
    <w:lvl w:ilvl="0">
      <w:start w:val="2"/>
      <w:numFmt w:val="bullet"/>
      <w:lvlText w:val="–"/>
      <w:lvlJc w:val="left"/>
      <w:pPr>
        <w:tabs>
          <w:tab w:val="num" w:pos="567"/>
        </w:tabs>
        <w:ind w:left="567" w:hanging="283"/>
      </w:pPr>
      <w:rPr>
        <w:rFonts w:ascii="Times New Roman" w:hAnsi="Times New Roman" w:cs="Times New Roman"/>
        <w:rtl w:val="0"/>
      </w:rPr>
    </w:lvl>
    <w:lvl w:ilvl="1">
      <w:start w:val="2"/>
      <w:numFmt w:val="bullet"/>
      <w:lvlText w:val=""/>
      <w:lvlJc w:val="left"/>
      <w:pPr>
        <w:tabs>
          <w:tab w:val="num" w:pos="1437"/>
        </w:tabs>
        <w:ind w:left="1418" w:hanging="341"/>
      </w:pPr>
      <w:rPr>
        <w:rFonts w:ascii="Symbol" w:hAnsi="Symbol"/>
        <w:rtl w:val="0"/>
      </w:rPr>
    </w:lvl>
    <w:lvl w:ilvl="2">
      <w:start w:val="2"/>
      <w:numFmt w:val="bullet"/>
      <w:lvlText w:val="–"/>
      <w:lvlJc w:val="left"/>
      <w:pPr>
        <w:tabs>
          <w:tab w:val="num" w:pos="567"/>
        </w:tabs>
        <w:ind w:left="567" w:hanging="283"/>
      </w:pPr>
      <w:rPr>
        <w:rFonts w:ascii="Times New Roman" w:hAnsi="Times New Roman" w:cs="Times New Roman"/>
        <w:rtl w:val="0"/>
      </w:rPr>
    </w:lvl>
    <w:lvl w:ilvl="3">
      <w:start w:val="1"/>
      <w:numFmt w:val="bullet"/>
      <w:lvlText w:val=""/>
      <w:lvlJc w:val="left"/>
      <w:pPr>
        <w:tabs>
          <w:tab w:val="num" w:pos="2935"/>
        </w:tabs>
        <w:ind w:left="2935" w:hanging="360"/>
      </w:pPr>
      <w:rPr>
        <w:rFonts w:ascii="Symbol" w:hAnsi="Symbol"/>
        <w:rtl w:val="0"/>
      </w:rPr>
    </w:lvl>
    <w:lvl w:ilvl="4">
      <w:start w:val="1"/>
      <w:numFmt w:val="bullet"/>
      <w:lvlText w:val="o"/>
      <w:lvlJc w:val="left"/>
      <w:pPr>
        <w:tabs>
          <w:tab w:val="num" w:pos="3655"/>
        </w:tabs>
        <w:ind w:left="3655" w:hanging="360"/>
      </w:pPr>
      <w:rPr>
        <w:rFonts w:ascii="Courier New" w:hAnsi="Courier New"/>
        <w:rtl w:val="0"/>
      </w:rPr>
    </w:lvl>
    <w:lvl w:ilvl="5">
      <w:start w:val="1"/>
      <w:numFmt w:val="bullet"/>
      <w:lvlText w:val=""/>
      <w:lvlJc w:val="left"/>
      <w:pPr>
        <w:tabs>
          <w:tab w:val="num" w:pos="4375"/>
        </w:tabs>
        <w:ind w:left="4375" w:hanging="360"/>
      </w:pPr>
      <w:rPr>
        <w:rFonts w:ascii="Wingdings" w:hAnsi="Wingdings"/>
        <w:rtl w:val="0"/>
      </w:rPr>
    </w:lvl>
    <w:lvl w:ilvl="6">
      <w:start w:val="1"/>
      <w:numFmt w:val="bullet"/>
      <w:lvlText w:val=""/>
      <w:lvlJc w:val="left"/>
      <w:pPr>
        <w:tabs>
          <w:tab w:val="num" w:pos="5095"/>
        </w:tabs>
        <w:ind w:left="5095" w:hanging="360"/>
      </w:pPr>
      <w:rPr>
        <w:rFonts w:ascii="Symbol" w:hAnsi="Symbol"/>
        <w:rtl w:val="0"/>
      </w:rPr>
    </w:lvl>
    <w:lvl w:ilvl="7">
      <w:start w:val="1"/>
      <w:numFmt w:val="bullet"/>
      <w:lvlText w:val="o"/>
      <w:lvlJc w:val="left"/>
      <w:pPr>
        <w:tabs>
          <w:tab w:val="num" w:pos="5815"/>
        </w:tabs>
        <w:ind w:left="5815" w:hanging="360"/>
      </w:pPr>
      <w:rPr>
        <w:rFonts w:ascii="Courier New" w:hAnsi="Courier New"/>
        <w:rtl w:val="0"/>
      </w:rPr>
    </w:lvl>
    <w:lvl w:ilvl="8">
      <w:start w:val="1"/>
      <w:numFmt w:val="bullet"/>
      <w:lvlText w:val=""/>
      <w:lvlJc w:val="left"/>
      <w:pPr>
        <w:tabs>
          <w:tab w:val="num" w:pos="6535"/>
        </w:tabs>
        <w:ind w:left="6535" w:hanging="360"/>
      </w:pPr>
      <w:rPr>
        <w:rFonts w:ascii="Wingdings" w:hAnsi="Wingdings"/>
        <w:rtl w:val="0"/>
      </w:rPr>
    </w:lvl>
  </w:abstractNum>
  <w:abstractNum w:abstractNumId="72">
    <w:nsid w:val="3CE73C1F"/>
    <w:multiLevelType w:val="hybridMultilevel"/>
    <w:tmpl w:val="63C4E046"/>
    <w:lvl w:ilvl="0">
      <w:start w:val="8"/>
      <w:numFmt w:val="bullet"/>
      <w:lvlText w:val="–"/>
      <w:lvlJc w:val="left"/>
      <w:pPr>
        <w:tabs>
          <w:tab w:val="num" w:pos="612"/>
        </w:tabs>
        <w:ind w:left="612"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3">
    <w:nsid w:val="3D3F5E22"/>
    <w:multiLevelType w:val="hybridMultilevel"/>
    <w:tmpl w:val="F07EB1A0"/>
    <w:lvl w:ilvl="0">
      <w:start w:val="0"/>
      <w:numFmt w:val="bullet"/>
      <w:lvlText w:val="-"/>
      <w:lvlJc w:val="left"/>
      <w:pPr>
        <w:tabs>
          <w:tab w:val="num" w:pos="420"/>
        </w:tabs>
        <w:ind w:left="4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4">
    <w:nsid w:val="3D6D328A"/>
    <w:multiLevelType w:val="hybridMultilevel"/>
    <w:tmpl w:val="15C0E056"/>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744"/>
        </w:tabs>
        <w:ind w:left="1744" w:hanging="360"/>
      </w:pPr>
      <w:rPr>
        <w:rFonts w:ascii="Courier New" w:hAnsi="Courier New"/>
        <w:rtl w:val="0"/>
      </w:rPr>
    </w:lvl>
    <w:lvl w:ilvl="2">
      <w:start w:val="1"/>
      <w:numFmt w:val="bullet"/>
      <w:lvlText w:val=""/>
      <w:lvlJc w:val="left"/>
      <w:pPr>
        <w:tabs>
          <w:tab w:val="num" w:pos="2464"/>
        </w:tabs>
        <w:ind w:left="2464" w:hanging="360"/>
      </w:pPr>
      <w:rPr>
        <w:rFonts w:ascii="Wingdings" w:hAnsi="Wingdings"/>
        <w:rtl w:val="0"/>
      </w:rPr>
    </w:lvl>
    <w:lvl w:ilvl="3">
      <w:start w:val="1"/>
      <w:numFmt w:val="bullet"/>
      <w:lvlText w:val=""/>
      <w:lvlJc w:val="left"/>
      <w:pPr>
        <w:tabs>
          <w:tab w:val="num" w:pos="3184"/>
        </w:tabs>
        <w:ind w:left="3184" w:hanging="360"/>
      </w:pPr>
      <w:rPr>
        <w:rFonts w:ascii="Symbol" w:hAnsi="Symbol"/>
        <w:rtl w:val="0"/>
      </w:rPr>
    </w:lvl>
    <w:lvl w:ilvl="4">
      <w:start w:val="1"/>
      <w:numFmt w:val="bullet"/>
      <w:lvlText w:val="o"/>
      <w:lvlJc w:val="left"/>
      <w:pPr>
        <w:tabs>
          <w:tab w:val="num" w:pos="3904"/>
        </w:tabs>
        <w:ind w:left="3904" w:hanging="360"/>
      </w:pPr>
      <w:rPr>
        <w:rFonts w:ascii="Courier New" w:hAnsi="Courier New"/>
        <w:rtl w:val="0"/>
      </w:rPr>
    </w:lvl>
    <w:lvl w:ilvl="5">
      <w:start w:val="1"/>
      <w:numFmt w:val="bullet"/>
      <w:lvlText w:val=""/>
      <w:lvlJc w:val="left"/>
      <w:pPr>
        <w:tabs>
          <w:tab w:val="num" w:pos="4624"/>
        </w:tabs>
        <w:ind w:left="4624" w:hanging="360"/>
      </w:pPr>
      <w:rPr>
        <w:rFonts w:ascii="Wingdings" w:hAnsi="Wingdings"/>
        <w:rtl w:val="0"/>
      </w:rPr>
    </w:lvl>
    <w:lvl w:ilvl="6">
      <w:start w:val="1"/>
      <w:numFmt w:val="bullet"/>
      <w:lvlText w:val=""/>
      <w:lvlJc w:val="left"/>
      <w:pPr>
        <w:tabs>
          <w:tab w:val="num" w:pos="5344"/>
        </w:tabs>
        <w:ind w:left="5344" w:hanging="360"/>
      </w:pPr>
      <w:rPr>
        <w:rFonts w:ascii="Symbol" w:hAnsi="Symbol"/>
        <w:rtl w:val="0"/>
      </w:rPr>
    </w:lvl>
    <w:lvl w:ilvl="7">
      <w:start w:val="1"/>
      <w:numFmt w:val="bullet"/>
      <w:lvlText w:val="o"/>
      <w:lvlJc w:val="left"/>
      <w:pPr>
        <w:tabs>
          <w:tab w:val="num" w:pos="6064"/>
        </w:tabs>
        <w:ind w:left="6064" w:hanging="360"/>
      </w:pPr>
      <w:rPr>
        <w:rFonts w:ascii="Courier New" w:hAnsi="Courier New"/>
        <w:rtl w:val="0"/>
      </w:rPr>
    </w:lvl>
    <w:lvl w:ilvl="8">
      <w:start w:val="1"/>
      <w:numFmt w:val="bullet"/>
      <w:lvlText w:val=""/>
      <w:lvlJc w:val="left"/>
      <w:pPr>
        <w:tabs>
          <w:tab w:val="num" w:pos="6784"/>
        </w:tabs>
        <w:ind w:left="6784" w:hanging="360"/>
      </w:pPr>
      <w:rPr>
        <w:rFonts w:ascii="Wingdings" w:hAnsi="Wingdings"/>
        <w:rtl w:val="0"/>
      </w:rPr>
    </w:lvl>
  </w:abstractNum>
  <w:abstractNum w:abstractNumId="75">
    <w:nsid w:val="3D726F14"/>
    <w:multiLevelType w:val="hybridMultilevel"/>
    <w:tmpl w:val="5D922BB8"/>
    <w:lvl w:ilvl="0">
      <w:start w:val="1"/>
      <w:numFmt w:val="bullet"/>
      <w:lvlText w:val="·"/>
      <w:lvlJc w:val="left"/>
      <w:pPr>
        <w:tabs>
          <w:tab w:val="num" w:pos="708"/>
        </w:tabs>
        <w:ind w:left="3430" w:hanging="454"/>
      </w:pPr>
      <w:rPr>
        <w:rFonts w:ascii="Symbol" w:hAnsi="Symbol" w:cs="Symbol"/>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76">
    <w:nsid w:val="3D7A2160"/>
    <w:multiLevelType w:val="hybridMultilevel"/>
    <w:tmpl w:val="8044339C"/>
    <w:lvl w:ilvl="0">
      <w:start w:val="2"/>
      <w:numFmt w:val="bullet"/>
      <w:lvlText w:val="-"/>
      <w:lvlJc w:val="left"/>
      <w:pPr>
        <w:tabs>
          <w:tab w:val="num" w:pos="1069"/>
        </w:tabs>
        <w:ind w:left="1069" w:hanging="360"/>
      </w:pPr>
      <w:rPr>
        <w:rFonts w:ascii="Times New Roman" w:hAnsi="Times New Roman" w:cs="Times New Roman"/>
        <w:rtl w:val="0"/>
      </w:rPr>
    </w:lvl>
    <w:lvl w:ilvl="1">
      <w:start w:val="1"/>
      <w:numFmt w:val="bullet"/>
      <w:lvlText w:val="o"/>
      <w:lvlJc w:val="left"/>
      <w:pPr>
        <w:tabs>
          <w:tab w:val="num" w:pos="1789"/>
        </w:tabs>
        <w:ind w:left="1789" w:hanging="360"/>
      </w:pPr>
      <w:rPr>
        <w:rFonts w:ascii="Courier New" w:hAnsi="Courier New"/>
        <w:rtl w:val="0"/>
      </w:rPr>
    </w:lvl>
    <w:lvl w:ilvl="2">
      <w:start w:val="1"/>
      <w:numFmt w:val="bullet"/>
      <w:lvlText w:val=""/>
      <w:lvlJc w:val="left"/>
      <w:pPr>
        <w:tabs>
          <w:tab w:val="num" w:pos="2509"/>
        </w:tabs>
        <w:ind w:left="2509" w:hanging="360"/>
      </w:pPr>
      <w:rPr>
        <w:rFonts w:ascii="Wingdings" w:hAnsi="Wingdings"/>
        <w:rtl w:val="0"/>
      </w:rPr>
    </w:lvl>
    <w:lvl w:ilvl="3">
      <w:start w:val="1"/>
      <w:numFmt w:val="bullet"/>
      <w:lvlText w:val=""/>
      <w:lvlJc w:val="left"/>
      <w:pPr>
        <w:tabs>
          <w:tab w:val="num" w:pos="3229"/>
        </w:tabs>
        <w:ind w:left="3229" w:hanging="360"/>
      </w:pPr>
      <w:rPr>
        <w:rFonts w:ascii="Symbol" w:hAnsi="Symbol"/>
        <w:rtl w:val="0"/>
      </w:rPr>
    </w:lvl>
    <w:lvl w:ilvl="4">
      <w:start w:val="1"/>
      <w:numFmt w:val="bullet"/>
      <w:lvlText w:val="o"/>
      <w:lvlJc w:val="left"/>
      <w:pPr>
        <w:tabs>
          <w:tab w:val="num" w:pos="3949"/>
        </w:tabs>
        <w:ind w:left="3949" w:hanging="360"/>
      </w:pPr>
      <w:rPr>
        <w:rFonts w:ascii="Courier New" w:hAnsi="Courier New"/>
        <w:rtl w:val="0"/>
      </w:rPr>
    </w:lvl>
    <w:lvl w:ilvl="5">
      <w:start w:val="1"/>
      <w:numFmt w:val="bullet"/>
      <w:lvlText w:val=""/>
      <w:lvlJc w:val="left"/>
      <w:pPr>
        <w:tabs>
          <w:tab w:val="num" w:pos="4669"/>
        </w:tabs>
        <w:ind w:left="4669" w:hanging="360"/>
      </w:pPr>
      <w:rPr>
        <w:rFonts w:ascii="Wingdings" w:hAnsi="Wingdings"/>
        <w:rtl w:val="0"/>
      </w:rPr>
    </w:lvl>
    <w:lvl w:ilvl="6">
      <w:start w:val="1"/>
      <w:numFmt w:val="bullet"/>
      <w:lvlText w:val=""/>
      <w:lvlJc w:val="left"/>
      <w:pPr>
        <w:tabs>
          <w:tab w:val="num" w:pos="5389"/>
        </w:tabs>
        <w:ind w:left="5389" w:hanging="360"/>
      </w:pPr>
      <w:rPr>
        <w:rFonts w:ascii="Symbol" w:hAnsi="Symbol"/>
        <w:rtl w:val="0"/>
      </w:rPr>
    </w:lvl>
    <w:lvl w:ilvl="7">
      <w:start w:val="1"/>
      <w:numFmt w:val="bullet"/>
      <w:lvlText w:val="o"/>
      <w:lvlJc w:val="left"/>
      <w:pPr>
        <w:tabs>
          <w:tab w:val="num" w:pos="6109"/>
        </w:tabs>
        <w:ind w:left="6109" w:hanging="360"/>
      </w:pPr>
      <w:rPr>
        <w:rFonts w:ascii="Courier New" w:hAnsi="Courier New"/>
        <w:rtl w:val="0"/>
      </w:rPr>
    </w:lvl>
    <w:lvl w:ilvl="8">
      <w:start w:val="1"/>
      <w:numFmt w:val="bullet"/>
      <w:lvlText w:val=""/>
      <w:lvlJc w:val="left"/>
      <w:pPr>
        <w:tabs>
          <w:tab w:val="num" w:pos="6829"/>
        </w:tabs>
        <w:ind w:left="6829" w:hanging="360"/>
      </w:pPr>
      <w:rPr>
        <w:rFonts w:ascii="Wingdings" w:hAnsi="Wingdings"/>
        <w:rtl w:val="0"/>
      </w:rPr>
    </w:lvl>
  </w:abstractNum>
  <w:abstractNum w:abstractNumId="77">
    <w:nsid w:val="3E132298"/>
    <w:multiLevelType w:val="hybridMultilevel"/>
    <w:tmpl w:val="9E6E6EC2"/>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78">
    <w:nsid w:val="3EC2587A"/>
    <w:multiLevelType w:val="hybridMultilevel"/>
    <w:tmpl w:val="19E84480"/>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3"/>
        </w:tabs>
        <w:ind w:left="2163" w:hanging="363"/>
      </w:pPr>
      <w:rPr>
        <w:rFonts w:ascii="Symbol" w:hAnsi="Symbol"/>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9">
    <w:nsid w:val="3F39347B"/>
    <w:multiLevelType w:val="multilevel"/>
    <w:tmpl w:val="418E3784"/>
    <w:lvl w:ilvl="0">
      <w:start w:val="5"/>
      <w:numFmt w:val="decimal"/>
      <w:lvlText w:val="%1."/>
      <w:lvlJc w:val="left"/>
      <w:pPr>
        <w:tabs>
          <w:tab w:val="num" w:pos="705"/>
        </w:tabs>
        <w:ind w:left="705" w:hanging="705"/>
      </w:pPr>
      <w:rPr>
        <w:rFonts w:cs="Times New Roman"/>
        <w:rtl w:val="0"/>
      </w:rPr>
    </w:lvl>
    <w:lvl w:ilvl="1">
      <w:start w:val="1"/>
      <w:numFmt w:val="decimal"/>
      <w:lvlText w:val="%1.%2."/>
      <w:lvlJc w:val="left"/>
      <w:pPr>
        <w:tabs>
          <w:tab w:val="num" w:pos="705"/>
        </w:tabs>
        <w:ind w:left="705" w:hanging="705"/>
      </w:pPr>
      <w:rPr>
        <w:rFonts w:cs="Times New Roman"/>
        <w:rtl w:val="0"/>
      </w:rPr>
    </w:lvl>
    <w:lvl w:ilvl="2">
      <w:start w:val="2"/>
      <w:numFmt w:val="decimal"/>
      <w:lvlText w:val="%1.%2.%3."/>
      <w:lvlJc w:val="left"/>
      <w:pPr>
        <w:tabs>
          <w:tab w:val="num" w:pos="720"/>
        </w:tabs>
        <w:ind w:left="720" w:hanging="720"/>
      </w:pPr>
      <w:rPr>
        <w:rFonts w:cs="Times New Roman"/>
        <w:rtl w:val="0"/>
      </w:rPr>
    </w:lvl>
    <w:lvl w:ilvl="3">
      <w:start w:val="1"/>
      <w:numFmt w:val="decimal"/>
      <w:lvlText w:val="%1.%2.%3.%4."/>
      <w:lvlJc w:val="left"/>
      <w:pPr>
        <w:tabs>
          <w:tab w:val="num" w:pos="720"/>
        </w:tabs>
        <w:ind w:left="720" w:hanging="720"/>
      </w:pPr>
      <w:rPr>
        <w:rFonts w:cs="Times New Roman"/>
        <w:rtl w:val="0"/>
      </w:rPr>
    </w:lvl>
    <w:lvl w:ilvl="4">
      <w:start w:val="1"/>
      <w:numFmt w:val="decimal"/>
      <w:lvlText w:val="%1.%2.%3.%4.%5."/>
      <w:lvlJc w:val="left"/>
      <w:pPr>
        <w:tabs>
          <w:tab w:val="num" w:pos="1080"/>
        </w:tabs>
        <w:ind w:left="1080" w:hanging="1080"/>
      </w:pPr>
      <w:rPr>
        <w:rFonts w:cs="Times New Roman"/>
        <w:rtl w:val="0"/>
      </w:rPr>
    </w:lvl>
    <w:lvl w:ilvl="5">
      <w:start w:val="1"/>
      <w:numFmt w:val="decimal"/>
      <w:lvlText w:val="%1.%2.%3.%4.%5.%6."/>
      <w:lvlJc w:val="left"/>
      <w:pPr>
        <w:tabs>
          <w:tab w:val="num" w:pos="1080"/>
        </w:tabs>
        <w:ind w:left="1080" w:hanging="1080"/>
      </w:pPr>
      <w:rPr>
        <w:rFonts w:cs="Times New Roman"/>
        <w:rtl w:val="0"/>
      </w:rPr>
    </w:lvl>
    <w:lvl w:ilvl="6">
      <w:start w:val="1"/>
      <w:numFmt w:val="decimal"/>
      <w:lvlText w:val="%1.%2.%3.%4.%5.%6.%7."/>
      <w:lvlJc w:val="left"/>
      <w:pPr>
        <w:tabs>
          <w:tab w:val="num" w:pos="1080"/>
        </w:tabs>
        <w:ind w:left="1080" w:hanging="1080"/>
      </w:pPr>
      <w:rPr>
        <w:rFonts w:cs="Times New Roman"/>
        <w:rtl w:val="0"/>
      </w:rPr>
    </w:lvl>
    <w:lvl w:ilvl="7">
      <w:start w:val="1"/>
      <w:numFmt w:val="decimal"/>
      <w:lvlText w:val="%1.%2.%3.%4.%5.%6.%7.%8."/>
      <w:lvlJc w:val="left"/>
      <w:pPr>
        <w:tabs>
          <w:tab w:val="num" w:pos="1440"/>
        </w:tabs>
        <w:ind w:left="1440" w:hanging="1440"/>
      </w:pPr>
      <w:rPr>
        <w:rFonts w:cs="Times New Roman"/>
        <w:rtl w:val="0"/>
      </w:rPr>
    </w:lvl>
    <w:lvl w:ilvl="8">
      <w:start w:val="1"/>
      <w:numFmt w:val="decimal"/>
      <w:lvlText w:val="%1.%2.%3.%4.%5.%6.%7.%8.%9."/>
      <w:lvlJc w:val="left"/>
      <w:pPr>
        <w:tabs>
          <w:tab w:val="num" w:pos="1440"/>
        </w:tabs>
        <w:ind w:left="1440" w:hanging="1440"/>
      </w:pPr>
      <w:rPr>
        <w:rFonts w:cs="Times New Roman"/>
        <w:rtl w:val="0"/>
      </w:rPr>
    </w:lvl>
  </w:abstractNum>
  <w:abstractNum w:abstractNumId="80">
    <w:nsid w:val="3F5F70B9"/>
    <w:multiLevelType w:val="hybridMultilevel"/>
    <w:tmpl w:val="0FF8F02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3FBC4A9E"/>
    <w:multiLevelType w:val="hybridMultilevel"/>
    <w:tmpl w:val="C28850BE"/>
    <w:lvl w:ilvl="0">
      <w:start w:val="2"/>
      <w:numFmt w:val="bullet"/>
      <w:lvlText w:val=""/>
      <w:lvlJc w:val="left"/>
      <w:pPr>
        <w:tabs>
          <w:tab w:val="num" w:pos="1366"/>
        </w:tabs>
        <w:ind w:left="1366" w:hanging="289"/>
      </w:pPr>
      <w:rPr>
        <w:rFonts w:ascii="Symbol" w:hAnsi="Symbol"/>
        <w:rtl w:val="0"/>
      </w:rPr>
    </w:lvl>
    <w:lvl w:ilvl="1">
      <w:start w:val="1"/>
      <w:numFmt w:val="bullet"/>
      <w:lvlText w:val=""/>
      <w:lvlJc w:val="left"/>
      <w:pPr>
        <w:tabs>
          <w:tab w:val="num" w:pos="1443"/>
        </w:tabs>
        <w:ind w:left="1443" w:hanging="363"/>
      </w:pPr>
      <w:rPr>
        <w:rFonts w:ascii="Symbol" w:hAnsi="Symbol"/>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2">
    <w:nsid w:val="405A070E"/>
    <w:multiLevelType w:val="hybridMultilevel"/>
    <w:tmpl w:val="48E27F5E"/>
    <w:lvl w:ilvl="0">
      <w:start w:val="6"/>
      <w:numFmt w:val="bullet"/>
      <w:lvlText w:val="-"/>
      <w:lvlJc w:val="left"/>
      <w:pPr>
        <w:ind w:left="720" w:hanging="360"/>
      </w:pPr>
      <w:rPr>
        <w:rFonts w:ascii="Arial Narrow" w:hAnsi="Arial Narrow" w:cs="Times New Roman"/>
        <w:rtl w:val="0"/>
      </w:rPr>
    </w:lvl>
    <w:lvl w:ilvl="1">
      <w:start w:val="1"/>
      <w:numFmt w:val="bullet"/>
      <w:lvlText w:val="o"/>
      <w:lvlJc w:val="left"/>
      <w:pPr>
        <w:ind w:left="1440" w:hanging="360"/>
      </w:pPr>
      <w:rPr>
        <w:rFonts w:ascii="Courier New" w:hAnsi="Courier New" w:cs="Courier New"/>
        <w:rtl w:val="0"/>
      </w:rPr>
    </w:lvl>
    <w:lvl w:ilvl="2">
      <w:start w:val="1"/>
      <w:numFmt w:val="bullet"/>
      <w:lvlText w:val=""/>
      <w:lvlJc w:val="left"/>
      <w:pPr>
        <w:ind w:left="2160" w:hanging="360"/>
      </w:pPr>
      <w:rPr>
        <w:rFonts w:ascii="Wingdings" w:hAnsi="Wingdings"/>
        <w:rtl w:val="0"/>
      </w:rPr>
    </w:lvl>
    <w:lvl w:ilvl="3">
      <w:start w:val="1"/>
      <w:numFmt w:val="bullet"/>
      <w:lvlText w:val=""/>
      <w:lvlJc w:val="left"/>
      <w:pPr>
        <w:ind w:left="2880" w:hanging="360"/>
      </w:pPr>
      <w:rPr>
        <w:rFonts w:ascii="Symbol" w:hAnsi="Symbol"/>
        <w:rtl w:val="0"/>
      </w:rPr>
    </w:lvl>
    <w:lvl w:ilvl="4">
      <w:start w:val="1"/>
      <w:numFmt w:val="bullet"/>
      <w:lvlText w:val="o"/>
      <w:lvlJc w:val="left"/>
      <w:pPr>
        <w:ind w:left="3600" w:hanging="360"/>
      </w:pPr>
      <w:rPr>
        <w:rFonts w:ascii="Courier New" w:hAnsi="Courier New" w:cs="Courier New"/>
        <w:rtl w:val="0"/>
      </w:rPr>
    </w:lvl>
    <w:lvl w:ilvl="5">
      <w:start w:val="1"/>
      <w:numFmt w:val="bullet"/>
      <w:lvlText w:val=""/>
      <w:lvlJc w:val="left"/>
      <w:pPr>
        <w:ind w:left="4320" w:hanging="360"/>
      </w:pPr>
      <w:rPr>
        <w:rFonts w:ascii="Wingdings" w:hAnsi="Wingdings"/>
        <w:rtl w:val="0"/>
      </w:rPr>
    </w:lvl>
    <w:lvl w:ilvl="6">
      <w:start w:val="1"/>
      <w:numFmt w:val="bullet"/>
      <w:lvlText w:val=""/>
      <w:lvlJc w:val="left"/>
      <w:pPr>
        <w:ind w:left="5040" w:hanging="360"/>
      </w:pPr>
      <w:rPr>
        <w:rFonts w:ascii="Symbol" w:hAnsi="Symbol"/>
        <w:rtl w:val="0"/>
      </w:rPr>
    </w:lvl>
    <w:lvl w:ilvl="7">
      <w:start w:val="1"/>
      <w:numFmt w:val="bullet"/>
      <w:lvlText w:val="o"/>
      <w:lvlJc w:val="left"/>
      <w:pPr>
        <w:ind w:left="5760" w:hanging="360"/>
      </w:pPr>
      <w:rPr>
        <w:rFonts w:ascii="Courier New" w:hAnsi="Courier New" w:cs="Courier New"/>
        <w:rtl w:val="0"/>
      </w:rPr>
    </w:lvl>
    <w:lvl w:ilvl="8">
      <w:start w:val="1"/>
      <w:numFmt w:val="bullet"/>
      <w:lvlText w:val=""/>
      <w:lvlJc w:val="left"/>
      <w:pPr>
        <w:ind w:left="6480" w:hanging="360"/>
      </w:pPr>
      <w:rPr>
        <w:rFonts w:ascii="Wingdings" w:hAnsi="Wingdings"/>
        <w:rtl w:val="0"/>
      </w:rPr>
    </w:lvl>
  </w:abstractNum>
  <w:abstractNum w:abstractNumId="83">
    <w:nsid w:val="40623AD3"/>
    <w:multiLevelType w:val="multilevel"/>
    <w:tmpl w:val="C7767782"/>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4">
    <w:nsid w:val="40C50762"/>
    <w:multiLevelType w:val="hybridMultilevel"/>
    <w:tmpl w:val="C1DCB0E4"/>
    <w:lvl w:ilvl="0">
      <w:start w:val="1"/>
      <w:numFmt w:val="bullet"/>
      <w:lvlText w:val="–"/>
      <w:lvlJc w:val="left"/>
      <w:pPr>
        <w:tabs>
          <w:tab w:val="num" w:pos="420"/>
        </w:tabs>
        <w:ind w:left="4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5">
    <w:nsid w:val="41157D37"/>
    <w:multiLevelType w:val="multilevel"/>
    <w:tmpl w:val="6B5E70AC"/>
    <w:lvl w:ilvl="0">
      <w:start w:val="2"/>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6">
    <w:nsid w:val="41192394"/>
    <w:multiLevelType w:val="hybridMultilevel"/>
    <w:tmpl w:val="1DACC3E6"/>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7">
    <w:nsid w:val="41633050"/>
    <w:multiLevelType w:val="multilevel"/>
    <w:tmpl w:val="80A0E1D4"/>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588" w:hanging="1588"/>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4168712F"/>
    <w:multiLevelType w:val="hybridMultilevel"/>
    <w:tmpl w:val="C7F6CA6A"/>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9">
    <w:nsid w:val="419A7747"/>
    <w:multiLevelType w:val="multilevel"/>
    <w:tmpl w:val="5980D9C6"/>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90">
    <w:nsid w:val="41BB61EB"/>
    <w:multiLevelType w:val="hybridMultilevel"/>
    <w:tmpl w:val="6FF45B82"/>
    <w:lvl w:ilvl="0">
      <w:start w:val="1"/>
      <w:numFmt w:val="bullet"/>
      <w:lvlText w:val="–"/>
      <w:lvlJc w:val="left"/>
      <w:pPr>
        <w:tabs>
          <w:tab w:val="num" w:pos="720"/>
        </w:tabs>
        <w:ind w:left="720" w:hanging="360"/>
      </w:pPr>
      <w:rPr>
        <w:rFonts w:ascii="Times New Roman" w:hAnsi="Times New Roman"/>
        <w:rtl w:val="0"/>
      </w:rPr>
    </w:lvl>
    <w:lvl w:ilvl="1">
      <w:start w:val="178"/>
      <w:numFmt w:val="bullet"/>
      <w:lvlText w:val="–"/>
      <w:lvlJc w:val="left"/>
      <w:pPr>
        <w:tabs>
          <w:tab w:val="num" w:pos="1440"/>
        </w:tabs>
        <w:ind w:left="1440" w:hanging="360"/>
      </w:pPr>
      <w:rPr>
        <w:rFonts w:ascii="Times New Roman" w:hAnsi="Times New Roman"/>
        <w:rtl w:val="0"/>
      </w:rPr>
    </w:lvl>
    <w:lvl w:ilvl="2">
      <w:start w:val="1"/>
      <w:numFmt w:val="bullet"/>
      <w:lvlText w:val="–"/>
      <w:lvlJc w:val="left"/>
      <w:pPr>
        <w:tabs>
          <w:tab w:val="num" w:pos="2160"/>
        </w:tabs>
        <w:ind w:left="2160" w:hanging="360"/>
      </w:pPr>
      <w:rPr>
        <w:rFonts w:ascii="Times New Roman" w:hAnsi="Times New Roman"/>
        <w:rtl w:val="0"/>
      </w:rPr>
    </w:lvl>
    <w:lvl w:ilvl="3">
      <w:start w:val="1"/>
      <w:numFmt w:val="bullet"/>
      <w:lvlText w:val="–"/>
      <w:lvlJc w:val="left"/>
      <w:pPr>
        <w:tabs>
          <w:tab w:val="num" w:pos="2880"/>
        </w:tabs>
        <w:ind w:left="2880" w:hanging="360"/>
      </w:pPr>
      <w:rPr>
        <w:rFonts w:ascii="Times New Roman" w:hAnsi="Times New Roman"/>
        <w:rtl w:val="0"/>
      </w:rPr>
    </w:lvl>
    <w:lvl w:ilvl="4">
      <w:start w:val="1"/>
      <w:numFmt w:val="bullet"/>
      <w:lvlText w:val="–"/>
      <w:lvlJc w:val="left"/>
      <w:pPr>
        <w:tabs>
          <w:tab w:val="num" w:pos="3600"/>
        </w:tabs>
        <w:ind w:left="3600" w:hanging="360"/>
      </w:pPr>
      <w:rPr>
        <w:rFonts w:ascii="Times New Roman" w:hAnsi="Times New Roman"/>
        <w:rtl w:val="0"/>
      </w:rPr>
    </w:lvl>
    <w:lvl w:ilvl="5">
      <w:start w:val="1"/>
      <w:numFmt w:val="bullet"/>
      <w:lvlText w:val="–"/>
      <w:lvlJc w:val="left"/>
      <w:pPr>
        <w:tabs>
          <w:tab w:val="num" w:pos="4320"/>
        </w:tabs>
        <w:ind w:left="4320" w:hanging="360"/>
      </w:pPr>
      <w:rPr>
        <w:rFonts w:ascii="Times New Roman" w:hAnsi="Times New Roman"/>
        <w:rtl w:val="0"/>
      </w:rPr>
    </w:lvl>
    <w:lvl w:ilvl="6">
      <w:start w:val="1"/>
      <w:numFmt w:val="bullet"/>
      <w:lvlText w:val="–"/>
      <w:lvlJc w:val="left"/>
      <w:pPr>
        <w:tabs>
          <w:tab w:val="num" w:pos="5040"/>
        </w:tabs>
        <w:ind w:left="5040" w:hanging="360"/>
      </w:pPr>
      <w:rPr>
        <w:rFonts w:ascii="Times New Roman" w:hAnsi="Times New Roman"/>
        <w:rtl w:val="0"/>
      </w:rPr>
    </w:lvl>
    <w:lvl w:ilvl="7">
      <w:start w:val="1"/>
      <w:numFmt w:val="bullet"/>
      <w:lvlText w:val="–"/>
      <w:lvlJc w:val="left"/>
      <w:pPr>
        <w:tabs>
          <w:tab w:val="num" w:pos="5760"/>
        </w:tabs>
        <w:ind w:left="5760" w:hanging="360"/>
      </w:pPr>
      <w:rPr>
        <w:rFonts w:ascii="Times New Roman" w:hAnsi="Times New Roman"/>
        <w:rtl w:val="0"/>
      </w:rPr>
    </w:lvl>
    <w:lvl w:ilvl="8">
      <w:start w:val="1"/>
      <w:numFmt w:val="bullet"/>
      <w:lvlText w:val="–"/>
      <w:lvlJc w:val="left"/>
      <w:pPr>
        <w:tabs>
          <w:tab w:val="num" w:pos="6480"/>
        </w:tabs>
        <w:ind w:left="6480" w:hanging="360"/>
      </w:pPr>
      <w:rPr>
        <w:rFonts w:ascii="Times New Roman" w:hAnsi="Times New Roman"/>
        <w:rtl w:val="0"/>
      </w:rPr>
    </w:lvl>
  </w:abstractNum>
  <w:abstractNum w:abstractNumId="91">
    <w:nsid w:val="424C2F47"/>
    <w:multiLevelType w:val="hybridMultilevel"/>
    <w:tmpl w:val="ED8803C2"/>
    <w:lvl w:ilvl="0">
      <w:start w:val="2"/>
      <w:numFmt w:val="bullet"/>
      <w:lvlText w:val="–"/>
      <w:lvlJc w:val="left"/>
      <w:pPr>
        <w:tabs>
          <w:tab w:val="num" w:pos="850"/>
        </w:tabs>
        <w:ind w:left="850" w:hanging="283"/>
      </w:pPr>
      <w:rPr>
        <w:rFonts w:ascii="Times New Roman" w:hAnsi="Times New Roman" w:cs="Times New Roman"/>
        <w:rtl w:val="0"/>
      </w:rPr>
    </w:lvl>
    <w:lvl w:ilvl="1">
      <w:start w:val="1"/>
      <w:numFmt w:val="bullet"/>
      <w:lvlText w:val="o"/>
      <w:lvlJc w:val="left"/>
      <w:pPr>
        <w:tabs>
          <w:tab w:val="num" w:pos="1723"/>
        </w:tabs>
        <w:ind w:left="1723" w:hanging="360"/>
      </w:pPr>
      <w:rPr>
        <w:rFonts w:ascii="Courier New" w:hAnsi="Courier New"/>
        <w:rtl w:val="0"/>
      </w:rPr>
    </w:lvl>
    <w:lvl w:ilvl="2">
      <w:start w:val="1"/>
      <w:numFmt w:val="bullet"/>
      <w:lvlText w:val=""/>
      <w:lvlJc w:val="left"/>
      <w:pPr>
        <w:tabs>
          <w:tab w:val="num" w:pos="2443"/>
        </w:tabs>
        <w:ind w:left="2443" w:hanging="360"/>
      </w:pPr>
      <w:rPr>
        <w:rFonts w:ascii="Wingdings" w:hAnsi="Wingdings"/>
        <w:rtl w:val="0"/>
      </w:rPr>
    </w:lvl>
    <w:lvl w:ilvl="3">
      <w:start w:val="1"/>
      <w:numFmt w:val="bullet"/>
      <w:lvlText w:val=""/>
      <w:lvlJc w:val="left"/>
      <w:pPr>
        <w:tabs>
          <w:tab w:val="num" w:pos="3163"/>
        </w:tabs>
        <w:ind w:left="3163" w:hanging="360"/>
      </w:pPr>
      <w:rPr>
        <w:rFonts w:ascii="Symbol" w:hAnsi="Symbol"/>
        <w:rtl w:val="0"/>
      </w:rPr>
    </w:lvl>
    <w:lvl w:ilvl="4">
      <w:start w:val="1"/>
      <w:numFmt w:val="bullet"/>
      <w:lvlText w:val="o"/>
      <w:lvlJc w:val="left"/>
      <w:pPr>
        <w:tabs>
          <w:tab w:val="num" w:pos="3883"/>
        </w:tabs>
        <w:ind w:left="3883" w:hanging="360"/>
      </w:pPr>
      <w:rPr>
        <w:rFonts w:ascii="Courier New" w:hAnsi="Courier New"/>
        <w:rtl w:val="0"/>
      </w:rPr>
    </w:lvl>
    <w:lvl w:ilvl="5">
      <w:start w:val="1"/>
      <w:numFmt w:val="bullet"/>
      <w:lvlText w:val=""/>
      <w:lvlJc w:val="left"/>
      <w:pPr>
        <w:tabs>
          <w:tab w:val="num" w:pos="4603"/>
        </w:tabs>
        <w:ind w:left="4603" w:hanging="360"/>
      </w:pPr>
      <w:rPr>
        <w:rFonts w:ascii="Wingdings" w:hAnsi="Wingdings"/>
        <w:rtl w:val="0"/>
      </w:rPr>
    </w:lvl>
    <w:lvl w:ilvl="6">
      <w:start w:val="1"/>
      <w:numFmt w:val="bullet"/>
      <w:lvlText w:val=""/>
      <w:lvlJc w:val="left"/>
      <w:pPr>
        <w:tabs>
          <w:tab w:val="num" w:pos="5323"/>
        </w:tabs>
        <w:ind w:left="5323" w:hanging="360"/>
      </w:pPr>
      <w:rPr>
        <w:rFonts w:ascii="Symbol" w:hAnsi="Symbol"/>
        <w:rtl w:val="0"/>
      </w:rPr>
    </w:lvl>
    <w:lvl w:ilvl="7">
      <w:start w:val="1"/>
      <w:numFmt w:val="bullet"/>
      <w:lvlText w:val="o"/>
      <w:lvlJc w:val="left"/>
      <w:pPr>
        <w:tabs>
          <w:tab w:val="num" w:pos="6043"/>
        </w:tabs>
        <w:ind w:left="6043" w:hanging="360"/>
      </w:pPr>
      <w:rPr>
        <w:rFonts w:ascii="Courier New" w:hAnsi="Courier New"/>
        <w:rtl w:val="0"/>
      </w:rPr>
    </w:lvl>
    <w:lvl w:ilvl="8">
      <w:start w:val="1"/>
      <w:numFmt w:val="bullet"/>
      <w:lvlText w:val=""/>
      <w:lvlJc w:val="left"/>
      <w:pPr>
        <w:tabs>
          <w:tab w:val="num" w:pos="6763"/>
        </w:tabs>
        <w:ind w:left="6763" w:hanging="360"/>
      </w:pPr>
      <w:rPr>
        <w:rFonts w:ascii="Wingdings" w:hAnsi="Wingdings"/>
        <w:rtl w:val="0"/>
      </w:rPr>
    </w:lvl>
  </w:abstractNum>
  <w:abstractNum w:abstractNumId="92">
    <w:nsid w:val="43346178"/>
    <w:multiLevelType w:val="hybridMultilevel"/>
    <w:tmpl w:val="290AB0BC"/>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3">
    <w:nsid w:val="4415155A"/>
    <w:multiLevelType w:val="hybridMultilevel"/>
    <w:tmpl w:val="09D824FE"/>
    <w:lvl w:ilvl="0">
      <w:start w:val="0"/>
      <w:numFmt w:val="bullet"/>
      <w:lvlText w:val="-"/>
      <w:lvlJc w:val="left"/>
      <w:pPr>
        <w:tabs>
          <w:tab w:val="num" w:pos="900"/>
        </w:tabs>
        <w:ind w:left="900" w:hanging="360"/>
      </w:pPr>
    </w:lvl>
    <w:lvl w:ilvl="1">
      <w:start w:val="1"/>
      <w:numFmt w:val="bullet"/>
      <w:lvlText w:val=""/>
      <w:lvlJc w:val="left"/>
      <w:pPr>
        <w:tabs>
          <w:tab w:val="num" w:pos="1980"/>
        </w:tabs>
        <w:ind w:left="1980" w:hanging="360"/>
      </w:pPr>
      <w:rPr>
        <w:rFonts w:ascii="Wingdings" w:hAnsi="Wingdings"/>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446773DD"/>
    <w:multiLevelType w:val="hybridMultilevel"/>
    <w:tmpl w:val="D5BABE14"/>
    <w:lvl w:ilvl="0">
      <w:start w:val="609"/>
      <w:numFmt w:val="bullet"/>
      <w:lvlText w:val=""/>
      <w:lvlJc w:val="left"/>
      <w:pPr>
        <w:tabs>
          <w:tab w:val="num" w:pos="720"/>
        </w:tabs>
        <w:ind w:left="720" w:hanging="360"/>
      </w:pPr>
      <w:rPr>
        <w:rFonts w:ascii="Symbol" w:hAnsi="Symbol" w:cs="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5">
    <w:nsid w:val="44B06625"/>
    <w:multiLevelType w:val="hybridMultilevel"/>
    <w:tmpl w:val="EE722ABC"/>
    <w:lvl w:ilvl="0">
      <w:start w:val="1"/>
      <w:numFmt w:val="upperLetter"/>
      <w:lvlText w:val="%1."/>
      <w:lvlJc w:val="left"/>
      <w:pPr>
        <w:tabs>
          <w:tab w:val="num" w:pos="1920"/>
        </w:tabs>
        <w:ind w:left="1920" w:hanging="360"/>
      </w:p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96">
    <w:nsid w:val="452312D9"/>
    <w:multiLevelType w:val="hybridMultilevel"/>
    <w:tmpl w:val="8B0CCDB4"/>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7">
    <w:nsid w:val="45D0124A"/>
    <w:multiLevelType w:val="multilevel"/>
    <w:tmpl w:val="98881892"/>
    <w:lvl w:ilvl="0">
      <w:start w:val="2"/>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8">
    <w:nsid w:val="46F84BC5"/>
    <w:multiLevelType w:val="hybridMultilevel"/>
    <w:tmpl w:val="12E2D27E"/>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9">
    <w:nsid w:val="477754F1"/>
    <w:multiLevelType w:val="hybridMultilevel"/>
    <w:tmpl w:val="BAD62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483C7092"/>
    <w:multiLevelType w:val="hybridMultilevel"/>
    <w:tmpl w:val="59BCDC54"/>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1">
    <w:nsid w:val="485B108E"/>
    <w:multiLevelType w:val="hybridMultilevel"/>
    <w:tmpl w:val="7C740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86F15E0"/>
    <w:multiLevelType w:val="multilevel"/>
    <w:tmpl w:val="743826AA"/>
    <w:lvl w:ilvl="0">
      <w:start w:val="1"/>
      <w:numFmt w:val="bullet"/>
      <w:lvlText w:val=""/>
      <w:lvlJc w:val="left"/>
      <w:pPr>
        <w:tabs>
          <w:tab w:val="num" w:pos="1174"/>
        </w:tabs>
        <w:ind w:left="1174" w:hanging="360"/>
      </w:pPr>
      <w:rPr>
        <w:rFonts w:ascii="Symbol" w:hAnsi="Symbol"/>
        <w:rtl w:val="0"/>
      </w:rPr>
    </w:lvl>
    <w:lvl w:ilvl="1">
      <w:start w:val="1"/>
      <w:numFmt w:val="decimal"/>
      <w:lvlText w:val="%2."/>
      <w:lvlJc w:val="left"/>
      <w:pPr>
        <w:tabs>
          <w:tab w:val="num" w:pos="1894"/>
        </w:tabs>
        <w:ind w:left="1894" w:hanging="360"/>
      </w:pPr>
    </w:lvl>
    <w:lvl w:ilvl="2">
      <w:start w:val="1"/>
      <w:numFmt w:val="bullet"/>
      <w:lvlText w:val=""/>
      <w:lvlJc w:val="left"/>
      <w:pPr>
        <w:tabs>
          <w:tab w:val="num" w:pos="2614"/>
        </w:tabs>
        <w:ind w:left="2614" w:hanging="360"/>
      </w:pPr>
      <w:rPr>
        <w:rFonts w:ascii="Wingdings" w:hAnsi="Wingdings"/>
        <w:rtl w:val="0"/>
      </w:rPr>
    </w:lvl>
    <w:lvl w:ilvl="3">
      <w:start w:val="1"/>
      <w:numFmt w:val="bullet"/>
      <w:lvlText w:val=""/>
      <w:lvlJc w:val="left"/>
      <w:pPr>
        <w:tabs>
          <w:tab w:val="num" w:pos="3334"/>
        </w:tabs>
        <w:ind w:left="3334" w:hanging="360"/>
      </w:pPr>
      <w:rPr>
        <w:rFonts w:ascii="Symbol" w:hAnsi="Symbol"/>
        <w:rtl w:val="0"/>
      </w:rPr>
    </w:lvl>
    <w:lvl w:ilvl="4">
      <w:start w:val="1"/>
      <w:numFmt w:val="bullet"/>
      <w:lvlText w:val="o"/>
      <w:lvlJc w:val="left"/>
      <w:pPr>
        <w:tabs>
          <w:tab w:val="num" w:pos="4054"/>
        </w:tabs>
        <w:ind w:left="4054" w:hanging="360"/>
      </w:pPr>
      <w:rPr>
        <w:rFonts w:ascii="Courier New" w:hAnsi="Courier New" w:cs="Courier New"/>
        <w:rtl w:val="0"/>
      </w:rPr>
    </w:lvl>
    <w:lvl w:ilvl="5">
      <w:start w:val="1"/>
      <w:numFmt w:val="bullet"/>
      <w:lvlText w:val=""/>
      <w:lvlJc w:val="left"/>
      <w:pPr>
        <w:tabs>
          <w:tab w:val="num" w:pos="4774"/>
        </w:tabs>
        <w:ind w:left="4774" w:hanging="360"/>
      </w:pPr>
      <w:rPr>
        <w:rFonts w:ascii="Wingdings" w:hAnsi="Wingdings"/>
        <w:rtl w:val="0"/>
      </w:rPr>
    </w:lvl>
    <w:lvl w:ilvl="6">
      <w:start w:val="1"/>
      <w:numFmt w:val="bullet"/>
      <w:lvlText w:val=""/>
      <w:lvlJc w:val="left"/>
      <w:pPr>
        <w:tabs>
          <w:tab w:val="num" w:pos="5494"/>
        </w:tabs>
        <w:ind w:left="5494" w:hanging="360"/>
      </w:pPr>
      <w:rPr>
        <w:rFonts w:ascii="Symbol" w:hAnsi="Symbol"/>
        <w:rtl w:val="0"/>
      </w:rPr>
    </w:lvl>
    <w:lvl w:ilvl="7">
      <w:start w:val="1"/>
      <w:numFmt w:val="bullet"/>
      <w:lvlText w:val="o"/>
      <w:lvlJc w:val="left"/>
      <w:pPr>
        <w:tabs>
          <w:tab w:val="num" w:pos="6214"/>
        </w:tabs>
        <w:ind w:left="6214" w:hanging="360"/>
      </w:pPr>
      <w:rPr>
        <w:rFonts w:ascii="Courier New" w:hAnsi="Courier New" w:cs="Courier New"/>
        <w:rtl w:val="0"/>
      </w:rPr>
    </w:lvl>
    <w:lvl w:ilvl="8">
      <w:start w:val="1"/>
      <w:numFmt w:val="bullet"/>
      <w:lvlText w:val=""/>
      <w:lvlJc w:val="left"/>
      <w:pPr>
        <w:tabs>
          <w:tab w:val="num" w:pos="6934"/>
        </w:tabs>
        <w:ind w:left="6934" w:hanging="360"/>
      </w:pPr>
      <w:rPr>
        <w:rFonts w:ascii="Wingdings" w:hAnsi="Wingdings"/>
        <w:rtl w:val="0"/>
      </w:rPr>
    </w:lvl>
  </w:abstractNum>
  <w:abstractNum w:abstractNumId="103">
    <w:nsid w:val="4944767B"/>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4">
    <w:nsid w:val="4A001E6C"/>
    <w:multiLevelType w:val="hybridMultilevel"/>
    <w:tmpl w:val="83D8532E"/>
    <w:lvl w:ilvl="0">
      <w:start w:val="1"/>
      <w:numFmt w:val="decimal"/>
      <w:lvlText w:val="%1/"/>
      <w:lvlJc w:val="left"/>
      <w:pPr>
        <w:tabs>
          <w:tab w:val="num" w:pos="113"/>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4AB37985"/>
    <w:multiLevelType w:val="multilevel"/>
    <w:tmpl w:val="4EEE9AA2"/>
    <w:lvl w:ilvl="0">
      <w:start w:val="3"/>
      <w:numFmt w:val="decimal"/>
      <w:lvlText w:val="%1"/>
      <w:lvlJc w:val="left"/>
      <w:pPr>
        <w:tabs>
          <w:tab w:val="num" w:pos="435"/>
        </w:tabs>
        <w:ind w:left="435" w:hanging="435"/>
      </w:pPr>
    </w:lvl>
    <w:lvl w:ilvl="1">
      <w:start w:val="5"/>
      <w:numFmt w:val="decimal"/>
      <w:lvlText w:val="%1.%2"/>
      <w:lvlJc w:val="left"/>
      <w:pPr>
        <w:tabs>
          <w:tab w:val="num" w:pos="787"/>
        </w:tabs>
        <w:ind w:left="787" w:hanging="435"/>
      </w:pPr>
    </w:lvl>
    <w:lvl w:ilvl="2">
      <w:start w:val="2"/>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256"/>
        </w:tabs>
        <w:ind w:left="4256" w:hanging="1440"/>
      </w:pPr>
    </w:lvl>
  </w:abstractNum>
  <w:abstractNum w:abstractNumId="106">
    <w:nsid w:val="4ACF34B4"/>
    <w:multiLevelType w:val="multilevel"/>
    <w:tmpl w:val="4E1CF2D4"/>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nsid w:val="4B0F4578"/>
    <w:multiLevelType w:val="multilevel"/>
    <w:tmpl w:val="B948AF2E"/>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680" w:hanging="680"/>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nsid w:val="4E8A544C"/>
    <w:multiLevelType w:val="hybridMultilevel"/>
    <w:tmpl w:val="402648FA"/>
    <w:lvl w:ilvl="0">
      <w:start w:val="0"/>
      <w:numFmt w:val="bullet"/>
      <w:lvlText w:val="–"/>
      <w:lvlJc w:val="left"/>
      <w:pPr>
        <w:tabs>
          <w:tab w:val="num" w:pos="567"/>
        </w:tabs>
        <w:ind w:left="567" w:hanging="283"/>
      </w:pPr>
      <w:rPr>
        <w:rFonts w:ascii="Times New Roman" w:hAnsi="Times New Roman" w:cs="Times New Roman"/>
        <w:b w:val="0"/>
        <w:rtl w:val="0"/>
      </w:rPr>
    </w:lvl>
    <w:lvl w:ilvl="1">
      <w:start w:val="250"/>
      <w:numFmt w:val="bullet"/>
      <w:lvlText w:val="-"/>
      <w:lvlJc w:val="left"/>
      <w:pPr>
        <w:tabs>
          <w:tab w:val="num" w:pos="1935"/>
        </w:tabs>
        <w:ind w:left="1935" w:hanging="855"/>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4EE447EA"/>
    <w:multiLevelType w:val="hybridMultilevel"/>
    <w:tmpl w:val="47E47E40"/>
    <w:lvl w:ilvl="0">
      <w:start w:val="1"/>
      <w:numFmt w:val="bullet"/>
      <w:lvlText w:val=""/>
      <w:lvlJc w:val="left"/>
      <w:pPr>
        <w:tabs>
          <w:tab w:val="num" w:pos="785"/>
        </w:tabs>
        <w:ind w:left="785" w:hanging="360"/>
      </w:pPr>
      <w:rPr>
        <w:rFonts w:ascii="Wingdings" w:hAnsi="Wingdings"/>
        <w:rtl w:val="0"/>
      </w:rPr>
    </w:lvl>
    <w:lvl w:ilvl="1">
      <w:start w:val="1"/>
      <w:numFmt w:val="bullet"/>
      <w:lvlText w:val="o"/>
      <w:lvlJc w:val="left"/>
      <w:pPr>
        <w:tabs>
          <w:tab w:val="num" w:pos="1505"/>
        </w:tabs>
        <w:ind w:left="1505" w:hanging="360"/>
      </w:pPr>
      <w:rPr>
        <w:rFonts w:ascii="Courier New" w:hAnsi="Courier New" w:cs="Courier New"/>
        <w:rtl w:val="0"/>
      </w:rPr>
    </w:lvl>
    <w:lvl w:ilvl="2">
      <w:start w:val="1"/>
      <w:numFmt w:val="bullet"/>
      <w:lvlText w:val=""/>
      <w:lvlJc w:val="left"/>
      <w:pPr>
        <w:tabs>
          <w:tab w:val="num" w:pos="2225"/>
        </w:tabs>
        <w:ind w:left="2225" w:hanging="360"/>
      </w:pPr>
      <w:rPr>
        <w:rFonts w:ascii="Wingdings" w:hAnsi="Wingdings"/>
        <w:rtl w:val="0"/>
      </w:rPr>
    </w:lvl>
    <w:lvl w:ilvl="3">
      <w:start w:val="1"/>
      <w:numFmt w:val="bullet"/>
      <w:lvlText w:val=""/>
      <w:lvlJc w:val="left"/>
      <w:pPr>
        <w:tabs>
          <w:tab w:val="num" w:pos="2945"/>
        </w:tabs>
        <w:ind w:left="2945" w:hanging="360"/>
      </w:pPr>
      <w:rPr>
        <w:rFonts w:ascii="Symbol" w:hAnsi="Symbol"/>
        <w:rtl w:val="0"/>
      </w:rPr>
    </w:lvl>
    <w:lvl w:ilvl="4">
      <w:start w:val="1"/>
      <w:numFmt w:val="bullet"/>
      <w:lvlText w:val="o"/>
      <w:lvlJc w:val="left"/>
      <w:pPr>
        <w:tabs>
          <w:tab w:val="num" w:pos="3665"/>
        </w:tabs>
        <w:ind w:left="3665" w:hanging="360"/>
      </w:pPr>
      <w:rPr>
        <w:rFonts w:ascii="Courier New" w:hAnsi="Courier New" w:cs="Courier New"/>
        <w:rtl w:val="0"/>
      </w:rPr>
    </w:lvl>
    <w:lvl w:ilvl="5">
      <w:start w:val="1"/>
      <w:numFmt w:val="bullet"/>
      <w:lvlText w:val=""/>
      <w:lvlJc w:val="left"/>
      <w:pPr>
        <w:tabs>
          <w:tab w:val="num" w:pos="4385"/>
        </w:tabs>
        <w:ind w:left="4385" w:hanging="360"/>
      </w:pPr>
      <w:rPr>
        <w:rFonts w:ascii="Wingdings" w:hAnsi="Wingdings"/>
        <w:rtl w:val="0"/>
      </w:rPr>
    </w:lvl>
    <w:lvl w:ilvl="6">
      <w:start w:val="1"/>
      <w:numFmt w:val="bullet"/>
      <w:lvlText w:val=""/>
      <w:lvlJc w:val="left"/>
      <w:pPr>
        <w:tabs>
          <w:tab w:val="num" w:pos="5105"/>
        </w:tabs>
        <w:ind w:left="5105" w:hanging="360"/>
      </w:pPr>
      <w:rPr>
        <w:rFonts w:ascii="Symbol" w:hAnsi="Symbol"/>
        <w:rtl w:val="0"/>
      </w:rPr>
    </w:lvl>
    <w:lvl w:ilvl="7">
      <w:start w:val="1"/>
      <w:numFmt w:val="bullet"/>
      <w:lvlText w:val="o"/>
      <w:lvlJc w:val="left"/>
      <w:pPr>
        <w:tabs>
          <w:tab w:val="num" w:pos="5825"/>
        </w:tabs>
        <w:ind w:left="5825" w:hanging="360"/>
      </w:pPr>
      <w:rPr>
        <w:rFonts w:ascii="Courier New" w:hAnsi="Courier New" w:cs="Courier New"/>
        <w:rtl w:val="0"/>
      </w:rPr>
    </w:lvl>
    <w:lvl w:ilvl="8">
      <w:start w:val="1"/>
      <w:numFmt w:val="bullet"/>
      <w:lvlText w:val=""/>
      <w:lvlJc w:val="left"/>
      <w:pPr>
        <w:tabs>
          <w:tab w:val="num" w:pos="6545"/>
        </w:tabs>
        <w:ind w:left="6545" w:hanging="360"/>
      </w:pPr>
      <w:rPr>
        <w:rFonts w:ascii="Wingdings" w:hAnsi="Wingdings"/>
        <w:rtl w:val="0"/>
      </w:rPr>
    </w:lvl>
  </w:abstractNum>
  <w:abstractNum w:abstractNumId="110">
    <w:nsid w:val="4F581C1B"/>
    <w:multiLevelType w:val="hybridMultilevel"/>
    <w:tmpl w:val="879AA0A0"/>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11">
    <w:nsid w:val="50115F56"/>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2">
    <w:nsid w:val="50226F4F"/>
    <w:multiLevelType w:val="hybridMultilevel"/>
    <w:tmpl w:val="9E56CB3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3">
    <w:nsid w:val="50F50C96"/>
    <w:multiLevelType w:val="hybridMultilevel"/>
    <w:tmpl w:val="EB7EEA52"/>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111"/>
        </w:tabs>
        <w:ind w:left="1111" w:hanging="360"/>
      </w:pPr>
      <w:rPr>
        <w:rFonts w:ascii="Courier New" w:hAnsi="Courier New" w:cs="Courier New"/>
        <w:rtl w:val="0"/>
      </w:rPr>
    </w:lvl>
    <w:lvl w:ilvl="2">
      <w:start w:val="1"/>
      <w:numFmt w:val="bullet"/>
      <w:lvlText w:val=""/>
      <w:lvlJc w:val="left"/>
      <w:pPr>
        <w:tabs>
          <w:tab w:val="num" w:pos="1831"/>
        </w:tabs>
        <w:ind w:left="1831" w:hanging="360"/>
      </w:pPr>
      <w:rPr>
        <w:rFonts w:ascii="Wingdings" w:hAnsi="Wingdings"/>
        <w:rtl w:val="0"/>
      </w:rPr>
    </w:lvl>
    <w:lvl w:ilvl="3">
      <w:start w:val="1"/>
      <w:numFmt w:val="bullet"/>
      <w:lvlText w:val=""/>
      <w:lvlJc w:val="left"/>
      <w:pPr>
        <w:tabs>
          <w:tab w:val="num" w:pos="2551"/>
        </w:tabs>
        <w:ind w:left="2551" w:hanging="360"/>
      </w:pPr>
      <w:rPr>
        <w:rFonts w:ascii="Symbol" w:hAnsi="Symbol"/>
        <w:rtl w:val="0"/>
      </w:rPr>
    </w:lvl>
    <w:lvl w:ilvl="4">
      <w:start w:val="1"/>
      <w:numFmt w:val="bullet"/>
      <w:lvlText w:val="o"/>
      <w:lvlJc w:val="left"/>
      <w:pPr>
        <w:tabs>
          <w:tab w:val="num" w:pos="3271"/>
        </w:tabs>
        <w:ind w:left="3271" w:hanging="360"/>
      </w:pPr>
      <w:rPr>
        <w:rFonts w:ascii="Courier New" w:hAnsi="Courier New" w:cs="Courier New"/>
        <w:rtl w:val="0"/>
      </w:rPr>
    </w:lvl>
    <w:lvl w:ilvl="5">
      <w:start w:val="1"/>
      <w:numFmt w:val="bullet"/>
      <w:lvlText w:val=""/>
      <w:lvlJc w:val="left"/>
      <w:pPr>
        <w:tabs>
          <w:tab w:val="num" w:pos="3991"/>
        </w:tabs>
        <w:ind w:left="3991" w:hanging="360"/>
      </w:pPr>
      <w:rPr>
        <w:rFonts w:ascii="Wingdings" w:hAnsi="Wingdings"/>
        <w:rtl w:val="0"/>
      </w:rPr>
    </w:lvl>
    <w:lvl w:ilvl="6">
      <w:start w:val="1"/>
      <w:numFmt w:val="bullet"/>
      <w:lvlText w:val=""/>
      <w:lvlJc w:val="left"/>
      <w:pPr>
        <w:tabs>
          <w:tab w:val="num" w:pos="4711"/>
        </w:tabs>
        <w:ind w:left="4711" w:hanging="360"/>
      </w:pPr>
      <w:rPr>
        <w:rFonts w:ascii="Symbol" w:hAnsi="Symbol"/>
        <w:rtl w:val="0"/>
      </w:rPr>
    </w:lvl>
    <w:lvl w:ilvl="7">
      <w:start w:val="1"/>
      <w:numFmt w:val="bullet"/>
      <w:lvlText w:val="o"/>
      <w:lvlJc w:val="left"/>
      <w:pPr>
        <w:tabs>
          <w:tab w:val="num" w:pos="5431"/>
        </w:tabs>
        <w:ind w:left="5431" w:hanging="360"/>
      </w:pPr>
      <w:rPr>
        <w:rFonts w:ascii="Courier New" w:hAnsi="Courier New" w:cs="Courier New"/>
        <w:rtl w:val="0"/>
      </w:rPr>
    </w:lvl>
    <w:lvl w:ilvl="8">
      <w:start w:val="1"/>
      <w:numFmt w:val="bullet"/>
      <w:lvlText w:val=""/>
      <w:lvlJc w:val="left"/>
      <w:pPr>
        <w:tabs>
          <w:tab w:val="num" w:pos="6151"/>
        </w:tabs>
        <w:ind w:left="6151" w:hanging="360"/>
      </w:pPr>
      <w:rPr>
        <w:rFonts w:ascii="Wingdings" w:hAnsi="Wingdings"/>
        <w:rtl w:val="0"/>
      </w:rPr>
    </w:lvl>
  </w:abstractNum>
  <w:abstractNum w:abstractNumId="114">
    <w:nsid w:val="52E901BA"/>
    <w:multiLevelType w:val="multilevel"/>
    <w:tmpl w:val="CED442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tl3"/>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52F82F5D"/>
    <w:multiLevelType w:val="hybridMultilevel"/>
    <w:tmpl w:val="894CB3A6"/>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16">
    <w:nsid w:val="539F3337"/>
    <w:multiLevelType w:val="hybridMultilevel"/>
    <w:tmpl w:val="C0589722"/>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111"/>
        </w:tabs>
        <w:ind w:left="1111" w:hanging="360"/>
      </w:pPr>
      <w:rPr>
        <w:rFonts w:ascii="Courier New" w:hAnsi="Courier New" w:cs="Courier New"/>
        <w:rtl w:val="0"/>
      </w:rPr>
    </w:lvl>
    <w:lvl w:ilvl="2">
      <w:start w:val="1"/>
      <w:numFmt w:val="bullet"/>
      <w:lvlText w:val=""/>
      <w:lvlJc w:val="left"/>
      <w:pPr>
        <w:tabs>
          <w:tab w:val="num" w:pos="1831"/>
        </w:tabs>
        <w:ind w:left="1831" w:hanging="360"/>
      </w:pPr>
      <w:rPr>
        <w:rFonts w:ascii="Wingdings" w:hAnsi="Wingdings"/>
        <w:rtl w:val="0"/>
      </w:rPr>
    </w:lvl>
    <w:lvl w:ilvl="3">
      <w:start w:val="1"/>
      <w:numFmt w:val="bullet"/>
      <w:lvlText w:val=""/>
      <w:lvlJc w:val="left"/>
      <w:pPr>
        <w:tabs>
          <w:tab w:val="num" w:pos="2551"/>
        </w:tabs>
        <w:ind w:left="2551" w:hanging="360"/>
      </w:pPr>
      <w:rPr>
        <w:rFonts w:ascii="Symbol" w:hAnsi="Symbol"/>
        <w:rtl w:val="0"/>
      </w:rPr>
    </w:lvl>
    <w:lvl w:ilvl="4">
      <w:start w:val="1"/>
      <w:numFmt w:val="bullet"/>
      <w:lvlText w:val="o"/>
      <w:lvlJc w:val="left"/>
      <w:pPr>
        <w:tabs>
          <w:tab w:val="num" w:pos="3271"/>
        </w:tabs>
        <w:ind w:left="3271" w:hanging="360"/>
      </w:pPr>
      <w:rPr>
        <w:rFonts w:ascii="Courier New" w:hAnsi="Courier New" w:cs="Courier New"/>
        <w:rtl w:val="0"/>
      </w:rPr>
    </w:lvl>
    <w:lvl w:ilvl="5">
      <w:start w:val="1"/>
      <w:numFmt w:val="bullet"/>
      <w:lvlText w:val=""/>
      <w:lvlJc w:val="left"/>
      <w:pPr>
        <w:tabs>
          <w:tab w:val="num" w:pos="3991"/>
        </w:tabs>
        <w:ind w:left="3991" w:hanging="360"/>
      </w:pPr>
      <w:rPr>
        <w:rFonts w:ascii="Wingdings" w:hAnsi="Wingdings"/>
        <w:rtl w:val="0"/>
      </w:rPr>
    </w:lvl>
    <w:lvl w:ilvl="6">
      <w:start w:val="1"/>
      <w:numFmt w:val="bullet"/>
      <w:lvlText w:val=""/>
      <w:lvlJc w:val="left"/>
      <w:pPr>
        <w:tabs>
          <w:tab w:val="num" w:pos="4711"/>
        </w:tabs>
        <w:ind w:left="4711" w:hanging="360"/>
      </w:pPr>
      <w:rPr>
        <w:rFonts w:ascii="Symbol" w:hAnsi="Symbol"/>
        <w:rtl w:val="0"/>
      </w:rPr>
    </w:lvl>
    <w:lvl w:ilvl="7">
      <w:start w:val="1"/>
      <w:numFmt w:val="bullet"/>
      <w:lvlText w:val="o"/>
      <w:lvlJc w:val="left"/>
      <w:pPr>
        <w:tabs>
          <w:tab w:val="num" w:pos="5431"/>
        </w:tabs>
        <w:ind w:left="5431" w:hanging="360"/>
      </w:pPr>
      <w:rPr>
        <w:rFonts w:ascii="Courier New" w:hAnsi="Courier New" w:cs="Courier New"/>
        <w:rtl w:val="0"/>
      </w:rPr>
    </w:lvl>
    <w:lvl w:ilvl="8">
      <w:start w:val="1"/>
      <w:numFmt w:val="bullet"/>
      <w:lvlText w:val=""/>
      <w:lvlJc w:val="left"/>
      <w:pPr>
        <w:tabs>
          <w:tab w:val="num" w:pos="6151"/>
        </w:tabs>
        <w:ind w:left="6151" w:hanging="360"/>
      </w:pPr>
      <w:rPr>
        <w:rFonts w:ascii="Wingdings" w:hAnsi="Wingdings"/>
        <w:rtl w:val="0"/>
      </w:rPr>
    </w:lvl>
  </w:abstractNum>
  <w:abstractNum w:abstractNumId="117">
    <w:nsid w:val="542B42AA"/>
    <w:multiLevelType w:val="multilevel"/>
    <w:tmpl w:val="80A0E1D4"/>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588" w:hanging="1588"/>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nsid w:val="54383970"/>
    <w:multiLevelType w:val="hybridMultilevel"/>
    <w:tmpl w:val="D6F29E16"/>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1364"/>
        </w:tabs>
        <w:ind w:left="1364" w:hanging="284"/>
      </w:pPr>
      <w:rPr>
        <w:rFonts w:ascii="Symbol" w:hAnsi="Symbol"/>
        <w:rtl w:val="0"/>
      </w:rPr>
    </w:lvl>
    <w:lvl w:ilvl="2">
      <w:start w:val="1"/>
      <w:numFmt w:val="bullet"/>
      <w:lvlText w:val="–"/>
      <w:lvlJc w:val="left"/>
      <w:pPr>
        <w:tabs>
          <w:tab w:val="num" w:pos="567"/>
        </w:tabs>
        <w:ind w:left="567" w:hanging="283"/>
      </w:pPr>
      <w:rPr>
        <w:rFonts w:ascii="Times New Roman" w:hAnsi="Times New Roman" w:cs="Times New Roman"/>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9">
    <w:nsid w:val="565C6266"/>
    <w:multiLevelType w:val="hybridMultilevel"/>
    <w:tmpl w:val="429CB66C"/>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0">
    <w:nsid w:val="56610C25"/>
    <w:multiLevelType w:val="hybridMultilevel"/>
    <w:tmpl w:val="25BE56AC"/>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1">
    <w:nsid w:val="56A41579"/>
    <w:multiLevelType w:val="hybridMultilevel"/>
    <w:tmpl w:val="D8A6EB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56C0485A"/>
    <w:multiLevelType w:val="hybridMultilevel"/>
    <w:tmpl w:val="1EA4CBFC"/>
    <w:lvl w:ilvl="0">
      <w:start w:val="1"/>
      <w:numFmt w:val="bullet"/>
      <w:lvlText w:val="-"/>
      <w:lvlJc w:val="left"/>
      <w:pPr>
        <w:tabs>
          <w:tab w:val="num" w:pos="945"/>
        </w:tabs>
        <w:ind w:left="945" w:hanging="360"/>
      </w:pPr>
      <w:rPr>
        <w:rFonts w:ascii="Arial Narrow" w:hAnsi="Arial Narrow" w:cs="Times New Roman"/>
        <w:rtl w:val="0"/>
      </w:rPr>
    </w:lvl>
    <w:lvl w:ilvl="1">
      <w:start w:val="1"/>
      <w:numFmt w:val="bullet"/>
      <w:lvlText w:val="o"/>
      <w:lvlJc w:val="left"/>
      <w:pPr>
        <w:tabs>
          <w:tab w:val="num" w:pos="1665"/>
        </w:tabs>
        <w:ind w:left="1665" w:hanging="360"/>
      </w:pPr>
      <w:rPr>
        <w:rFonts w:ascii="Courier New" w:hAnsi="Courier New" w:cs="Courier New"/>
        <w:rtl w:val="0"/>
      </w:rPr>
    </w:lvl>
    <w:lvl w:ilvl="2">
      <w:start w:val="1"/>
      <w:numFmt w:val="bullet"/>
      <w:lvlText w:val=""/>
      <w:lvlJc w:val="left"/>
      <w:pPr>
        <w:tabs>
          <w:tab w:val="num" w:pos="2385"/>
        </w:tabs>
        <w:ind w:left="2385" w:hanging="360"/>
      </w:pPr>
      <w:rPr>
        <w:rFonts w:ascii="Wingdings" w:hAnsi="Wingdings"/>
        <w:rtl w:val="0"/>
      </w:rPr>
    </w:lvl>
    <w:lvl w:ilvl="3">
      <w:start w:val="1"/>
      <w:numFmt w:val="bullet"/>
      <w:lvlText w:val=""/>
      <w:lvlJc w:val="left"/>
      <w:pPr>
        <w:tabs>
          <w:tab w:val="num" w:pos="3105"/>
        </w:tabs>
        <w:ind w:left="3105" w:hanging="360"/>
      </w:pPr>
      <w:rPr>
        <w:rFonts w:ascii="Symbol" w:hAnsi="Symbol"/>
        <w:rtl w:val="0"/>
      </w:rPr>
    </w:lvl>
    <w:lvl w:ilvl="4">
      <w:start w:val="1"/>
      <w:numFmt w:val="bullet"/>
      <w:lvlText w:val="o"/>
      <w:lvlJc w:val="left"/>
      <w:pPr>
        <w:tabs>
          <w:tab w:val="num" w:pos="3825"/>
        </w:tabs>
        <w:ind w:left="3825" w:hanging="360"/>
      </w:pPr>
      <w:rPr>
        <w:rFonts w:ascii="Courier New" w:hAnsi="Courier New" w:cs="Courier New"/>
        <w:rtl w:val="0"/>
      </w:rPr>
    </w:lvl>
    <w:lvl w:ilvl="5">
      <w:start w:val="1"/>
      <w:numFmt w:val="bullet"/>
      <w:lvlText w:val=""/>
      <w:lvlJc w:val="left"/>
      <w:pPr>
        <w:tabs>
          <w:tab w:val="num" w:pos="4545"/>
        </w:tabs>
        <w:ind w:left="4545" w:hanging="360"/>
      </w:pPr>
      <w:rPr>
        <w:rFonts w:ascii="Wingdings" w:hAnsi="Wingdings"/>
        <w:rtl w:val="0"/>
      </w:rPr>
    </w:lvl>
    <w:lvl w:ilvl="6">
      <w:start w:val="1"/>
      <w:numFmt w:val="bullet"/>
      <w:lvlText w:val=""/>
      <w:lvlJc w:val="left"/>
      <w:pPr>
        <w:tabs>
          <w:tab w:val="num" w:pos="5265"/>
        </w:tabs>
        <w:ind w:left="5265" w:hanging="360"/>
      </w:pPr>
      <w:rPr>
        <w:rFonts w:ascii="Symbol" w:hAnsi="Symbol"/>
        <w:rtl w:val="0"/>
      </w:rPr>
    </w:lvl>
    <w:lvl w:ilvl="7">
      <w:start w:val="1"/>
      <w:numFmt w:val="bullet"/>
      <w:lvlText w:val="o"/>
      <w:lvlJc w:val="left"/>
      <w:pPr>
        <w:tabs>
          <w:tab w:val="num" w:pos="5985"/>
        </w:tabs>
        <w:ind w:left="5985" w:hanging="360"/>
      </w:pPr>
      <w:rPr>
        <w:rFonts w:ascii="Courier New" w:hAnsi="Courier New" w:cs="Courier New"/>
        <w:rtl w:val="0"/>
      </w:rPr>
    </w:lvl>
    <w:lvl w:ilvl="8">
      <w:start w:val="1"/>
      <w:numFmt w:val="bullet"/>
      <w:lvlText w:val=""/>
      <w:lvlJc w:val="left"/>
      <w:pPr>
        <w:tabs>
          <w:tab w:val="num" w:pos="6705"/>
        </w:tabs>
        <w:ind w:left="6705" w:hanging="360"/>
      </w:pPr>
      <w:rPr>
        <w:rFonts w:ascii="Wingdings" w:hAnsi="Wingdings"/>
        <w:rtl w:val="0"/>
      </w:rPr>
    </w:lvl>
  </w:abstractNum>
  <w:abstractNum w:abstractNumId="123">
    <w:nsid w:val="56F42244"/>
    <w:multiLevelType w:val="hybridMultilevel"/>
    <w:tmpl w:val="B360115C"/>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4">
    <w:nsid w:val="579075F5"/>
    <w:multiLevelType w:val="hybridMultilevel"/>
    <w:tmpl w:val="CB342EBE"/>
    <w:lvl w:ilvl="0">
      <w:start w:val="1"/>
      <w:numFmt w:val="bullet"/>
      <w:lvlText w:val="-"/>
      <w:lvlJc w:val="left"/>
      <w:pPr>
        <w:tabs>
          <w:tab w:val="num" w:pos="900"/>
        </w:tabs>
        <w:ind w:left="900" w:hanging="360"/>
      </w:pPr>
      <w:rPr>
        <w:rFonts w:ascii="Arial Narrow" w:hAnsi="Arial Narrow"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25">
    <w:nsid w:val="59A14642"/>
    <w:multiLevelType w:val="multilevel"/>
    <w:tmpl w:val="3572A318"/>
    <w:lvl w:ilvl="0">
      <w:start w:val="5"/>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6">
    <w:nsid w:val="59BD702E"/>
    <w:multiLevelType w:val="hybridMultilevel"/>
    <w:tmpl w:val="E222F58A"/>
    <w:lvl w:ilvl="0">
      <w:start w:val="1"/>
      <w:numFmt w:val="bullet"/>
      <w:lvlText w:val=""/>
      <w:lvlJc w:val="left"/>
      <w:pPr>
        <w:tabs>
          <w:tab w:val="num" w:pos="900"/>
        </w:tabs>
        <w:ind w:left="900" w:hanging="360"/>
      </w:pPr>
      <w:rPr>
        <w:rFonts w:ascii="Symbol" w:hAnsi="Symbol"/>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27">
    <w:nsid w:val="5AB33F80"/>
    <w:multiLevelType w:val="hybridMultilevel"/>
    <w:tmpl w:val="CE46031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5C4641F2"/>
    <w:multiLevelType w:val="hybridMultilevel"/>
    <w:tmpl w:val="654A66CE"/>
    <w:lvl w:ilvl="0">
      <w:start w:val="1"/>
      <w:numFmt w:val="bullet"/>
      <w:lvlText w:val=""/>
      <w:lvlJc w:val="left"/>
      <w:pPr>
        <w:tabs>
          <w:tab w:val="num" w:pos="284"/>
        </w:tabs>
        <w:ind w:left="284" w:hanging="284"/>
      </w:pPr>
      <w:rPr>
        <w:rFonts w:ascii="Wingdings" w:hAnsi="Wingdings" w:cs="Times New Roman"/>
        <w:sz w:val="18"/>
        <w:szCs w:val="18"/>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9">
    <w:nsid w:val="5D16682B"/>
    <w:multiLevelType w:val="hybridMultilevel"/>
    <w:tmpl w:val="2D72B99A"/>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5D4455B1"/>
    <w:multiLevelType w:val="hybridMultilevel"/>
    <w:tmpl w:val="65004706"/>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1">
    <w:nsid w:val="5E897CBE"/>
    <w:multiLevelType w:val="multilevel"/>
    <w:tmpl w:val="0860BF34"/>
    <w:lvl w:ilvl="0">
      <w:start w:val="1"/>
      <w:numFmt w:val="bullet"/>
      <w:lvlText w:val="▪"/>
      <w:lvlJc w:val="left"/>
      <w:pPr>
        <w:tabs>
          <w:tab w:val="num" w:pos="283"/>
        </w:tabs>
        <w:ind w:left="283" w:hanging="283"/>
      </w:pPr>
      <w:rPr>
        <w:rFonts w:ascii="Times New Roman" w:hAnsi="Times New Roman" w:cs="Times New Roman"/>
        <w:rtl w:val="0"/>
      </w:rPr>
    </w:lvl>
    <w:lvl w:ilvl="1">
      <w:start w:val="1"/>
      <w:numFmt w:val="bullet"/>
      <w:lvlText w:val="o"/>
      <w:lvlJc w:val="left"/>
      <w:pPr>
        <w:tabs>
          <w:tab w:val="num" w:pos="1111"/>
        </w:tabs>
        <w:ind w:left="1111" w:hanging="360"/>
      </w:pPr>
      <w:rPr>
        <w:rFonts w:ascii="Courier New" w:hAnsi="Courier New" w:cs="Courier New"/>
        <w:rtl w:val="0"/>
      </w:rPr>
    </w:lvl>
    <w:lvl w:ilvl="2">
      <w:start w:val="1"/>
      <w:numFmt w:val="bullet"/>
      <w:lvlText w:val=""/>
      <w:lvlJc w:val="left"/>
      <w:pPr>
        <w:tabs>
          <w:tab w:val="num" w:pos="1831"/>
        </w:tabs>
        <w:ind w:left="1831" w:hanging="360"/>
      </w:pPr>
      <w:rPr>
        <w:rFonts w:ascii="Wingdings" w:hAnsi="Wingdings"/>
        <w:rtl w:val="0"/>
      </w:rPr>
    </w:lvl>
    <w:lvl w:ilvl="3">
      <w:start w:val="1"/>
      <w:numFmt w:val="bullet"/>
      <w:lvlText w:val=""/>
      <w:lvlJc w:val="left"/>
      <w:pPr>
        <w:tabs>
          <w:tab w:val="num" w:pos="2551"/>
        </w:tabs>
        <w:ind w:left="2551" w:hanging="360"/>
      </w:pPr>
      <w:rPr>
        <w:rFonts w:ascii="Symbol" w:hAnsi="Symbol"/>
        <w:rtl w:val="0"/>
      </w:rPr>
    </w:lvl>
    <w:lvl w:ilvl="4">
      <w:start w:val="1"/>
      <w:numFmt w:val="bullet"/>
      <w:lvlText w:val="o"/>
      <w:lvlJc w:val="left"/>
      <w:pPr>
        <w:tabs>
          <w:tab w:val="num" w:pos="3271"/>
        </w:tabs>
        <w:ind w:left="3271" w:hanging="360"/>
      </w:pPr>
      <w:rPr>
        <w:rFonts w:ascii="Courier New" w:hAnsi="Courier New" w:cs="Courier New"/>
        <w:rtl w:val="0"/>
      </w:rPr>
    </w:lvl>
    <w:lvl w:ilvl="5">
      <w:start w:val="1"/>
      <w:numFmt w:val="bullet"/>
      <w:lvlText w:val=""/>
      <w:lvlJc w:val="left"/>
      <w:pPr>
        <w:tabs>
          <w:tab w:val="num" w:pos="3991"/>
        </w:tabs>
        <w:ind w:left="3991" w:hanging="360"/>
      </w:pPr>
      <w:rPr>
        <w:rFonts w:ascii="Wingdings" w:hAnsi="Wingdings"/>
        <w:rtl w:val="0"/>
      </w:rPr>
    </w:lvl>
    <w:lvl w:ilvl="6">
      <w:start w:val="1"/>
      <w:numFmt w:val="bullet"/>
      <w:lvlText w:val=""/>
      <w:lvlJc w:val="left"/>
      <w:pPr>
        <w:tabs>
          <w:tab w:val="num" w:pos="4711"/>
        </w:tabs>
        <w:ind w:left="4711" w:hanging="360"/>
      </w:pPr>
      <w:rPr>
        <w:rFonts w:ascii="Symbol" w:hAnsi="Symbol"/>
        <w:rtl w:val="0"/>
      </w:rPr>
    </w:lvl>
    <w:lvl w:ilvl="7">
      <w:start w:val="1"/>
      <w:numFmt w:val="bullet"/>
      <w:lvlText w:val="o"/>
      <w:lvlJc w:val="left"/>
      <w:pPr>
        <w:tabs>
          <w:tab w:val="num" w:pos="5431"/>
        </w:tabs>
        <w:ind w:left="5431" w:hanging="360"/>
      </w:pPr>
      <w:rPr>
        <w:rFonts w:ascii="Courier New" w:hAnsi="Courier New" w:cs="Courier New"/>
        <w:rtl w:val="0"/>
      </w:rPr>
    </w:lvl>
    <w:lvl w:ilvl="8">
      <w:start w:val="1"/>
      <w:numFmt w:val="bullet"/>
      <w:lvlText w:val=""/>
      <w:lvlJc w:val="left"/>
      <w:pPr>
        <w:tabs>
          <w:tab w:val="num" w:pos="6151"/>
        </w:tabs>
        <w:ind w:left="6151" w:hanging="360"/>
      </w:pPr>
      <w:rPr>
        <w:rFonts w:ascii="Wingdings" w:hAnsi="Wingdings"/>
        <w:rtl w:val="0"/>
      </w:rPr>
    </w:lvl>
  </w:abstractNum>
  <w:abstractNum w:abstractNumId="132">
    <w:nsid w:val="61513B37"/>
    <w:multiLevelType w:val="multilevel"/>
    <w:tmpl w:val="288E42E4"/>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1418" w:hanging="1418"/>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nsid w:val="6222111D"/>
    <w:multiLevelType w:val="hybridMultilevel"/>
    <w:tmpl w:val="82A8D5A8"/>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4">
    <w:nsid w:val="63DE05C1"/>
    <w:multiLevelType w:val="hybridMultilevel"/>
    <w:tmpl w:val="35E87704"/>
    <w:lvl w:ilvl="0">
      <w:start w:val="1"/>
      <w:numFmt w:val="bullet"/>
      <w:lvlText w:val="–"/>
      <w:lvlJc w:val="left"/>
      <w:pPr>
        <w:tabs>
          <w:tab w:val="num" w:pos="720"/>
        </w:tabs>
        <w:ind w:left="720" w:hanging="363"/>
      </w:pPr>
      <w:rPr>
        <w:rFonts w:ascii="Times New Roman" w:hAnsi="Times New Roman" w:cs="Times New Roman"/>
        <w:rtl w:val="0"/>
      </w:rPr>
    </w:lvl>
    <w:lvl w:ilvl="1">
      <w:start w:val="1"/>
      <w:numFmt w:val="bullet"/>
      <w:lvlText w:val="o"/>
      <w:lvlJc w:val="left"/>
      <w:pPr>
        <w:tabs>
          <w:tab w:val="num" w:pos="1364"/>
        </w:tabs>
        <w:ind w:left="1364" w:hanging="360"/>
      </w:pPr>
      <w:rPr>
        <w:rFonts w:ascii="Courier New" w:hAnsi="Courier New"/>
        <w:rtl w:val="0"/>
      </w:rPr>
    </w:lvl>
    <w:lvl w:ilvl="2">
      <w:start w:val="1"/>
      <w:numFmt w:val="bullet"/>
      <w:lvlText w:val=""/>
      <w:lvlJc w:val="left"/>
      <w:pPr>
        <w:tabs>
          <w:tab w:val="num" w:pos="2084"/>
        </w:tabs>
        <w:ind w:left="2084" w:hanging="360"/>
      </w:pPr>
      <w:rPr>
        <w:rFonts w:ascii="Wingdings" w:hAnsi="Wingdings"/>
        <w:rtl w:val="0"/>
      </w:rPr>
    </w:lvl>
    <w:lvl w:ilvl="3">
      <w:start w:val="1"/>
      <w:numFmt w:val="bullet"/>
      <w:lvlText w:val=""/>
      <w:lvlJc w:val="left"/>
      <w:pPr>
        <w:tabs>
          <w:tab w:val="num" w:pos="2804"/>
        </w:tabs>
        <w:ind w:left="2804" w:hanging="360"/>
      </w:pPr>
      <w:rPr>
        <w:rFonts w:ascii="Symbol" w:hAnsi="Symbol"/>
        <w:rtl w:val="0"/>
      </w:rPr>
    </w:lvl>
    <w:lvl w:ilvl="4">
      <w:start w:val="1"/>
      <w:numFmt w:val="bullet"/>
      <w:lvlText w:val="o"/>
      <w:lvlJc w:val="left"/>
      <w:pPr>
        <w:tabs>
          <w:tab w:val="num" w:pos="3524"/>
        </w:tabs>
        <w:ind w:left="3524" w:hanging="360"/>
      </w:pPr>
      <w:rPr>
        <w:rFonts w:ascii="Courier New" w:hAnsi="Courier New"/>
        <w:rtl w:val="0"/>
      </w:rPr>
    </w:lvl>
    <w:lvl w:ilvl="5">
      <w:start w:val="1"/>
      <w:numFmt w:val="bullet"/>
      <w:lvlText w:val=""/>
      <w:lvlJc w:val="left"/>
      <w:pPr>
        <w:tabs>
          <w:tab w:val="num" w:pos="4244"/>
        </w:tabs>
        <w:ind w:left="4244" w:hanging="360"/>
      </w:pPr>
      <w:rPr>
        <w:rFonts w:ascii="Wingdings" w:hAnsi="Wingdings"/>
        <w:rtl w:val="0"/>
      </w:rPr>
    </w:lvl>
    <w:lvl w:ilvl="6">
      <w:start w:val="1"/>
      <w:numFmt w:val="bullet"/>
      <w:lvlText w:val=""/>
      <w:lvlJc w:val="left"/>
      <w:pPr>
        <w:tabs>
          <w:tab w:val="num" w:pos="4964"/>
        </w:tabs>
        <w:ind w:left="4964" w:hanging="360"/>
      </w:pPr>
      <w:rPr>
        <w:rFonts w:ascii="Symbol" w:hAnsi="Symbol"/>
        <w:rtl w:val="0"/>
      </w:rPr>
    </w:lvl>
    <w:lvl w:ilvl="7">
      <w:start w:val="1"/>
      <w:numFmt w:val="bullet"/>
      <w:lvlText w:val="o"/>
      <w:lvlJc w:val="left"/>
      <w:pPr>
        <w:tabs>
          <w:tab w:val="num" w:pos="5684"/>
        </w:tabs>
        <w:ind w:left="5684" w:hanging="360"/>
      </w:pPr>
      <w:rPr>
        <w:rFonts w:ascii="Courier New" w:hAnsi="Courier New"/>
        <w:rtl w:val="0"/>
      </w:rPr>
    </w:lvl>
    <w:lvl w:ilvl="8">
      <w:start w:val="1"/>
      <w:numFmt w:val="bullet"/>
      <w:lvlText w:val=""/>
      <w:lvlJc w:val="left"/>
      <w:pPr>
        <w:tabs>
          <w:tab w:val="num" w:pos="6404"/>
        </w:tabs>
        <w:ind w:left="6404" w:hanging="360"/>
      </w:pPr>
      <w:rPr>
        <w:rFonts w:ascii="Wingdings" w:hAnsi="Wingdings"/>
        <w:rtl w:val="0"/>
      </w:rPr>
    </w:lvl>
  </w:abstractNum>
  <w:abstractNum w:abstractNumId="135">
    <w:nsid w:val="65124273"/>
    <w:multiLevelType w:val="hybridMultilevel"/>
    <w:tmpl w:val="EA2C1C1A"/>
    <w:lvl w:ilvl="0">
      <w:start w:val="8"/>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6">
    <w:nsid w:val="65942E95"/>
    <w:multiLevelType w:val="hybridMultilevel"/>
    <w:tmpl w:val="ADECD512"/>
    <w:lvl w:ilvl="0">
      <w:start w:val="2"/>
      <w:numFmt w:val="bullet"/>
      <w:lvlText w:val=""/>
      <w:lvlJc w:val="left"/>
      <w:pPr>
        <w:tabs>
          <w:tab w:val="num" w:pos="1437"/>
        </w:tabs>
        <w:ind w:left="1418" w:hanging="341"/>
      </w:pPr>
      <w:rPr>
        <w:rFonts w:ascii="Symbol" w:hAnsi="Symbol"/>
        <w:rtl w:val="0"/>
      </w:rPr>
    </w:lvl>
    <w:lvl w:ilvl="1">
      <w:start w:val="1"/>
      <w:numFmt w:val="bullet"/>
      <w:lvlText w:val="o"/>
      <w:lvlJc w:val="left"/>
      <w:pPr>
        <w:tabs>
          <w:tab w:val="num" w:pos="1791"/>
        </w:tabs>
        <w:ind w:left="1791" w:hanging="360"/>
      </w:pPr>
      <w:rPr>
        <w:rFonts w:ascii="Courier New" w:hAnsi="Courier New"/>
        <w:rtl w:val="0"/>
      </w:rPr>
    </w:lvl>
    <w:lvl w:ilvl="2">
      <w:start w:val="1"/>
      <w:numFmt w:val="bullet"/>
      <w:lvlText w:val=""/>
      <w:lvlJc w:val="left"/>
      <w:pPr>
        <w:tabs>
          <w:tab w:val="num" w:pos="2511"/>
        </w:tabs>
        <w:ind w:left="2511" w:hanging="360"/>
      </w:pPr>
      <w:rPr>
        <w:rFonts w:ascii="Wingdings" w:hAnsi="Wingdings"/>
        <w:rtl w:val="0"/>
      </w:rPr>
    </w:lvl>
    <w:lvl w:ilvl="3">
      <w:start w:val="1"/>
      <w:numFmt w:val="bullet"/>
      <w:lvlText w:val=""/>
      <w:lvlJc w:val="left"/>
      <w:pPr>
        <w:tabs>
          <w:tab w:val="num" w:pos="3231"/>
        </w:tabs>
        <w:ind w:left="3231" w:hanging="360"/>
      </w:pPr>
      <w:rPr>
        <w:rFonts w:ascii="Symbol" w:hAnsi="Symbol"/>
        <w:rtl w:val="0"/>
      </w:rPr>
    </w:lvl>
    <w:lvl w:ilvl="4">
      <w:start w:val="1"/>
      <w:numFmt w:val="bullet"/>
      <w:lvlText w:val="o"/>
      <w:lvlJc w:val="left"/>
      <w:pPr>
        <w:tabs>
          <w:tab w:val="num" w:pos="3951"/>
        </w:tabs>
        <w:ind w:left="3951" w:hanging="360"/>
      </w:pPr>
      <w:rPr>
        <w:rFonts w:ascii="Courier New" w:hAnsi="Courier New"/>
        <w:rtl w:val="0"/>
      </w:rPr>
    </w:lvl>
    <w:lvl w:ilvl="5">
      <w:start w:val="1"/>
      <w:numFmt w:val="bullet"/>
      <w:lvlText w:val=""/>
      <w:lvlJc w:val="left"/>
      <w:pPr>
        <w:tabs>
          <w:tab w:val="num" w:pos="4671"/>
        </w:tabs>
        <w:ind w:left="4671" w:hanging="360"/>
      </w:pPr>
      <w:rPr>
        <w:rFonts w:ascii="Wingdings" w:hAnsi="Wingdings"/>
        <w:rtl w:val="0"/>
      </w:rPr>
    </w:lvl>
    <w:lvl w:ilvl="6">
      <w:start w:val="1"/>
      <w:numFmt w:val="bullet"/>
      <w:lvlText w:val=""/>
      <w:lvlJc w:val="left"/>
      <w:pPr>
        <w:tabs>
          <w:tab w:val="num" w:pos="5391"/>
        </w:tabs>
        <w:ind w:left="5391" w:hanging="360"/>
      </w:pPr>
      <w:rPr>
        <w:rFonts w:ascii="Symbol" w:hAnsi="Symbol"/>
        <w:rtl w:val="0"/>
      </w:rPr>
    </w:lvl>
    <w:lvl w:ilvl="7">
      <w:start w:val="1"/>
      <w:numFmt w:val="bullet"/>
      <w:lvlText w:val="o"/>
      <w:lvlJc w:val="left"/>
      <w:pPr>
        <w:tabs>
          <w:tab w:val="num" w:pos="6111"/>
        </w:tabs>
        <w:ind w:left="6111" w:hanging="360"/>
      </w:pPr>
      <w:rPr>
        <w:rFonts w:ascii="Courier New" w:hAnsi="Courier New"/>
        <w:rtl w:val="0"/>
      </w:rPr>
    </w:lvl>
    <w:lvl w:ilvl="8">
      <w:start w:val="1"/>
      <w:numFmt w:val="bullet"/>
      <w:lvlText w:val=""/>
      <w:lvlJc w:val="left"/>
      <w:pPr>
        <w:tabs>
          <w:tab w:val="num" w:pos="6831"/>
        </w:tabs>
        <w:ind w:left="6831" w:hanging="360"/>
      </w:pPr>
      <w:rPr>
        <w:rFonts w:ascii="Wingdings" w:hAnsi="Wingdings"/>
        <w:rtl w:val="0"/>
      </w:rPr>
    </w:lvl>
  </w:abstractNum>
  <w:abstractNum w:abstractNumId="137">
    <w:nsid w:val="65EA1243"/>
    <w:multiLevelType w:val="hybridMultilevel"/>
    <w:tmpl w:val="A83474C4"/>
    <w:lvl w:ilvl="0">
      <w:start w:val="1"/>
      <w:numFmt w:val="bullet"/>
      <w:lvlText w:val="–"/>
      <w:lvlJc w:val="left"/>
      <w:pPr>
        <w:tabs>
          <w:tab w:val="num" w:pos="643"/>
        </w:tabs>
        <w:ind w:left="643" w:hanging="283"/>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66A05D6C"/>
    <w:multiLevelType w:val="hybridMultilevel"/>
    <w:tmpl w:val="AACE3770"/>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9">
    <w:nsid w:val="66F04101"/>
    <w:multiLevelType w:val="hybridMultilevel"/>
    <w:tmpl w:val="24762984"/>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0">
    <w:nsid w:val="67FF6A13"/>
    <w:multiLevelType w:val="hybridMultilevel"/>
    <w:tmpl w:val="B58A21FE"/>
    <w:lvl w:ilvl="0">
      <w:start w:val="0"/>
      <w:numFmt w:val="bullet"/>
      <w:lvlText w:val="-"/>
      <w:lvlJc w:val="left"/>
      <w:pPr>
        <w:tabs>
          <w:tab w:val="num" w:pos="900"/>
        </w:tabs>
        <w:ind w:left="90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41">
    <w:nsid w:val="68F07F3F"/>
    <w:multiLevelType w:val="hybridMultilevel"/>
    <w:tmpl w:val="B6B4B9A6"/>
    <w:lvl w:ilvl="0">
      <w:start w:val="1"/>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2">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3">
    <w:nsid w:val="69FF1B22"/>
    <w:multiLevelType w:val="hybridMultilevel"/>
    <w:tmpl w:val="301CE9B6"/>
    <w:lvl w:ilvl="0">
      <w:start w:val="1"/>
      <w:numFmt w:val="bullet"/>
      <w:lvlText w:val=""/>
      <w:lvlJc w:val="left"/>
      <w:pPr>
        <w:tabs>
          <w:tab w:val="num" w:pos="1429"/>
        </w:tabs>
        <w:ind w:left="1429" w:hanging="360"/>
      </w:pPr>
      <w:rPr>
        <w:rFonts w:ascii="Symbol" w:hAnsi="Symbol"/>
        <w:rtl w:val="0"/>
      </w:rPr>
    </w:lvl>
    <w:lvl w:ilvl="1">
      <w:start w:val="1"/>
      <w:numFmt w:val="bullet"/>
      <w:lvlText w:val="o"/>
      <w:lvlJc w:val="left"/>
      <w:pPr>
        <w:tabs>
          <w:tab w:val="num" w:pos="2149"/>
        </w:tabs>
        <w:ind w:left="2149" w:hanging="360"/>
      </w:pPr>
      <w:rPr>
        <w:rFonts w:ascii="Courier New" w:hAnsi="Courier New"/>
        <w:rtl w:val="0"/>
      </w:rPr>
    </w:lvl>
    <w:lvl w:ilvl="2">
      <w:start w:val="1"/>
      <w:numFmt w:val="bullet"/>
      <w:lvlText w:val=""/>
      <w:lvlJc w:val="left"/>
      <w:pPr>
        <w:tabs>
          <w:tab w:val="num" w:pos="2869"/>
        </w:tabs>
        <w:ind w:left="2869" w:hanging="360"/>
      </w:pPr>
      <w:rPr>
        <w:rFonts w:ascii="Wingdings" w:hAnsi="Wingdings"/>
        <w:rtl w:val="0"/>
      </w:rPr>
    </w:lvl>
    <w:lvl w:ilvl="3">
      <w:start w:val="1"/>
      <w:numFmt w:val="bullet"/>
      <w:lvlText w:val=""/>
      <w:lvlJc w:val="left"/>
      <w:pPr>
        <w:tabs>
          <w:tab w:val="num" w:pos="3589"/>
        </w:tabs>
        <w:ind w:left="3589" w:hanging="360"/>
      </w:pPr>
      <w:rPr>
        <w:rFonts w:ascii="Symbol" w:hAnsi="Symbol"/>
        <w:rtl w:val="0"/>
      </w:rPr>
    </w:lvl>
    <w:lvl w:ilvl="4">
      <w:start w:val="1"/>
      <w:numFmt w:val="bullet"/>
      <w:lvlText w:val="o"/>
      <w:lvlJc w:val="left"/>
      <w:pPr>
        <w:tabs>
          <w:tab w:val="num" w:pos="4309"/>
        </w:tabs>
        <w:ind w:left="4309" w:hanging="360"/>
      </w:pPr>
      <w:rPr>
        <w:rFonts w:ascii="Courier New" w:hAnsi="Courier New"/>
        <w:rtl w:val="0"/>
      </w:rPr>
    </w:lvl>
    <w:lvl w:ilvl="5">
      <w:start w:val="1"/>
      <w:numFmt w:val="bullet"/>
      <w:lvlText w:val=""/>
      <w:lvlJc w:val="left"/>
      <w:pPr>
        <w:tabs>
          <w:tab w:val="num" w:pos="5029"/>
        </w:tabs>
        <w:ind w:left="5029" w:hanging="360"/>
      </w:pPr>
      <w:rPr>
        <w:rFonts w:ascii="Wingdings" w:hAnsi="Wingdings"/>
        <w:rtl w:val="0"/>
      </w:rPr>
    </w:lvl>
    <w:lvl w:ilvl="6">
      <w:start w:val="1"/>
      <w:numFmt w:val="bullet"/>
      <w:lvlText w:val=""/>
      <w:lvlJc w:val="left"/>
      <w:pPr>
        <w:tabs>
          <w:tab w:val="num" w:pos="5749"/>
        </w:tabs>
        <w:ind w:left="5749" w:hanging="360"/>
      </w:pPr>
      <w:rPr>
        <w:rFonts w:ascii="Symbol" w:hAnsi="Symbol"/>
        <w:rtl w:val="0"/>
      </w:rPr>
    </w:lvl>
    <w:lvl w:ilvl="7">
      <w:start w:val="1"/>
      <w:numFmt w:val="bullet"/>
      <w:lvlText w:val="o"/>
      <w:lvlJc w:val="left"/>
      <w:pPr>
        <w:tabs>
          <w:tab w:val="num" w:pos="6469"/>
        </w:tabs>
        <w:ind w:left="6469" w:hanging="360"/>
      </w:pPr>
      <w:rPr>
        <w:rFonts w:ascii="Courier New" w:hAnsi="Courier New"/>
        <w:rtl w:val="0"/>
      </w:rPr>
    </w:lvl>
    <w:lvl w:ilvl="8">
      <w:start w:val="1"/>
      <w:numFmt w:val="bullet"/>
      <w:lvlText w:val=""/>
      <w:lvlJc w:val="left"/>
      <w:pPr>
        <w:tabs>
          <w:tab w:val="num" w:pos="7189"/>
        </w:tabs>
        <w:ind w:left="7189" w:hanging="360"/>
      </w:pPr>
      <w:rPr>
        <w:rFonts w:ascii="Wingdings" w:hAnsi="Wingdings"/>
        <w:rtl w:val="0"/>
      </w:rPr>
    </w:lvl>
  </w:abstractNum>
  <w:abstractNum w:abstractNumId="144">
    <w:nsid w:val="6B904942"/>
    <w:multiLevelType w:val="multilevel"/>
    <w:tmpl w:val="4FA016C2"/>
    <w:lvl w:ilvl="0">
      <w:start w:val="3"/>
      <w:numFmt w:val="decimal"/>
      <w:lvlText w:val="%1"/>
      <w:lvlJc w:val="left"/>
      <w:pPr>
        <w:tabs>
          <w:tab w:val="num" w:pos="405"/>
        </w:tabs>
        <w:ind w:left="405" w:hanging="405"/>
      </w:pPr>
    </w:lvl>
    <w:lvl w:ilvl="1">
      <w:start w:val="4"/>
      <w:numFmt w:val="decimal"/>
      <w:lvlText w:val="%1.%2"/>
      <w:lvlJc w:val="left"/>
      <w:pPr>
        <w:tabs>
          <w:tab w:val="num" w:pos="405"/>
        </w:tabs>
        <w:ind w:left="405" w:hanging="4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5">
    <w:nsid w:val="6C1C4025"/>
    <w:multiLevelType w:val="hybridMultilevel"/>
    <w:tmpl w:val="0198721E"/>
    <w:lvl w:ilvl="0">
      <w:start w:val="8"/>
      <w:numFmt w:val="bullet"/>
      <w:lvlText w:val="–"/>
      <w:lvlJc w:val="left"/>
      <w:pPr>
        <w:tabs>
          <w:tab w:val="num" w:pos="612"/>
        </w:tabs>
        <w:ind w:left="612"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6">
    <w:nsid w:val="6D592BEB"/>
    <w:multiLevelType w:val="hybridMultilevel"/>
    <w:tmpl w:val="116E1092"/>
    <w:lvl w:ilvl="0">
      <w:start w:val="0"/>
      <w:numFmt w:val="bullet"/>
      <w:lvlText w:val="-"/>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D6E74A5"/>
    <w:multiLevelType w:val="hybridMultilevel"/>
    <w:tmpl w:val="6E9A9BE6"/>
    <w:lvl w:ilvl="0">
      <w:start w:val="108"/>
      <w:numFmt w:val="bullet"/>
      <w:lvlText w:val="-"/>
      <w:lvlJc w:val="left"/>
      <w:pPr>
        <w:tabs>
          <w:tab w:val="num" w:pos="720"/>
        </w:tabs>
        <w:ind w:left="720" w:hanging="360"/>
      </w:pPr>
      <w:rPr>
        <w:rFonts w:ascii="Arial Narrow" w:hAnsi="Arial Narrow"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8">
    <w:nsid w:val="6E2727C1"/>
    <w:multiLevelType w:val="hybridMultilevel"/>
    <w:tmpl w:val="9F946F7A"/>
    <w:lvl w:ilvl="0">
      <w:start w:val="2"/>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EB73051"/>
    <w:multiLevelType w:val="hybridMultilevel"/>
    <w:tmpl w:val="AA4CC200"/>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0">
    <w:nsid w:val="6F444E78"/>
    <w:multiLevelType w:val="hybridMultilevel"/>
    <w:tmpl w:val="25B265E4"/>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1">
    <w:nsid w:val="6F9444FA"/>
    <w:multiLevelType w:val="hybridMultilevel"/>
    <w:tmpl w:val="D70C8F16"/>
    <w:lvl w:ilvl="0">
      <w:start w:val="1"/>
      <w:numFmt w:val="bullet"/>
      <w:lvlText w:val="•"/>
      <w:lvlJc w:val="left"/>
      <w:pPr>
        <w:tabs>
          <w:tab w:val="num" w:pos="720"/>
        </w:tabs>
        <w:ind w:left="720" w:hanging="360"/>
      </w:pPr>
      <w:rPr>
        <w:rFonts w:ascii="Book Antiqua" w:hAnsi="Book Antiqua"/>
        <w:rtl w:val="0"/>
      </w:rPr>
    </w:lvl>
    <w:lvl w:ilvl="1">
      <w:start w:val="1"/>
      <w:numFmt w:val="bullet"/>
      <w:lvlText w:val="•"/>
      <w:lvlJc w:val="left"/>
      <w:pPr>
        <w:tabs>
          <w:tab w:val="num" w:pos="1440"/>
        </w:tabs>
        <w:ind w:left="1440" w:hanging="360"/>
      </w:pPr>
      <w:rPr>
        <w:rFonts w:ascii="Book Antiqua" w:hAnsi="Book Antiqua"/>
        <w:rtl w:val="0"/>
      </w:rPr>
    </w:lvl>
    <w:lvl w:ilvl="2">
      <w:start w:val="1"/>
      <w:numFmt w:val="bullet"/>
      <w:lvlText w:val="•"/>
      <w:lvlJc w:val="left"/>
      <w:pPr>
        <w:tabs>
          <w:tab w:val="num" w:pos="2160"/>
        </w:tabs>
        <w:ind w:left="2160" w:hanging="360"/>
      </w:pPr>
      <w:rPr>
        <w:rFonts w:ascii="Book Antiqua" w:hAnsi="Book Antiqua"/>
        <w:rtl w:val="0"/>
      </w:rPr>
    </w:lvl>
    <w:lvl w:ilvl="3">
      <w:start w:val="1"/>
      <w:numFmt w:val="bullet"/>
      <w:lvlText w:val="•"/>
      <w:lvlJc w:val="left"/>
      <w:pPr>
        <w:tabs>
          <w:tab w:val="num" w:pos="2880"/>
        </w:tabs>
        <w:ind w:left="2880" w:hanging="360"/>
      </w:pPr>
      <w:rPr>
        <w:rFonts w:ascii="Book Antiqua" w:hAnsi="Book Antiqua"/>
        <w:rtl w:val="0"/>
      </w:rPr>
    </w:lvl>
    <w:lvl w:ilvl="4">
      <w:start w:val="1"/>
      <w:numFmt w:val="bullet"/>
      <w:lvlText w:val="•"/>
      <w:lvlJc w:val="left"/>
      <w:pPr>
        <w:tabs>
          <w:tab w:val="num" w:pos="3600"/>
        </w:tabs>
        <w:ind w:left="3600" w:hanging="360"/>
      </w:pPr>
      <w:rPr>
        <w:rFonts w:ascii="Book Antiqua" w:hAnsi="Book Antiqua"/>
        <w:rtl w:val="0"/>
      </w:rPr>
    </w:lvl>
    <w:lvl w:ilvl="5">
      <w:start w:val="1"/>
      <w:numFmt w:val="bullet"/>
      <w:lvlText w:val="•"/>
      <w:lvlJc w:val="left"/>
      <w:pPr>
        <w:tabs>
          <w:tab w:val="num" w:pos="4320"/>
        </w:tabs>
        <w:ind w:left="4320" w:hanging="360"/>
      </w:pPr>
      <w:rPr>
        <w:rFonts w:ascii="Book Antiqua" w:hAnsi="Book Antiqua"/>
        <w:rtl w:val="0"/>
      </w:rPr>
    </w:lvl>
    <w:lvl w:ilvl="6">
      <w:start w:val="1"/>
      <w:numFmt w:val="bullet"/>
      <w:lvlText w:val="•"/>
      <w:lvlJc w:val="left"/>
      <w:pPr>
        <w:tabs>
          <w:tab w:val="num" w:pos="5040"/>
        </w:tabs>
        <w:ind w:left="5040" w:hanging="360"/>
      </w:pPr>
      <w:rPr>
        <w:rFonts w:ascii="Book Antiqua" w:hAnsi="Book Antiqua"/>
        <w:rtl w:val="0"/>
      </w:rPr>
    </w:lvl>
    <w:lvl w:ilvl="7">
      <w:start w:val="1"/>
      <w:numFmt w:val="bullet"/>
      <w:lvlText w:val="•"/>
      <w:lvlJc w:val="left"/>
      <w:pPr>
        <w:tabs>
          <w:tab w:val="num" w:pos="5760"/>
        </w:tabs>
        <w:ind w:left="5760" w:hanging="360"/>
      </w:pPr>
      <w:rPr>
        <w:rFonts w:ascii="Book Antiqua" w:hAnsi="Book Antiqua"/>
        <w:rtl w:val="0"/>
      </w:rPr>
    </w:lvl>
    <w:lvl w:ilvl="8">
      <w:start w:val="1"/>
      <w:numFmt w:val="bullet"/>
      <w:lvlText w:val="•"/>
      <w:lvlJc w:val="left"/>
      <w:pPr>
        <w:tabs>
          <w:tab w:val="num" w:pos="6480"/>
        </w:tabs>
        <w:ind w:left="6480" w:hanging="360"/>
      </w:pPr>
      <w:rPr>
        <w:rFonts w:ascii="Book Antiqua" w:hAnsi="Book Antiqua"/>
        <w:rtl w:val="0"/>
      </w:rPr>
    </w:lvl>
  </w:abstractNum>
  <w:abstractNum w:abstractNumId="152">
    <w:nsid w:val="70681E66"/>
    <w:multiLevelType w:val="hybridMultilevel"/>
    <w:tmpl w:val="730C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71187D77"/>
    <w:multiLevelType w:val="hybridMultilevel"/>
    <w:tmpl w:val="2DB87498"/>
    <w:lvl w:ilvl="0">
      <w:start w:val="1"/>
      <w:numFmt w:val="bullet"/>
      <w:lvlText w:val=""/>
      <w:lvlJc w:val="left"/>
      <w:pPr>
        <w:tabs>
          <w:tab w:val="num" w:pos="284"/>
        </w:tabs>
        <w:ind w:left="284" w:hanging="284"/>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4">
    <w:nsid w:val="717E33A7"/>
    <w:multiLevelType w:val="hybridMultilevel"/>
    <w:tmpl w:val="8F86A7F2"/>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5">
    <w:nsid w:val="71E7023A"/>
    <w:multiLevelType w:val="hybridMultilevel"/>
    <w:tmpl w:val="3946A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721970C5"/>
    <w:multiLevelType w:val="hybridMultilevel"/>
    <w:tmpl w:val="AEDE206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264460C"/>
    <w:multiLevelType w:val="multilevel"/>
    <w:tmpl w:val="77AA2190"/>
    <w:lvl w:ilvl="0">
      <w:start w:val="5"/>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8">
    <w:nsid w:val="7351385D"/>
    <w:multiLevelType w:val="multilevel"/>
    <w:tmpl w:val="D93C87BC"/>
    <w:lvl w:ilvl="0">
      <w:start w:val="1"/>
      <w:numFmt w:val="decimal"/>
      <w:lvlText w:val="%1."/>
      <w:lvlJc w:val="left"/>
      <w:pPr>
        <w:tabs>
          <w:tab w:val="num" w:pos="360"/>
        </w:tabs>
        <w:ind w:left="360" w:hanging="360"/>
      </w:pPr>
      <w:rPr>
        <w:rFonts w:ascii="Arial" w:hAnsi="Arial"/>
        <w:b/>
        <w:i w:val="0"/>
        <w:sz w:val="28"/>
        <w:szCs w:val="28"/>
        <w:rtl w:val="0"/>
      </w:rPr>
    </w:lvl>
    <w:lvl w:ilvl="1">
      <w:start w:val="1"/>
      <w:numFmt w:val="decimal"/>
      <w:lvlText w:val="%1.%2."/>
      <w:lvlJc w:val="left"/>
      <w:pPr>
        <w:tabs>
          <w:tab w:val="num" w:pos="340"/>
        </w:tabs>
        <w:ind w:left="851" w:hanging="851"/>
      </w:pPr>
      <w:rPr>
        <w:rFonts w:ascii="Arial" w:hAnsi="Arial"/>
        <w:b/>
        <w:i w:val="0"/>
        <w:sz w:val="28"/>
        <w:szCs w:val="28"/>
        <w:rtl w:val="0"/>
      </w:rPr>
    </w:lvl>
    <w:lvl w:ilvl="2">
      <w:start w:val="1"/>
      <w:numFmt w:val="decimal"/>
      <w:lvlText w:val="%1.%2.%3."/>
      <w:lvlJc w:val="left"/>
      <w:pPr>
        <w:tabs>
          <w:tab w:val="num" w:pos="737"/>
        </w:tabs>
        <w:ind w:left="2495" w:hanging="2495"/>
      </w:pPr>
      <w:rPr>
        <w:rFonts w:ascii="Arial" w:hAnsi="Arial"/>
        <w:b/>
        <w:i w:val="0"/>
        <w:sz w:val="24"/>
        <w:szCs w:val="24"/>
        <w:rtl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9">
    <w:nsid w:val="73FA0ACA"/>
    <w:multiLevelType w:val="hybridMultilevel"/>
    <w:tmpl w:val="BD6EAD8C"/>
    <w:lvl w:ilvl="0">
      <w:start w:val="2"/>
      <w:numFmt w:val="bullet"/>
      <w:lvlText w:val="–"/>
      <w:lvlJc w:val="left"/>
      <w:pPr>
        <w:tabs>
          <w:tab w:val="num" w:pos="644"/>
        </w:tabs>
        <w:ind w:left="567" w:hanging="283"/>
      </w:pPr>
      <w:rPr>
        <w:rFonts w:ascii="Arial Narrow" w:hAnsi="Arial Narrow"/>
        <w:rtl w:val="0"/>
      </w:rPr>
    </w:lvl>
    <w:lvl w:ilvl="1">
      <w:start w:val="1"/>
      <w:numFmt w:val="bullet"/>
      <w:lvlText w:val="o"/>
      <w:lvlJc w:val="left"/>
      <w:pPr>
        <w:tabs>
          <w:tab w:val="num" w:pos="1788"/>
        </w:tabs>
        <w:ind w:left="1788" w:hanging="360"/>
      </w:pPr>
      <w:rPr>
        <w:rFonts w:ascii="Courier New" w:hAnsi="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160">
    <w:nsid w:val="74732428"/>
    <w:multiLevelType w:val="hybridMultilevel"/>
    <w:tmpl w:val="88AA52F6"/>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1">
    <w:nsid w:val="77525690"/>
    <w:multiLevelType w:val="hybridMultilevel"/>
    <w:tmpl w:val="42FC4E34"/>
    <w:lvl w:ilvl="0">
      <w:start w:val="5"/>
      <w:numFmt w:val="decimal"/>
      <w:lvlText w:val="%1."/>
      <w:lvlJc w:val="left"/>
      <w:pPr>
        <w:tabs>
          <w:tab w:val="num" w:pos="720"/>
        </w:tabs>
        <w:ind w:left="720" w:hanging="360"/>
      </w:pPr>
    </w:lvl>
    <w:lvl w:ilvl="1">
      <w:start w:val="2"/>
      <w:numFmt w:val="decimal"/>
      <w:isLgl/>
      <w:lvlText w:val="%1.%2."/>
      <w:lvlJc w:val="left"/>
      <w:pPr>
        <w:tabs>
          <w:tab w:val="num" w:pos="1065"/>
        </w:tabs>
        <w:ind w:left="1065" w:hanging="705"/>
      </w:pPr>
    </w:lvl>
    <w:lvl w:ilvl="2">
      <w:start w:val="4"/>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62">
    <w:nsid w:val="787B554B"/>
    <w:multiLevelType w:val="multilevel"/>
    <w:tmpl w:val="0860BF34"/>
    <w:lvl w:ilvl="0">
      <w:start w:val="1"/>
      <w:numFmt w:val="bullet"/>
      <w:lvlText w:val="▪"/>
      <w:lvlJc w:val="left"/>
      <w:pPr>
        <w:tabs>
          <w:tab w:val="num" w:pos="283"/>
        </w:tabs>
        <w:ind w:left="283" w:hanging="283"/>
      </w:pPr>
      <w:rPr>
        <w:rFonts w:ascii="Times New Roman" w:hAnsi="Times New Roman" w:cs="Times New Roman"/>
        <w:rtl w:val="0"/>
      </w:rPr>
    </w:lvl>
    <w:lvl w:ilvl="1">
      <w:start w:val="1"/>
      <w:numFmt w:val="bullet"/>
      <w:lvlText w:val="o"/>
      <w:lvlJc w:val="left"/>
      <w:pPr>
        <w:tabs>
          <w:tab w:val="num" w:pos="1111"/>
        </w:tabs>
        <w:ind w:left="1111" w:hanging="360"/>
      </w:pPr>
      <w:rPr>
        <w:rFonts w:ascii="Courier New" w:hAnsi="Courier New" w:cs="Courier New"/>
        <w:rtl w:val="0"/>
      </w:rPr>
    </w:lvl>
    <w:lvl w:ilvl="2">
      <w:start w:val="1"/>
      <w:numFmt w:val="bullet"/>
      <w:lvlText w:val=""/>
      <w:lvlJc w:val="left"/>
      <w:pPr>
        <w:tabs>
          <w:tab w:val="num" w:pos="1831"/>
        </w:tabs>
        <w:ind w:left="1831" w:hanging="360"/>
      </w:pPr>
      <w:rPr>
        <w:rFonts w:ascii="Wingdings" w:hAnsi="Wingdings"/>
        <w:rtl w:val="0"/>
      </w:rPr>
    </w:lvl>
    <w:lvl w:ilvl="3">
      <w:start w:val="1"/>
      <w:numFmt w:val="bullet"/>
      <w:lvlText w:val=""/>
      <w:lvlJc w:val="left"/>
      <w:pPr>
        <w:tabs>
          <w:tab w:val="num" w:pos="2551"/>
        </w:tabs>
        <w:ind w:left="2551" w:hanging="360"/>
      </w:pPr>
      <w:rPr>
        <w:rFonts w:ascii="Symbol" w:hAnsi="Symbol"/>
        <w:rtl w:val="0"/>
      </w:rPr>
    </w:lvl>
    <w:lvl w:ilvl="4">
      <w:start w:val="1"/>
      <w:numFmt w:val="bullet"/>
      <w:lvlText w:val="o"/>
      <w:lvlJc w:val="left"/>
      <w:pPr>
        <w:tabs>
          <w:tab w:val="num" w:pos="3271"/>
        </w:tabs>
        <w:ind w:left="3271" w:hanging="360"/>
      </w:pPr>
      <w:rPr>
        <w:rFonts w:ascii="Courier New" w:hAnsi="Courier New" w:cs="Courier New"/>
        <w:rtl w:val="0"/>
      </w:rPr>
    </w:lvl>
    <w:lvl w:ilvl="5">
      <w:start w:val="1"/>
      <w:numFmt w:val="bullet"/>
      <w:lvlText w:val=""/>
      <w:lvlJc w:val="left"/>
      <w:pPr>
        <w:tabs>
          <w:tab w:val="num" w:pos="3991"/>
        </w:tabs>
        <w:ind w:left="3991" w:hanging="360"/>
      </w:pPr>
      <w:rPr>
        <w:rFonts w:ascii="Wingdings" w:hAnsi="Wingdings"/>
        <w:rtl w:val="0"/>
      </w:rPr>
    </w:lvl>
    <w:lvl w:ilvl="6">
      <w:start w:val="1"/>
      <w:numFmt w:val="bullet"/>
      <w:lvlText w:val=""/>
      <w:lvlJc w:val="left"/>
      <w:pPr>
        <w:tabs>
          <w:tab w:val="num" w:pos="4711"/>
        </w:tabs>
        <w:ind w:left="4711" w:hanging="360"/>
      </w:pPr>
      <w:rPr>
        <w:rFonts w:ascii="Symbol" w:hAnsi="Symbol"/>
        <w:rtl w:val="0"/>
      </w:rPr>
    </w:lvl>
    <w:lvl w:ilvl="7">
      <w:start w:val="1"/>
      <w:numFmt w:val="bullet"/>
      <w:lvlText w:val="o"/>
      <w:lvlJc w:val="left"/>
      <w:pPr>
        <w:tabs>
          <w:tab w:val="num" w:pos="5431"/>
        </w:tabs>
        <w:ind w:left="5431" w:hanging="360"/>
      </w:pPr>
      <w:rPr>
        <w:rFonts w:ascii="Courier New" w:hAnsi="Courier New" w:cs="Courier New"/>
        <w:rtl w:val="0"/>
      </w:rPr>
    </w:lvl>
    <w:lvl w:ilvl="8">
      <w:start w:val="1"/>
      <w:numFmt w:val="bullet"/>
      <w:lvlText w:val=""/>
      <w:lvlJc w:val="left"/>
      <w:pPr>
        <w:tabs>
          <w:tab w:val="num" w:pos="6151"/>
        </w:tabs>
        <w:ind w:left="6151" w:hanging="360"/>
      </w:pPr>
      <w:rPr>
        <w:rFonts w:ascii="Wingdings" w:hAnsi="Wingdings"/>
        <w:rtl w:val="0"/>
      </w:rPr>
    </w:lvl>
  </w:abstractNum>
  <w:abstractNum w:abstractNumId="163">
    <w:nsid w:val="78B92769"/>
    <w:multiLevelType w:val="hybridMultilevel"/>
    <w:tmpl w:val="32122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7953277E"/>
    <w:multiLevelType w:val="hybridMultilevel"/>
    <w:tmpl w:val="8CCC0816"/>
    <w:lvl w:ilvl="0">
      <w:start w:val="2"/>
      <w:numFmt w:val="bullet"/>
      <w:lvlText w:val="–"/>
      <w:lvlJc w:val="left"/>
      <w:pPr>
        <w:tabs>
          <w:tab w:val="num" w:pos="644"/>
        </w:tabs>
        <w:ind w:left="567" w:hanging="283"/>
      </w:pPr>
      <w:rPr>
        <w:rFonts w:ascii="Times New Roman" w:hAnsi="Times New Roman" w:cs="Times New Roman"/>
        <w:rtl w:val="0"/>
      </w:rPr>
    </w:lvl>
    <w:lvl w:ilvl="1">
      <w:start w:val="2"/>
      <w:numFmt w:val="bullet"/>
      <w:lvlText w:val=""/>
      <w:lvlJc w:val="left"/>
      <w:pPr>
        <w:tabs>
          <w:tab w:val="num" w:pos="1437"/>
        </w:tabs>
        <w:ind w:left="1418" w:hanging="341"/>
      </w:pPr>
      <w:rPr>
        <w:rFonts w:ascii="Symbol" w:hAnsi="Symbol"/>
        <w:rtl w:val="0"/>
      </w:rPr>
    </w:lvl>
    <w:lvl w:ilvl="2">
      <w:start w:val="2"/>
      <w:numFmt w:val="bullet"/>
      <w:lvlText w:val="–"/>
      <w:lvlJc w:val="left"/>
      <w:pPr>
        <w:tabs>
          <w:tab w:val="num" w:pos="567"/>
        </w:tabs>
        <w:ind w:left="567" w:hanging="283"/>
      </w:pPr>
      <w:rPr>
        <w:rFonts w:ascii="Times New Roman" w:hAnsi="Times New Roman" w:cs="Times New Roman"/>
        <w:rtl w:val="0"/>
      </w:rPr>
    </w:lvl>
    <w:lvl w:ilvl="3">
      <w:start w:val="1"/>
      <w:numFmt w:val="bullet"/>
      <w:lvlText w:val=""/>
      <w:lvlJc w:val="left"/>
      <w:pPr>
        <w:tabs>
          <w:tab w:val="num" w:pos="2935"/>
        </w:tabs>
        <w:ind w:left="2935" w:hanging="360"/>
      </w:pPr>
      <w:rPr>
        <w:rFonts w:ascii="Symbol" w:hAnsi="Symbol"/>
        <w:rtl w:val="0"/>
      </w:rPr>
    </w:lvl>
    <w:lvl w:ilvl="4">
      <w:start w:val="1"/>
      <w:numFmt w:val="bullet"/>
      <w:lvlText w:val="o"/>
      <w:lvlJc w:val="left"/>
      <w:pPr>
        <w:tabs>
          <w:tab w:val="num" w:pos="3655"/>
        </w:tabs>
        <w:ind w:left="3655" w:hanging="360"/>
      </w:pPr>
      <w:rPr>
        <w:rFonts w:ascii="Courier New" w:hAnsi="Courier New"/>
        <w:rtl w:val="0"/>
      </w:rPr>
    </w:lvl>
    <w:lvl w:ilvl="5">
      <w:start w:val="1"/>
      <w:numFmt w:val="bullet"/>
      <w:lvlText w:val=""/>
      <w:lvlJc w:val="left"/>
      <w:pPr>
        <w:tabs>
          <w:tab w:val="num" w:pos="4375"/>
        </w:tabs>
        <w:ind w:left="4375" w:hanging="360"/>
      </w:pPr>
      <w:rPr>
        <w:rFonts w:ascii="Wingdings" w:hAnsi="Wingdings"/>
        <w:rtl w:val="0"/>
      </w:rPr>
    </w:lvl>
    <w:lvl w:ilvl="6">
      <w:start w:val="1"/>
      <w:numFmt w:val="bullet"/>
      <w:lvlText w:val=""/>
      <w:lvlJc w:val="left"/>
      <w:pPr>
        <w:tabs>
          <w:tab w:val="num" w:pos="5095"/>
        </w:tabs>
        <w:ind w:left="5095" w:hanging="360"/>
      </w:pPr>
      <w:rPr>
        <w:rFonts w:ascii="Symbol" w:hAnsi="Symbol"/>
        <w:rtl w:val="0"/>
      </w:rPr>
    </w:lvl>
    <w:lvl w:ilvl="7">
      <w:start w:val="1"/>
      <w:numFmt w:val="bullet"/>
      <w:lvlText w:val="o"/>
      <w:lvlJc w:val="left"/>
      <w:pPr>
        <w:tabs>
          <w:tab w:val="num" w:pos="5815"/>
        </w:tabs>
        <w:ind w:left="5815" w:hanging="360"/>
      </w:pPr>
      <w:rPr>
        <w:rFonts w:ascii="Courier New" w:hAnsi="Courier New"/>
        <w:rtl w:val="0"/>
      </w:rPr>
    </w:lvl>
    <w:lvl w:ilvl="8">
      <w:start w:val="1"/>
      <w:numFmt w:val="bullet"/>
      <w:lvlText w:val=""/>
      <w:lvlJc w:val="left"/>
      <w:pPr>
        <w:tabs>
          <w:tab w:val="num" w:pos="6535"/>
        </w:tabs>
        <w:ind w:left="6535" w:hanging="360"/>
      </w:pPr>
      <w:rPr>
        <w:rFonts w:ascii="Wingdings" w:hAnsi="Wingdings"/>
        <w:rtl w:val="0"/>
      </w:rPr>
    </w:lvl>
  </w:abstractNum>
  <w:abstractNum w:abstractNumId="165">
    <w:nsid w:val="7C883F25"/>
    <w:multiLevelType w:val="hybridMultilevel"/>
    <w:tmpl w:val="44A02F8C"/>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6">
    <w:nsid w:val="7E5A1CF5"/>
    <w:multiLevelType w:val="multilevel"/>
    <w:tmpl w:val="4BFA42FE"/>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
      <w:lvlJc w:val="left"/>
      <w:pPr>
        <w:tabs>
          <w:tab w:val="num" w:pos="720"/>
        </w:tabs>
        <w:ind w:left="720" w:hanging="360"/>
      </w:pPr>
      <w:rPr>
        <w:rFonts w:ascii="Wingdings" w:hAnsi="Wingdings"/>
        <w:rtl w:val="0"/>
      </w:rPr>
    </w:lvl>
    <w:lvl w:ilvl="2">
      <w:start w:val="1"/>
      <w:numFmt w:val="bullet"/>
      <w:lvlText w:val=""/>
      <w:lvlJc w:val="left"/>
      <w:pPr>
        <w:tabs>
          <w:tab w:val="num" w:pos="1080"/>
        </w:tabs>
        <w:ind w:left="1080" w:hanging="360"/>
      </w:pPr>
      <w:rPr>
        <w:rFonts w:ascii="Wingdings" w:hAnsi="Wingdings"/>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167">
    <w:nsid w:val="7F037323"/>
    <w:multiLevelType w:val="hybridMultilevel"/>
    <w:tmpl w:val="F87C61F0"/>
    <w:lvl w:ilvl="0">
      <w:start w:val="1"/>
      <w:numFmt w:val="bullet"/>
      <w:lvlText w:val="-"/>
      <w:lvlJc w:val="left"/>
      <w:pPr>
        <w:tabs>
          <w:tab w:val="num" w:pos="900"/>
        </w:tabs>
        <w:ind w:left="900" w:hanging="360"/>
      </w:pPr>
      <w:rPr>
        <w:rFonts w:ascii="Arial Narrow" w:hAnsi="Arial Narrow"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68">
    <w:nsid w:val="7F175CF3"/>
    <w:multiLevelType w:val="hybridMultilevel"/>
    <w:tmpl w:val="21483168"/>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9">
    <w:nsid w:val="7F1E083F"/>
    <w:multiLevelType w:val="multilevel"/>
    <w:tmpl w:val="EF2C03F0"/>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0">
    <w:nsid w:val="7F2A3A07"/>
    <w:multiLevelType w:val="hybridMultilevel"/>
    <w:tmpl w:val="AB4284E2"/>
    <w:lvl w:ilvl="0">
      <w:start w:val="0"/>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1">
    <w:nsid w:val="7F8F55B7"/>
    <w:multiLevelType w:val="multilevel"/>
    <w:tmpl w:val="A62EB0A8"/>
    <w:lvl w:ilvl="0">
      <w:start w:val="1"/>
      <w:numFmt w:val="bullet"/>
      <w:lvlText w:val=""/>
      <w:lvlJc w:val="left"/>
      <w:pPr>
        <w:tabs>
          <w:tab w:val="num" w:pos="360"/>
        </w:tabs>
        <w:ind w:left="360" w:hanging="360"/>
      </w:pPr>
      <w:rPr>
        <w:rFonts w:ascii="Wingdings" w:hAnsi="Wingdings"/>
        <w:rtl w:val="0"/>
      </w:rPr>
    </w:lvl>
    <w:lvl w:ilvl="1">
      <w:start w:val="1"/>
      <w:numFmt w:val="bullet"/>
      <w:lvlText w:val="▪"/>
      <w:lvlJc w:val="left"/>
      <w:pPr>
        <w:tabs>
          <w:tab w:val="num" w:pos="720"/>
        </w:tabs>
        <w:ind w:left="720" w:hanging="360"/>
      </w:pPr>
      <w:rPr>
        <w:rFonts w:ascii="Times New Roman" w:hAnsi="Times New Roman" w:cs="Times New Roman"/>
        <w:rtl w:val="0"/>
      </w:rPr>
    </w:lvl>
    <w:lvl w:ilvl="2">
      <w:start w:val="1"/>
      <w:numFmt w:val="bullet"/>
      <w:lvlText w:val="-"/>
      <w:lvlJc w:val="left"/>
      <w:pPr>
        <w:tabs>
          <w:tab w:val="num" w:pos="1080"/>
        </w:tabs>
        <w:ind w:left="1080" w:hanging="360"/>
      </w:pPr>
      <w:rPr>
        <w:rFonts w:ascii="Times New Roman" w:hAnsi="Times New Roman" w:cs="Times New Roman"/>
        <w:rtl w:val="0"/>
      </w:rPr>
    </w:lvl>
    <w:lvl w:ilvl="3">
      <w:start w:val="1"/>
      <w:numFmt w:val="bullet"/>
      <w:lvlText w:val=""/>
      <w:lvlJc w:val="left"/>
      <w:pPr>
        <w:tabs>
          <w:tab w:val="num" w:pos="1440"/>
        </w:tabs>
        <w:ind w:left="1440" w:hanging="360"/>
      </w:pPr>
      <w:rPr>
        <w:rFonts w:ascii="Symbol" w:hAnsi="Symbol"/>
        <w:rtl w:val="0"/>
      </w:rPr>
    </w:lvl>
    <w:lvl w:ilvl="4">
      <w:start w:val="1"/>
      <w:numFmt w:val="bullet"/>
      <w:lvlText w:val=""/>
      <w:lvlJc w:val="left"/>
      <w:pPr>
        <w:tabs>
          <w:tab w:val="num" w:pos="1800"/>
        </w:tabs>
        <w:ind w:left="1800" w:hanging="360"/>
      </w:pPr>
      <w:rPr>
        <w:rFonts w:ascii="Symbol" w:hAnsi="Symbol"/>
        <w:rtl w:val="0"/>
      </w:rPr>
    </w:lvl>
    <w:lvl w:ilvl="5">
      <w:start w:val="1"/>
      <w:numFmt w:val="bullet"/>
      <w:lvlText w:val=""/>
      <w:lvlJc w:val="left"/>
      <w:pPr>
        <w:tabs>
          <w:tab w:val="num" w:pos="2160"/>
        </w:tabs>
        <w:ind w:left="2160" w:hanging="360"/>
      </w:pPr>
      <w:rPr>
        <w:rFonts w:ascii="Wingdings" w:hAnsi="Wingdings"/>
        <w:rtl w:val="0"/>
      </w:rPr>
    </w:lvl>
    <w:lvl w:ilvl="6">
      <w:start w:val="1"/>
      <w:numFmt w:val="bullet"/>
      <w:lvlText w:val=""/>
      <w:lvlJc w:val="left"/>
      <w:pPr>
        <w:tabs>
          <w:tab w:val="num" w:pos="2520"/>
        </w:tabs>
        <w:ind w:left="2520" w:hanging="360"/>
      </w:pPr>
      <w:rPr>
        <w:rFonts w:ascii="Wingdings" w:hAnsi="Wingdings"/>
        <w:rtl w:val="0"/>
      </w:rPr>
    </w:lvl>
    <w:lvl w:ilvl="7">
      <w:start w:val="1"/>
      <w:numFmt w:val="bullet"/>
      <w:lvlText w:val=""/>
      <w:lvlJc w:val="left"/>
      <w:pPr>
        <w:tabs>
          <w:tab w:val="num" w:pos="2880"/>
        </w:tabs>
        <w:ind w:left="2880" w:hanging="360"/>
      </w:pPr>
      <w:rPr>
        <w:rFonts w:ascii="Symbol" w:hAnsi="Symbol"/>
        <w:rtl w:val="0"/>
      </w:rPr>
    </w:lvl>
    <w:lvl w:ilvl="8">
      <w:start w:val="1"/>
      <w:numFmt w:val="bullet"/>
      <w:lvlText w:val=""/>
      <w:lvlJc w:val="left"/>
      <w:pPr>
        <w:tabs>
          <w:tab w:val="num" w:pos="3240"/>
        </w:tabs>
        <w:ind w:left="3240" w:hanging="360"/>
      </w:pPr>
      <w:rPr>
        <w:rFonts w:ascii="Symbol" w:hAnsi="Symbol"/>
        <w:rtl w:val="0"/>
      </w:rPr>
    </w:lvl>
  </w:abstractNum>
  <w:abstractNum w:abstractNumId="172">
    <w:nsid w:val="7FAF42BD"/>
    <w:multiLevelType w:val="hybridMultilevel"/>
    <w:tmpl w:val="0720AEF2"/>
    <w:lvl w:ilvl="0">
      <w:start w:val="2"/>
      <w:numFmt w:val="bullet"/>
      <w:lvlText w:val="–"/>
      <w:lvlJc w:val="left"/>
      <w:pPr>
        <w:tabs>
          <w:tab w:val="num" w:pos="567"/>
        </w:tabs>
        <w:ind w:left="567" w:hanging="283"/>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114"/>
  </w:num>
  <w:num w:numId="2">
    <w:abstractNumId w:val="153"/>
  </w:num>
  <w:num w:numId="3">
    <w:abstractNumId w:val="171"/>
  </w:num>
  <w:num w:numId="4">
    <w:abstractNumId w:val="128"/>
  </w:num>
  <w:num w:numId="5">
    <w:abstractNumId w:val="75"/>
  </w:num>
  <w:num w:numId="6">
    <w:abstractNumId w:val="90"/>
  </w:num>
  <w:num w:numId="7">
    <w:abstractNumId w:val="94"/>
  </w:num>
  <w:num w:numId="8">
    <w:abstractNumId w:val="151"/>
  </w:num>
  <w:num w:numId="9">
    <w:abstractNumId w:val="7"/>
  </w:num>
  <w:num w:numId="10">
    <w:abstractNumId w:val="157"/>
  </w:num>
  <w:num w:numId="11">
    <w:abstractNumId w:val="73"/>
  </w:num>
  <w:num w:numId="12">
    <w:abstractNumId w:val="3"/>
  </w:num>
  <w:num w:numId="13">
    <w:abstractNumId w:val="2"/>
  </w:num>
  <w:num w:numId="14">
    <w:abstractNumId w:val="129"/>
  </w:num>
  <w:num w:numId="15">
    <w:abstractNumId w:val="13"/>
  </w:num>
  <w:num w:numId="16">
    <w:abstractNumId w:val="30"/>
  </w:num>
  <w:num w:numId="17">
    <w:abstractNumId w:val="105"/>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4"/>
  </w:num>
  <w:num w:numId="19">
    <w:abstractNumId w:val="1"/>
  </w:num>
  <w:num w:numId="20">
    <w:abstractNumId w:val="41"/>
  </w:num>
  <w:num w:numId="21">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1"/>
  </w:num>
  <w:num w:numId="26">
    <w:abstractNumId w:val="110"/>
  </w:num>
  <w:num w:numId="27">
    <w:abstractNumId w:val="8"/>
  </w:num>
  <w:num w:numId="28">
    <w:abstractNumId w:val="9"/>
  </w:num>
  <w:num w:numId="29">
    <w:abstractNumId w:val="100"/>
  </w:num>
  <w:num w:numId="30">
    <w:abstractNumId w:val="93"/>
  </w:num>
  <w:num w:numId="31">
    <w:abstractNumId w:val="84"/>
  </w:num>
  <w:num w:numId="32">
    <w:abstractNumId w:val="48"/>
  </w:num>
  <w:num w:numId="33">
    <w:abstractNumId w:val="126"/>
  </w:num>
  <w:num w:numId="34">
    <w:abstractNumId w:val="60"/>
  </w:num>
  <w:num w:numId="35">
    <w:abstractNumId w:val="10"/>
  </w:num>
  <w:num w:numId="36">
    <w:abstractNumId w:val="61"/>
  </w:num>
  <w:num w:numId="37">
    <w:abstractNumId w:val="57"/>
  </w:num>
  <w:num w:numId="38">
    <w:abstractNumId w:val="122"/>
  </w:num>
  <w:num w:numId="39">
    <w:abstractNumId w:val="160"/>
  </w:num>
  <w:num w:numId="40">
    <w:abstractNumId w:val="39"/>
  </w:num>
  <w:num w:numId="41">
    <w:abstractNumId w:val="69"/>
  </w:num>
  <w:num w:numId="42">
    <w:abstractNumId w:val="29"/>
  </w:num>
  <w:num w:numId="43">
    <w:abstractNumId w:val="72"/>
  </w:num>
  <w:num w:numId="44">
    <w:abstractNumId w:val="145"/>
  </w:num>
  <w:num w:numId="45">
    <w:abstractNumId w:val="11"/>
  </w:num>
  <w:num w:numId="46">
    <w:abstractNumId w:val="27"/>
  </w:num>
  <w:num w:numId="47">
    <w:abstractNumId w:val="97"/>
  </w:num>
  <w:num w:numId="48">
    <w:abstractNumId w:val="115"/>
  </w:num>
  <w:num w:numId="49">
    <w:abstractNumId w:val="77"/>
  </w:num>
  <w:num w:numId="50">
    <w:abstractNumId w:val="28"/>
  </w:num>
  <w:num w:numId="51">
    <w:abstractNumId w:val="112"/>
  </w:num>
  <w:num w:numId="52">
    <w:abstractNumId w:val="143"/>
  </w:num>
  <w:num w:numId="53">
    <w:abstractNumId w:val="127"/>
  </w:num>
  <w:num w:numId="54">
    <w:abstractNumId w:val="64"/>
  </w:num>
  <w:num w:numId="55">
    <w:abstractNumId w:val="5"/>
  </w:num>
  <w:num w:numId="56">
    <w:abstractNumId w:val="35"/>
  </w:num>
  <w:num w:numId="57">
    <w:abstractNumId w:val="33"/>
  </w:num>
  <w:num w:numId="58">
    <w:abstractNumId w:val="67"/>
  </w:num>
  <w:num w:numId="59">
    <w:abstractNumId w:val="6"/>
  </w:num>
  <w:num w:numId="60">
    <w:abstractNumId w:val="104"/>
  </w:num>
  <w:num w:numId="61">
    <w:abstractNumId w:val="44"/>
  </w:num>
  <w:num w:numId="62">
    <w:abstractNumId w:val="70"/>
  </w:num>
  <w:num w:numId="63">
    <w:abstractNumId w:val="117"/>
  </w:num>
  <w:num w:numId="64">
    <w:abstractNumId w:val="87"/>
  </w:num>
  <w:num w:numId="65">
    <w:abstractNumId w:val="132"/>
  </w:num>
  <w:num w:numId="66">
    <w:abstractNumId w:val="158"/>
  </w:num>
  <w:num w:numId="67">
    <w:abstractNumId w:val="107"/>
  </w:num>
  <w:num w:numId="68">
    <w:abstractNumId w:val="109"/>
  </w:num>
  <w:num w:numId="69">
    <w:abstractNumId w:val="152"/>
  </w:num>
  <w:num w:numId="70">
    <w:abstractNumId w:val="121"/>
  </w:num>
  <w:num w:numId="71">
    <w:abstractNumId w:val="163"/>
  </w:num>
  <w:num w:numId="72">
    <w:abstractNumId w:val="31"/>
  </w:num>
  <w:num w:numId="73">
    <w:abstractNumId w:val="63"/>
  </w:num>
  <w:num w:numId="74">
    <w:abstractNumId w:val="83"/>
  </w:num>
  <w:num w:numId="75">
    <w:abstractNumId w:val="85"/>
  </w:num>
  <w:num w:numId="76">
    <w:abstractNumId w:val="80"/>
  </w:num>
  <w:num w:numId="77">
    <w:abstractNumId w:val="101"/>
  </w:num>
  <w:num w:numId="78">
    <w:abstractNumId w:val="161"/>
  </w:num>
  <w:num w:numId="79">
    <w:abstractNumId w:val="125"/>
  </w:num>
  <w:num w:numId="80">
    <w:abstractNumId w:val="166"/>
  </w:num>
  <w:num w:numId="81">
    <w:abstractNumId w:val="89"/>
  </w:num>
  <w:num w:numId="82">
    <w:abstractNumId w:val="22"/>
  </w:num>
  <w:num w:numId="83">
    <w:abstractNumId w:val="0"/>
  </w:num>
  <w:num w:numId="84">
    <w:abstractNumId w:val="37"/>
  </w:num>
  <w:num w:numId="85">
    <w:abstractNumId w:val="150"/>
  </w:num>
  <w:num w:numId="86">
    <w:abstractNumId w:val="45"/>
  </w:num>
  <w:num w:numId="87">
    <w:abstractNumId w:val="149"/>
  </w:num>
  <w:num w:numId="88">
    <w:abstractNumId w:val="170"/>
  </w:num>
  <w:num w:numId="89">
    <w:abstractNumId w:val="34"/>
  </w:num>
  <w:num w:numId="90">
    <w:abstractNumId w:val="130"/>
  </w:num>
  <w:num w:numId="91">
    <w:abstractNumId w:val="108"/>
  </w:num>
  <w:num w:numId="92">
    <w:abstractNumId w:val="42"/>
  </w:num>
  <w:num w:numId="93">
    <w:abstractNumId w:val="47"/>
  </w:num>
  <w:num w:numId="94">
    <w:abstractNumId w:val="18"/>
  </w:num>
  <w:num w:numId="95">
    <w:abstractNumId w:val="49"/>
  </w:num>
  <w:num w:numId="96">
    <w:abstractNumId w:val="14"/>
  </w:num>
  <w:num w:numId="97">
    <w:abstractNumId w:val="88"/>
  </w:num>
  <w:num w:numId="98">
    <w:abstractNumId w:val="133"/>
  </w:num>
  <w:num w:numId="99">
    <w:abstractNumId w:val="38"/>
  </w:num>
  <w:num w:numId="100">
    <w:abstractNumId w:val="43"/>
  </w:num>
  <w:num w:numId="101">
    <w:abstractNumId w:val="135"/>
  </w:num>
  <w:num w:numId="102">
    <w:abstractNumId w:val="118"/>
  </w:num>
  <w:num w:numId="103">
    <w:abstractNumId w:val="74"/>
  </w:num>
  <w:num w:numId="104">
    <w:abstractNumId w:val="98"/>
  </w:num>
  <w:num w:numId="105">
    <w:abstractNumId w:val="138"/>
  </w:num>
  <w:num w:numId="106">
    <w:abstractNumId w:val="123"/>
  </w:num>
  <w:num w:numId="107">
    <w:abstractNumId w:val="172"/>
  </w:num>
  <w:num w:numId="108">
    <w:abstractNumId w:val="156"/>
  </w:num>
  <w:num w:numId="109">
    <w:abstractNumId w:val="96"/>
  </w:num>
  <w:num w:numId="110">
    <w:abstractNumId w:val="139"/>
  </w:num>
  <w:num w:numId="111">
    <w:abstractNumId w:val="12"/>
  </w:num>
  <w:num w:numId="112">
    <w:abstractNumId w:val="86"/>
  </w:num>
  <w:num w:numId="113">
    <w:abstractNumId w:val="15"/>
  </w:num>
  <w:num w:numId="114">
    <w:abstractNumId w:val="154"/>
  </w:num>
  <w:num w:numId="115">
    <w:abstractNumId w:val="120"/>
  </w:num>
  <w:num w:numId="116">
    <w:abstractNumId w:val="159"/>
  </w:num>
  <w:num w:numId="117">
    <w:abstractNumId w:val="65"/>
  </w:num>
  <w:num w:numId="118">
    <w:abstractNumId w:val="36"/>
  </w:num>
  <w:num w:numId="119">
    <w:abstractNumId w:val="136"/>
  </w:num>
  <w:num w:numId="120">
    <w:abstractNumId w:val="168"/>
  </w:num>
  <w:num w:numId="121">
    <w:abstractNumId w:val="81"/>
  </w:num>
  <w:num w:numId="122">
    <w:abstractNumId w:val="92"/>
  </w:num>
  <w:num w:numId="123">
    <w:abstractNumId w:val="91"/>
  </w:num>
  <w:num w:numId="124">
    <w:abstractNumId w:val="95"/>
  </w:num>
  <w:num w:numId="125">
    <w:abstractNumId w:val="25"/>
  </w:num>
  <w:num w:numId="126">
    <w:abstractNumId w:val="164"/>
  </w:num>
  <w:num w:numId="127">
    <w:abstractNumId w:val="71"/>
  </w:num>
  <w:num w:numId="128">
    <w:abstractNumId w:val="62"/>
  </w:num>
  <w:num w:numId="129">
    <w:abstractNumId w:val="68"/>
  </w:num>
  <w:num w:numId="130">
    <w:abstractNumId w:val="141"/>
  </w:num>
  <w:num w:numId="131">
    <w:abstractNumId w:val="55"/>
  </w:num>
  <w:num w:numId="132">
    <w:abstractNumId w:val="32"/>
  </w:num>
  <w:num w:numId="133">
    <w:abstractNumId w:val="56"/>
  </w:num>
  <w:num w:numId="134">
    <w:abstractNumId w:val="78"/>
  </w:num>
  <w:num w:numId="135">
    <w:abstractNumId w:val="58"/>
  </w:num>
  <w:num w:numId="136">
    <w:abstractNumId w:val="119"/>
  </w:num>
  <w:num w:numId="137">
    <w:abstractNumId w:val="165"/>
  </w:num>
  <w:num w:numId="138">
    <w:abstractNumId w:val="23"/>
  </w:num>
  <w:num w:numId="139">
    <w:abstractNumId w:val="26"/>
  </w:num>
  <w:num w:numId="140">
    <w:abstractNumId w:val="52"/>
  </w:num>
  <w:num w:numId="141">
    <w:abstractNumId w:val="106"/>
  </w:num>
  <w:num w:numId="142">
    <w:abstractNumId w:val="16"/>
  </w:num>
  <w:num w:numId="143">
    <w:abstractNumId w:val="50"/>
  </w:num>
  <w:num w:numId="144">
    <w:abstractNumId w:val="134"/>
  </w:num>
  <w:num w:numId="145">
    <w:abstractNumId w:val="76"/>
  </w:num>
  <w:num w:numId="146">
    <w:abstractNumId w:val="19"/>
  </w:num>
  <w:num w:numId="147">
    <w:abstractNumId w:val="4"/>
  </w:num>
  <w:num w:numId="148">
    <w:abstractNumId w:val="169"/>
  </w:num>
  <w:num w:numId="149">
    <w:abstractNumId w:val="137"/>
  </w:num>
  <w:num w:numId="150">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7"/>
  </w:num>
  <w:num w:numId="178">
    <w:abstractNumId w:val="124"/>
  </w:num>
  <w:num w:numId="179">
    <w:abstractNumId w:val="140"/>
  </w:num>
  <w:num w:numId="180">
    <w:abstractNumId w:val="59"/>
  </w:num>
  <w:num w:numId="181">
    <w:abstractNumId w:val="46"/>
  </w:num>
  <w:num w:numId="1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9"/>
  </w:num>
  <w:num w:numId="19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2"/>
  </w:num>
  <w:num w:numId="192">
    <w:abstractNumId w:val="116"/>
  </w:num>
  <w:num w:numId="193">
    <w:abstractNumId w:val="131"/>
  </w:num>
  <w:num w:numId="194">
    <w:abstractNumId w:val="113"/>
  </w:num>
  <w:num w:numId="195">
    <w:abstractNumId w:val="147"/>
  </w:num>
  <w:num w:numId="196">
    <w:abstractNumId w:val="155"/>
  </w:num>
  <w:num w:numId="197">
    <w:abstractNumId w:val="53"/>
  </w:num>
  <w:num w:numId="198">
    <w:abstractNumId w:val="66"/>
  </w:num>
  <w:num w:numId="199">
    <w:abstractNumId w:val="99"/>
  </w:num>
  <w:num w:numId="200">
    <w:abstractNumId w:val="102"/>
  </w:num>
  <w:num w:numId="201">
    <w:abstractNumId w:val="142"/>
  </w:num>
  <w:num w:numId="202">
    <w:abstractNumId w:val="111"/>
  </w:num>
  <w:num w:numId="203">
    <w:abstractNumId w:val="24"/>
  </w:num>
  <w:num w:numId="204">
    <w:abstractNumId w:val="20"/>
  </w:num>
  <w:num w:numId="205">
    <w:abstractNumId w:val="54"/>
  </w:num>
  <w:num w:numId="206">
    <w:abstractNumId w:val="21"/>
  </w:num>
  <w:num w:numId="207">
    <w:abstractNumId w:val="17"/>
  </w:num>
  <w:num w:numId="208">
    <w:abstractNumId w:val="103"/>
  </w:num>
  <w:num w:numId="209">
    <w:abstractNumId w:val="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10E39"/>
    <w:rsid w:val="000278EC"/>
    <w:rsid w:val="0004120D"/>
    <w:rsid w:val="00045274"/>
    <w:rsid w:val="00045E3D"/>
    <w:rsid w:val="000736FC"/>
    <w:rsid w:val="000758A8"/>
    <w:rsid w:val="00075D0D"/>
    <w:rsid w:val="00080CEB"/>
    <w:rsid w:val="0008368F"/>
    <w:rsid w:val="0008605E"/>
    <w:rsid w:val="00094B9C"/>
    <w:rsid w:val="00097788"/>
    <w:rsid w:val="000A0F2A"/>
    <w:rsid w:val="000A301E"/>
    <w:rsid w:val="000A3E21"/>
    <w:rsid w:val="000B43D3"/>
    <w:rsid w:val="000B51C0"/>
    <w:rsid w:val="000B7388"/>
    <w:rsid w:val="000C2232"/>
    <w:rsid w:val="000D6D6F"/>
    <w:rsid w:val="000E0056"/>
    <w:rsid w:val="000E060D"/>
    <w:rsid w:val="000E650D"/>
    <w:rsid w:val="000F375B"/>
    <w:rsid w:val="000F4890"/>
    <w:rsid w:val="0010118D"/>
    <w:rsid w:val="00105F80"/>
    <w:rsid w:val="001069D1"/>
    <w:rsid w:val="00111ADF"/>
    <w:rsid w:val="0012379F"/>
    <w:rsid w:val="001366FE"/>
    <w:rsid w:val="00140F6D"/>
    <w:rsid w:val="00142A9F"/>
    <w:rsid w:val="001430CD"/>
    <w:rsid w:val="001444A3"/>
    <w:rsid w:val="00153E46"/>
    <w:rsid w:val="00156985"/>
    <w:rsid w:val="001618F5"/>
    <w:rsid w:val="00162220"/>
    <w:rsid w:val="001652B0"/>
    <w:rsid w:val="001849FD"/>
    <w:rsid w:val="00186155"/>
    <w:rsid w:val="001900A1"/>
    <w:rsid w:val="001A0C2B"/>
    <w:rsid w:val="001A0C6D"/>
    <w:rsid w:val="001A2AD9"/>
    <w:rsid w:val="001A652B"/>
    <w:rsid w:val="001B161A"/>
    <w:rsid w:val="001B5FCC"/>
    <w:rsid w:val="001C4AEA"/>
    <w:rsid w:val="001D4FCF"/>
    <w:rsid w:val="001D7103"/>
    <w:rsid w:val="001E0718"/>
    <w:rsid w:val="001F18E9"/>
    <w:rsid w:val="001F1A64"/>
    <w:rsid w:val="001F613B"/>
    <w:rsid w:val="001F732E"/>
    <w:rsid w:val="002046EB"/>
    <w:rsid w:val="00211024"/>
    <w:rsid w:val="002144A1"/>
    <w:rsid w:val="00215294"/>
    <w:rsid w:val="00216851"/>
    <w:rsid w:val="00217D9B"/>
    <w:rsid w:val="00225872"/>
    <w:rsid w:val="0023048C"/>
    <w:rsid w:val="00233D90"/>
    <w:rsid w:val="002372ED"/>
    <w:rsid w:val="002401EB"/>
    <w:rsid w:val="00243835"/>
    <w:rsid w:val="00245191"/>
    <w:rsid w:val="00245823"/>
    <w:rsid w:val="0024598E"/>
    <w:rsid w:val="0025357E"/>
    <w:rsid w:val="00261DF5"/>
    <w:rsid w:val="002629A1"/>
    <w:rsid w:val="0026655D"/>
    <w:rsid w:val="00267BAD"/>
    <w:rsid w:val="00270749"/>
    <w:rsid w:val="00270961"/>
    <w:rsid w:val="002710B5"/>
    <w:rsid w:val="00276B7D"/>
    <w:rsid w:val="002829E9"/>
    <w:rsid w:val="002837D9"/>
    <w:rsid w:val="00284C5F"/>
    <w:rsid w:val="00292A51"/>
    <w:rsid w:val="002A4DD2"/>
    <w:rsid w:val="002B0106"/>
    <w:rsid w:val="002B3F91"/>
    <w:rsid w:val="002B6579"/>
    <w:rsid w:val="002C39F6"/>
    <w:rsid w:val="002C5BB7"/>
    <w:rsid w:val="002C73C6"/>
    <w:rsid w:val="002D1173"/>
    <w:rsid w:val="002D2E0F"/>
    <w:rsid w:val="002D7105"/>
    <w:rsid w:val="002F3A9F"/>
    <w:rsid w:val="002F3DFD"/>
    <w:rsid w:val="002F48AA"/>
    <w:rsid w:val="002F72E5"/>
    <w:rsid w:val="00313FFD"/>
    <w:rsid w:val="00327341"/>
    <w:rsid w:val="00331DFF"/>
    <w:rsid w:val="00335AD8"/>
    <w:rsid w:val="00336860"/>
    <w:rsid w:val="00345B04"/>
    <w:rsid w:val="0035271C"/>
    <w:rsid w:val="003567B1"/>
    <w:rsid w:val="00357A4B"/>
    <w:rsid w:val="0036002F"/>
    <w:rsid w:val="00362451"/>
    <w:rsid w:val="00362A93"/>
    <w:rsid w:val="00371F46"/>
    <w:rsid w:val="00373D9A"/>
    <w:rsid w:val="00380C86"/>
    <w:rsid w:val="00386FFA"/>
    <w:rsid w:val="00397561"/>
    <w:rsid w:val="003B2DEA"/>
    <w:rsid w:val="003B614B"/>
    <w:rsid w:val="003C2FF1"/>
    <w:rsid w:val="003D4829"/>
    <w:rsid w:val="003D611C"/>
    <w:rsid w:val="003D69D2"/>
    <w:rsid w:val="003E2C4A"/>
    <w:rsid w:val="003F1CFD"/>
    <w:rsid w:val="003F416B"/>
    <w:rsid w:val="003F6B24"/>
    <w:rsid w:val="00407A67"/>
    <w:rsid w:val="00410018"/>
    <w:rsid w:val="00411FD2"/>
    <w:rsid w:val="00412FCF"/>
    <w:rsid w:val="00417D9F"/>
    <w:rsid w:val="004226C0"/>
    <w:rsid w:val="00430F36"/>
    <w:rsid w:val="00440338"/>
    <w:rsid w:val="00440D60"/>
    <w:rsid w:val="00442ABB"/>
    <w:rsid w:val="00443038"/>
    <w:rsid w:val="00453D14"/>
    <w:rsid w:val="00454CF4"/>
    <w:rsid w:val="00460227"/>
    <w:rsid w:val="00462247"/>
    <w:rsid w:val="00467928"/>
    <w:rsid w:val="00472216"/>
    <w:rsid w:val="0047587E"/>
    <w:rsid w:val="004765CC"/>
    <w:rsid w:val="00476943"/>
    <w:rsid w:val="00483480"/>
    <w:rsid w:val="004938EB"/>
    <w:rsid w:val="00495032"/>
    <w:rsid w:val="004A0DF8"/>
    <w:rsid w:val="004B218E"/>
    <w:rsid w:val="004B5D4E"/>
    <w:rsid w:val="004C2D5D"/>
    <w:rsid w:val="004D2732"/>
    <w:rsid w:val="004D7A0E"/>
    <w:rsid w:val="005135B8"/>
    <w:rsid w:val="00526759"/>
    <w:rsid w:val="00532A8E"/>
    <w:rsid w:val="0054737E"/>
    <w:rsid w:val="0056769B"/>
    <w:rsid w:val="00567C63"/>
    <w:rsid w:val="00571A99"/>
    <w:rsid w:val="005804FA"/>
    <w:rsid w:val="00581D62"/>
    <w:rsid w:val="00582962"/>
    <w:rsid w:val="005834F3"/>
    <w:rsid w:val="00593F1F"/>
    <w:rsid w:val="005A7C86"/>
    <w:rsid w:val="005B4F27"/>
    <w:rsid w:val="005B5B9F"/>
    <w:rsid w:val="005C4D41"/>
    <w:rsid w:val="005C7871"/>
    <w:rsid w:val="005C7EBC"/>
    <w:rsid w:val="005D365D"/>
    <w:rsid w:val="005D53B0"/>
    <w:rsid w:val="005D702C"/>
    <w:rsid w:val="005E2A99"/>
    <w:rsid w:val="005F1148"/>
    <w:rsid w:val="005F3CD0"/>
    <w:rsid w:val="006029FC"/>
    <w:rsid w:val="00603266"/>
    <w:rsid w:val="0061616E"/>
    <w:rsid w:val="00630C4B"/>
    <w:rsid w:val="00637D84"/>
    <w:rsid w:val="006540EB"/>
    <w:rsid w:val="00656C18"/>
    <w:rsid w:val="00663A5C"/>
    <w:rsid w:val="00666E08"/>
    <w:rsid w:val="006735E2"/>
    <w:rsid w:val="00674D45"/>
    <w:rsid w:val="006758E9"/>
    <w:rsid w:val="00677A66"/>
    <w:rsid w:val="00681654"/>
    <w:rsid w:val="00690262"/>
    <w:rsid w:val="006947D3"/>
    <w:rsid w:val="00694E16"/>
    <w:rsid w:val="00697085"/>
    <w:rsid w:val="006A4251"/>
    <w:rsid w:val="006B3382"/>
    <w:rsid w:val="006B3C13"/>
    <w:rsid w:val="006B6D82"/>
    <w:rsid w:val="006C21E7"/>
    <w:rsid w:val="006C52F5"/>
    <w:rsid w:val="006D0B25"/>
    <w:rsid w:val="006D0C77"/>
    <w:rsid w:val="006D1E4E"/>
    <w:rsid w:val="006D4A4F"/>
    <w:rsid w:val="006E0312"/>
    <w:rsid w:val="006E2DC1"/>
    <w:rsid w:val="006E4045"/>
    <w:rsid w:val="006E5AEF"/>
    <w:rsid w:val="00711ADD"/>
    <w:rsid w:val="007176EE"/>
    <w:rsid w:val="0072445C"/>
    <w:rsid w:val="007302D1"/>
    <w:rsid w:val="00734EED"/>
    <w:rsid w:val="00737250"/>
    <w:rsid w:val="00743333"/>
    <w:rsid w:val="007440DD"/>
    <w:rsid w:val="00746CD5"/>
    <w:rsid w:val="00751EE8"/>
    <w:rsid w:val="00752B85"/>
    <w:rsid w:val="007775A4"/>
    <w:rsid w:val="00782712"/>
    <w:rsid w:val="007835F8"/>
    <w:rsid w:val="00784658"/>
    <w:rsid w:val="0079009C"/>
    <w:rsid w:val="00790C9C"/>
    <w:rsid w:val="00791610"/>
    <w:rsid w:val="00791FA9"/>
    <w:rsid w:val="00796DB0"/>
    <w:rsid w:val="007A3F07"/>
    <w:rsid w:val="007A5004"/>
    <w:rsid w:val="007A6189"/>
    <w:rsid w:val="007C3604"/>
    <w:rsid w:val="007C74CA"/>
    <w:rsid w:val="007D00BA"/>
    <w:rsid w:val="007D174B"/>
    <w:rsid w:val="007D7B7C"/>
    <w:rsid w:val="007E4E12"/>
    <w:rsid w:val="007F0804"/>
    <w:rsid w:val="007F173E"/>
    <w:rsid w:val="0082164A"/>
    <w:rsid w:val="008228F3"/>
    <w:rsid w:val="00830307"/>
    <w:rsid w:val="00835182"/>
    <w:rsid w:val="00846A90"/>
    <w:rsid w:val="00850B6F"/>
    <w:rsid w:val="008559A7"/>
    <w:rsid w:val="0086568C"/>
    <w:rsid w:val="00866737"/>
    <w:rsid w:val="0087062F"/>
    <w:rsid w:val="00872CE5"/>
    <w:rsid w:val="0087604E"/>
    <w:rsid w:val="00883856"/>
    <w:rsid w:val="008928B1"/>
    <w:rsid w:val="00892BCE"/>
    <w:rsid w:val="008C037E"/>
    <w:rsid w:val="008C1E7A"/>
    <w:rsid w:val="008C5F17"/>
    <w:rsid w:val="008D522F"/>
    <w:rsid w:val="008D6382"/>
    <w:rsid w:val="008F0B3F"/>
    <w:rsid w:val="00900AE9"/>
    <w:rsid w:val="00910E14"/>
    <w:rsid w:val="009220F7"/>
    <w:rsid w:val="00927350"/>
    <w:rsid w:val="009355AD"/>
    <w:rsid w:val="00935ABF"/>
    <w:rsid w:val="00944406"/>
    <w:rsid w:val="009452AD"/>
    <w:rsid w:val="0096038F"/>
    <w:rsid w:val="00962FEB"/>
    <w:rsid w:val="0097777D"/>
    <w:rsid w:val="00985C1E"/>
    <w:rsid w:val="00985CEC"/>
    <w:rsid w:val="009907B3"/>
    <w:rsid w:val="00997953"/>
    <w:rsid w:val="009A6135"/>
    <w:rsid w:val="009B10B5"/>
    <w:rsid w:val="009B715B"/>
    <w:rsid w:val="009B763B"/>
    <w:rsid w:val="009C09FA"/>
    <w:rsid w:val="009C5E47"/>
    <w:rsid w:val="009D6B49"/>
    <w:rsid w:val="009D7B9B"/>
    <w:rsid w:val="009E4B5B"/>
    <w:rsid w:val="009F1F2E"/>
    <w:rsid w:val="009F584C"/>
    <w:rsid w:val="009F6A82"/>
    <w:rsid w:val="00A00FBB"/>
    <w:rsid w:val="00A015F7"/>
    <w:rsid w:val="00A02EBD"/>
    <w:rsid w:val="00A03BE1"/>
    <w:rsid w:val="00A10665"/>
    <w:rsid w:val="00A1250A"/>
    <w:rsid w:val="00A1658B"/>
    <w:rsid w:val="00A22D83"/>
    <w:rsid w:val="00A4207A"/>
    <w:rsid w:val="00A427CF"/>
    <w:rsid w:val="00A52A1E"/>
    <w:rsid w:val="00A60B0D"/>
    <w:rsid w:val="00A75100"/>
    <w:rsid w:val="00A76C1C"/>
    <w:rsid w:val="00A93A22"/>
    <w:rsid w:val="00AA66FD"/>
    <w:rsid w:val="00AC5F35"/>
    <w:rsid w:val="00AE49BA"/>
    <w:rsid w:val="00AE4ACC"/>
    <w:rsid w:val="00AF12A3"/>
    <w:rsid w:val="00AF7025"/>
    <w:rsid w:val="00B00EBC"/>
    <w:rsid w:val="00B0152A"/>
    <w:rsid w:val="00B05BD9"/>
    <w:rsid w:val="00B06E95"/>
    <w:rsid w:val="00B07216"/>
    <w:rsid w:val="00B169E3"/>
    <w:rsid w:val="00B21244"/>
    <w:rsid w:val="00B231EF"/>
    <w:rsid w:val="00B30F82"/>
    <w:rsid w:val="00B46D1E"/>
    <w:rsid w:val="00B5662F"/>
    <w:rsid w:val="00B57DB6"/>
    <w:rsid w:val="00B6013B"/>
    <w:rsid w:val="00B70FAD"/>
    <w:rsid w:val="00B7325C"/>
    <w:rsid w:val="00B777DF"/>
    <w:rsid w:val="00B87F6C"/>
    <w:rsid w:val="00B90FAF"/>
    <w:rsid w:val="00B95E43"/>
    <w:rsid w:val="00BA216A"/>
    <w:rsid w:val="00BB0FD3"/>
    <w:rsid w:val="00BB1DD7"/>
    <w:rsid w:val="00BB4A9B"/>
    <w:rsid w:val="00BC47F9"/>
    <w:rsid w:val="00BC499A"/>
    <w:rsid w:val="00BD1713"/>
    <w:rsid w:val="00BD2E3F"/>
    <w:rsid w:val="00C01C23"/>
    <w:rsid w:val="00C05316"/>
    <w:rsid w:val="00C25512"/>
    <w:rsid w:val="00C2630F"/>
    <w:rsid w:val="00C26C3D"/>
    <w:rsid w:val="00C318D6"/>
    <w:rsid w:val="00C35EFE"/>
    <w:rsid w:val="00C41E76"/>
    <w:rsid w:val="00C430EA"/>
    <w:rsid w:val="00C46DF2"/>
    <w:rsid w:val="00C47447"/>
    <w:rsid w:val="00C563A9"/>
    <w:rsid w:val="00C77794"/>
    <w:rsid w:val="00C80E22"/>
    <w:rsid w:val="00C85B85"/>
    <w:rsid w:val="00C91EDA"/>
    <w:rsid w:val="00C94F9F"/>
    <w:rsid w:val="00CA539E"/>
    <w:rsid w:val="00CA7059"/>
    <w:rsid w:val="00CB26F7"/>
    <w:rsid w:val="00CB6123"/>
    <w:rsid w:val="00CB7D3E"/>
    <w:rsid w:val="00CB7DB0"/>
    <w:rsid w:val="00CC0A61"/>
    <w:rsid w:val="00CD1E4B"/>
    <w:rsid w:val="00CD30B7"/>
    <w:rsid w:val="00CD4DE8"/>
    <w:rsid w:val="00CE0B1D"/>
    <w:rsid w:val="00CE117B"/>
    <w:rsid w:val="00CE1AB8"/>
    <w:rsid w:val="00CF6728"/>
    <w:rsid w:val="00CF7377"/>
    <w:rsid w:val="00D01FA3"/>
    <w:rsid w:val="00D021DA"/>
    <w:rsid w:val="00D37490"/>
    <w:rsid w:val="00D417FE"/>
    <w:rsid w:val="00D4482C"/>
    <w:rsid w:val="00D47C41"/>
    <w:rsid w:val="00D51771"/>
    <w:rsid w:val="00D55228"/>
    <w:rsid w:val="00D610A1"/>
    <w:rsid w:val="00D71078"/>
    <w:rsid w:val="00D72525"/>
    <w:rsid w:val="00D743BE"/>
    <w:rsid w:val="00D75EC5"/>
    <w:rsid w:val="00D7753F"/>
    <w:rsid w:val="00D810DB"/>
    <w:rsid w:val="00D822E6"/>
    <w:rsid w:val="00D84B74"/>
    <w:rsid w:val="00D97897"/>
    <w:rsid w:val="00DB0886"/>
    <w:rsid w:val="00DC1F40"/>
    <w:rsid w:val="00DC3560"/>
    <w:rsid w:val="00DC4A60"/>
    <w:rsid w:val="00DD3C26"/>
    <w:rsid w:val="00DD5735"/>
    <w:rsid w:val="00DD6258"/>
    <w:rsid w:val="00DF45EC"/>
    <w:rsid w:val="00E04705"/>
    <w:rsid w:val="00E05707"/>
    <w:rsid w:val="00E062F2"/>
    <w:rsid w:val="00E066FA"/>
    <w:rsid w:val="00E0784A"/>
    <w:rsid w:val="00E275CD"/>
    <w:rsid w:val="00E3085A"/>
    <w:rsid w:val="00E32587"/>
    <w:rsid w:val="00E337D2"/>
    <w:rsid w:val="00E35E41"/>
    <w:rsid w:val="00E37867"/>
    <w:rsid w:val="00E51AAD"/>
    <w:rsid w:val="00E560E1"/>
    <w:rsid w:val="00E60EA5"/>
    <w:rsid w:val="00E62913"/>
    <w:rsid w:val="00E655A6"/>
    <w:rsid w:val="00E66A9C"/>
    <w:rsid w:val="00E82406"/>
    <w:rsid w:val="00E84314"/>
    <w:rsid w:val="00E86C64"/>
    <w:rsid w:val="00E92C93"/>
    <w:rsid w:val="00E955FC"/>
    <w:rsid w:val="00EA0287"/>
    <w:rsid w:val="00EA35DB"/>
    <w:rsid w:val="00EA58EF"/>
    <w:rsid w:val="00EA5BE1"/>
    <w:rsid w:val="00EA7384"/>
    <w:rsid w:val="00EA7CC1"/>
    <w:rsid w:val="00ED0E8D"/>
    <w:rsid w:val="00ED1E07"/>
    <w:rsid w:val="00ED28F3"/>
    <w:rsid w:val="00EE08D1"/>
    <w:rsid w:val="00EF219E"/>
    <w:rsid w:val="00EF4EAB"/>
    <w:rsid w:val="00EF53BC"/>
    <w:rsid w:val="00F039C1"/>
    <w:rsid w:val="00F04C5B"/>
    <w:rsid w:val="00F06F66"/>
    <w:rsid w:val="00F07C8D"/>
    <w:rsid w:val="00F105AC"/>
    <w:rsid w:val="00F1569B"/>
    <w:rsid w:val="00F15A95"/>
    <w:rsid w:val="00F237A2"/>
    <w:rsid w:val="00F36CC2"/>
    <w:rsid w:val="00F3785A"/>
    <w:rsid w:val="00F50F3C"/>
    <w:rsid w:val="00F54C07"/>
    <w:rsid w:val="00F678B0"/>
    <w:rsid w:val="00F76C72"/>
    <w:rsid w:val="00F818B6"/>
    <w:rsid w:val="00F81DA1"/>
    <w:rsid w:val="00F820DB"/>
    <w:rsid w:val="00F821B6"/>
    <w:rsid w:val="00F838E3"/>
    <w:rsid w:val="00F85C89"/>
    <w:rsid w:val="00F85DD3"/>
    <w:rsid w:val="00F90138"/>
    <w:rsid w:val="00F9234E"/>
    <w:rsid w:val="00F963D2"/>
    <w:rsid w:val="00FA031D"/>
    <w:rsid w:val="00FA2474"/>
    <w:rsid w:val="00FB0E8B"/>
    <w:rsid w:val="00FB3B03"/>
    <w:rsid w:val="00FB702E"/>
    <w:rsid w:val="00FC18B8"/>
    <w:rsid w:val="00FC6E32"/>
    <w:rsid w:val="00FD5ACF"/>
    <w:rsid w:val="00FF6A0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0D"/>
    <w:pPr>
      <w:widowControl w:val="0"/>
      <w:autoSpaceDE w:val="0"/>
      <w:autoSpaceDN w:val="0"/>
      <w:bidi w:val="0"/>
      <w:adjustRightInd w:val="0"/>
      <w:ind w:left="0" w:right="0"/>
      <w:jc w:val="left"/>
      <w:textAlignment w:val="auto"/>
    </w:pPr>
    <w:rPr>
      <w:rFonts w:ascii="Courier" w:hAnsi="Courier"/>
      <w:sz w:val="24"/>
      <w:szCs w:val="20"/>
      <w:rtl w:val="0"/>
      <w:lang w:val="sk-SK" w:bidi="ar-SA"/>
    </w:rPr>
  </w:style>
  <w:style w:type="paragraph" w:styleId="Heading1">
    <w:name w:val="heading 1"/>
    <w:basedOn w:val="Normal"/>
    <w:next w:val="Normal"/>
    <w:uiPriority w:val="9"/>
    <w:qFormat/>
    <w:rsid w:val="000E060D"/>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uiPriority w:val="9"/>
    <w:qFormat/>
    <w:rsid w:val="000E060D"/>
    <w:pPr>
      <w:keepNext/>
      <w:spacing w:before="240" w:after="60"/>
      <w:jc w:val="left"/>
      <w:outlineLvl w:val="1"/>
    </w:pPr>
    <w:rPr>
      <w:rFonts w:ascii="Arial" w:hAnsi="Arial" w:cs="Arial"/>
      <w:b/>
      <w:bCs/>
      <w:i/>
      <w:iCs/>
      <w:sz w:val="28"/>
      <w:szCs w:val="28"/>
    </w:rPr>
  </w:style>
  <w:style w:type="paragraph" w:styleId="Heading3">
    <w:name w:val="heading 3"/>
    <w:basedOn w:val="Normal"/>
    <w:next w:val="Normal"/>
    <w:uiPriority w:val="9"/>
    <w:qFormat/>
    <w:rsid w:val="000E060D"/>
    <w:pPr>
      <w:keepNext/>
      <w:spacing w:before="240" w:after="60"/>
      <w:jc w:val="left"/>
      <w:outlineLvl w:val="2"/>
    </w:pPr>
    <w:rPr>
      <w:rFonts w:ascii="Arial" w:hAnsi="Arial" w:cs="Arial"/>
      <w:b/>
      <w:bCs/>
      <w:sz w:val="26"/>
      <w:szCs w:val="26"/>
    </w:rPr>
  </w:style>
  <w:style w:type="paragraph" w:styleId="Heading4">
    <w:name w:val="heading 4"/>
    <w:basedOn w:val="Normal"/>
    <w:next w:val="Normal"/>
    <w:uiPriority w:val="9"/>
    <w:qFormat/>
    <w:rsid w:val="00782712"/>
    <w:pPr>
      <w:keepNext/>
      <w:jc w:val="both"/>
      <w:outlineLvl w:val="3"/>
    </w:pPr>
    <w:rPr>
      <w:rFonts w:ascii="Arial" w:hAnsi="Arial" w:cs="Arial"/>
      <w:b/>
      <w:sz w:val="20"/>
      <w:szCs w:val="24"/>
    </w:rPr>
  </w:style>
  <w:style w:type="paragraph" w:styleId="Heading9">
    <w:name w:val="heading 9"/>
    <w:basedOn w:val="Normal"/>
    <w:next w:val="Normal"/>
    <w:uiPriority w:val="9"/>
    <w:qFormat/>
    <w:rsid w:val="000E060D"/>
    <w:pPr>
      <w:spacing w:before="240" w:after="60"/>
      <w:jc w:val="left"/>
      <w:outlineLvl w:val="8"/>
    </w:pPr>
    <w:rPr>
      <w:rFonts w:ascii="Arial" w:hAnsi="Arial" w:cs="Arial"/>
      <w:sz w:val="22"/>
      <w:szCs w:val="22"/>
    </w:rPr>
  </w:style>
  <w:style w:type="character" w:default="1" w:styleId="DefaultParagraphFont">
    <w:name w:val="Default Paragraph Font"/>
    <w:link w:val="CharCharCharCharCharCharCharCharCharCharCharCharCharCharCharCharCharCharCharCharCharCharCharCharCharChar"/>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link w:val="DefaultParagraphFont"/>
    <w:rsid w:val="000E060D"/>
    <w:pPr>
      <w:spacing w:after="160" w:line="240" w:lineRule="exact"/>
      <w:jc w:val="left"/>
    </w:pPr>
    <w:rPr>
      <w:rFonts w:ascii="Tahoma" w:hAnsi="Tahoma"/>
      <w:sz w:val="20"/>
      <w:lang w:val="en-US"/>
    </w:rPr>
  </w:style>
  <w:style w:type="paragraph" w:customStyle="1" w:styleId="tl2">
    <w:name w:val="Štýl2"/>
    <w:basedOn w:val="Heading3"/>
    <w:rsid w:val="000E060D"/>
    <w:pPr>
      <w:spacing w:before="100" w:beforeAutospacing="1" w:after="100" w:afterAutospacing="1"/>
      <w:jc w:val="left"/>
    </w:pPr>
    <w:rPr>
      <w:rFonts w:ascii="Book Antiqua" w:hAnsi="Book Antiqua" w:cs="Times New Roman"/>
      <w:sz w:val="22"/>
      <w:szCs w:val="22"/>
    </w:rPr>
  </w:style>
  <w:style w:type="paragraph" w:customStyle="1" w:styleId="tl3">
    <w:name w:val="Štýl3"/>
    <w:basedOn w:val="Heading3"/>
    <w:autoRedefine/>
    <w:rsid w:val="000E060D"/>
    <w:pPr>
      <w:numPr>
        <w:ilvl w:val="2"/>
        <w:numId w:val="1"/>
      </w:numPr>
      <w:tabs>
        <w:tab w:val="left" w:pos="357"/>
      </w:tabs>
      <w:spacing w:before="100" w:beforeAutospacing="1" w:after="100" w:afterAutospacing="1"/>
      <w:ind w:left="357" w:hanging="357"/>
      <w:jc w:val="left"/>
    </w:pPr>
    <w:rPr>
      <w:rFonts w:ascii="Book Antiqua" w:hAnsi="Book Antiqua" w:cs="Times New Roman"/>
      <w:sz w:val="22"/>
      <w:szCs w:val="22"/>
    </w:rPr>
  </w:style>
  <w:style w:type="paragraph" w:styleId="Header">
    <w:name w:val="header"/>
    <w:basedOn w:val="Normal"/>
    <w:rsid w:val="000E060D"/>
    <w:pPr>
      <w:tabs>
        <w:tab w:val="center" w:pos="4536"/>
        <w:tab w:val="right" w:pos="9072"/>
      </w:tabs>
      <w:jc w:val="left"/>
    </w:pPr>
  </w:style>
  <w:style w:type="paragraph" w:styleId="Footer">
    <w:name w:val="footer"/>
    <w:basedOn w:val="Normal"/>
    <w:rsid w:val="000E060D"/>
    <w:pPr>
      <w:tabs>
        <w:tab w:val="center" w:pos="4536"/>
        <w:tab w:val="right" w:pos="9072"/>
      </w:tabs>
      <w:jc w:val="left"/>
    </w:pPr>
  </w:style>
  <w:style w:type="paragraph" w:styleId="BodyText">
    <w:name w:val="Body Text"/>
    <w:basedOn w:val="Normal"/>
    <w:rsid w:val="000E060D"/>
    <w:pPr>
      <w:spacing w:after="120"/>
      <w:jc w:val="left"/>
    </w:pPr>
  </w:style>
  <w:style w:type="paragraph" w:styleId="BodyTextIndent">
    <w:name w:val="Body Text Indent"/>
    <w:basedOn w:val="Normal"/>
    <w:rsid w:val="000E060D"/>
    <w:pPr>
      <w:spacing w:after="120"/>
      <w:ind w:left="283"/>
      <w:jc w:val="left"/>
    </w:pPr>
  </w:style>
  <w:style w:type="paragraph" w:customStyle="1" w:styleId="Zkladntext">
    <w:name w:val="Základní text"/>
    <w:rsid w:val="000E060D"/>
    <w:pPr>
      <w:widowControl w:val="0"/>
      <w:autoSpaceDE w:val="0"/>
      <w:autoSpaceDN w:val="0"/>
      <w:bidi w:val="0"/>
      <w:adjustRightInd w:val="0"/>
      <w:ind w:left="0" w:right="0"/>
      <w:jc w:val="left"/>
      <w:textAlignment w:val="auto"/>
    </w:pPr>
    <w:rPr>
      <w:color w:val="000000"/>
      <w:sz w:val="24"/>
      <w:szCs w:val="24"/>
      <w:rtl w:val="0"/>
      <w:lang w:val="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semiHidden/>
    <w:rsid w:val="000E060D"/>
    <w:pPr>
      <w:jc w:val="left"/>
    </w:pPr>
    <w:rPr>
      <w:rFonts w:ascii="Times New Roman" w:hAnsi="Times New Roman"/>
      <w:szCs w:val="24"/>
    </w:rPr>
  </w:style>
  <w:style w:type="character" w:styleId="FootnoteReference">
    <w:name w:val="footnote reference"/>
    <w:basedOn w:val="DefaultParagraphFont"/>
    <w:semiHidden/>
    <w:rsid w:val="000E060D"/>
    <w:rPr>
      <w:vertAlign w:val="superscript"/>
    </w:rPr>
  </w:style>
  <w:style w:type="paragraph" w:customStyle="1" w:styleId="xl35">
    <w:name w:val="xl35"/>
    <w:basedOn w:val="Normal"/>
    <w:rsid w:val="000E060D"/>
    <w:pPr>
      <w:spacing w:before="100" w:beforeAutospacing="1" w:after="100" w:afterAutospacing="1"/>
      <w:jc w:val="right"/>
    </w:pPr>
    <w:rPr>
      <w:rFonts w:ascii="Garamond" w:hAnsi="Garamond"/>
      <w:i/>
      <w:iCs/>
      <w:sz w:val="16"/>
      <w:szCs w:val="16"/>
    </w:rPr>
  </w:style>
  <w:style w:type="paragraph" w:customStyle="1" w:styleId="CharCharChar2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w:basedOn w:val="Normal"/>
    <w:rsid w:val="000E060D"/>
    <w:pPr>
      <w:spacing w:after="160" w:line="240" w:lineRule="exact"/>
      <w:jc w:val="left"/>
    </w:pPr>
    <w:rPr>
      <w:rFonts w:ascii="Tahoma" w:hAnsi="Tahoma"/>
      <w:sz w:val="20"/>
      <w:lang w:val="en-US"/>
    </w:rPr>
  </w:style>
  <w:style w:type="paragraph" w:customStyle="1" w:styleId="CharChar">
    <w:name w:val="Char Char"/>
    <w:basedOn w:val="Normal"/>
    <w:rsid w:val="000E060D"/>
    <w:pPr>
      <w:spacing w:after="160" w:line="240" w:lineRule="exact"/>
      <w:jc w:val="left"/>
    </w:pPr>
    <w:rPr>
      <w:rFonts w:ascii="Tahoma" w:hAnsi="Tahoma"/>
      <w:sz w:val="20"/>
      <w:lang w:val="en-US"/>
    </w:rPr>
  </w:style>
  <w:style w:type="paragraph" w:styleId="BodyText3">
    <w:name w:val="Body Text 3"/>
    <w:basedOn w:val="Normal"/>
    <w:rsid w:val="000E060D"/>
    <w:pPr>
      <w:spacing w:after="120"/>
      <w:jc w:val="left"/>
    </w:pPr>
    <w:rPr>
      <w:sz w:val="16"/>
      <w:szCs w:val="16"/>
    </w:rPr>
  </w:style>
  <w:style w:type="paragraph" w:customStyle="1" w:styleId="CharCharCharCharCharCharCharChar">
    <w:name w:val="Char Char Char Char Char Char Char Char"/>
    <w:basedOn w:val="Normal"/>
    <w:rsid w:val="000E060D"/>
    <w:pPr>
      <w:spacing w:after="160" w:line="240" w:lineRule="exact"/>
      <w:jc w:val="left"/>
    </w:pPr>
    <w:rPr>
      <w:rFonts w:ascii="Tahoma" w:hAnsi="Tahoma"/>
      <w:sz w:val="20"/>
      <w:lang w:val="en-US"/>
    </w:rPr>
  </w:style>
  <w:style w:type="paragraph" w:customStyle="1" w:styleId="INGBodyText">
    <w:name w:val="ING Body Text"/>
    <w:basedOn w:val="Normal"/>
    <w:rsid w:val="000E060D"/>
    <w:pPr>
      <w:spacing w:after="160" w:line="280" w:lineRule="exact"/>
      <w:jc w:val="both"/>
    </w:pPr>
    <w:rPr>
      <w:rFonts w:ascii="Arial" w:hAnsi="Arial"/>
      <w:color w:val="000000"/>
      <w:sz w:val="19"/>
      <w:lang w:val="en-GB"/>
    </w:rPr>
  </w:style>
  <w:style w:type="paragraph" w:customStyle="1" w:styleId="CharCharCharCharCharCharCharCharCharCharCharCharCharCharCharCharChar">
    <w:name w:val="Char Char Char Char Char Char Char Char Char Char Char Char Char Char Char Char Char"/>
    <w:basedOn w:val="Normal"/>
    <w:rsid w:val="000E060D"/>
    <w:pPr>
      <w:spacing w:after="160" w:line="240" w:lineRule="exact"/>
      <w:jc w:val="left"/>
    </w:pPr>
    <w:rPr>
      <w:rFonts w:ascii="Tahoma" w:hAnsi="Tahoma"/>
      <w:sz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0E060D"/>
    <w:pPr>
      <w:spacing w:after="160" w:line="240" w:lineRule="exact"/>
      <w:jc w:val="left"/>
    </w:pPr>
    <w:rPr>
      <w:rFonts w:ascii="Tahoma" w:hAnsi="Tahoma"/>
      <w:sz w:val="20"/>
      <w:lang w:val="en-US"/>
    </w:rPr>
  </w:style>
  <w:style w:type="character" w:styleId="PageNumber">
    <w:name w:val="page number"/>
    <w:basedOn w:val="DefaultParagraphFont"/>
    <w:rsid w:val="000E060D"/>
  </w:style>
  <w:style w:type="paragraph" w:customStyle="1" w:styleId="Char">
    <w:name w:val="Char"/>
    <w:basedOn w:val="Normal"/>
    <w:rsid w:val="000E060D"/>
    <w:pPr>
      <w:spacing w:after="160" w:line="240" w:lineRule="exact"/>
      <w:jc w:val="left"/>
    </w:pPr>
    <w:rPr>
      <w:rFonts w:ascii="Tahoma" w:hAnsi="Tahoma" w:cs="Tahoma"/>
      <w:sz w:val="20"/>
      <w:lang w:val="en-US"/>
    </w:rPr>
  </w:style>
  <w:style w:type="paragraph" w:styleId="TOC1">
    <w:name w:val="toc 1"/>
    <w:basedOn w:val="Normal"/>
    <w:next w:val="Normal"/>
    <w:autoRedefine/>
    <w:uiPriority w:val="39"/>
    <w:rsid w:val="000E060D"/>
    <w:pPr>
      <w:tabs>
        <w:tab w:val="right" w:leader="dot" w:pos="9060"/>
      </w:tabs>
      <w:spacing w:before="240" w:after="120"/>
      <w:jc w:val="left"/>
    </w:pPr>
    <w:rPr>
      <w:rFonts w:ascii="Arial Narrow" w:hAnsi="Arial Narrow"/>
      <w:b/>
      <w:bCs/>
      <w:noProof/>
      <w:szCs w:val="24"/>
    </w:rPr>
  </w:style>
  <w:style w:type="paragraph" w:styleId="TOC2">
    <w:name w:val="toc 2"/>
    <w:basedOn w:val="Normal"/>
    <w:next w:val="Normal"/>
    <w:autoRedefine/>
    <w:uiPriority w:val="39"/>
    <w:rsid w:val="000E060D"/>
    <w:pPr>
      <w:tabs>
        <w:tab w:val="right" w:leader="dot" w:pos="9060"/>
      </w:tabs>
      <w:spacing w:before="120"/>
      <w:ind w:left="240"/>
      <w:jc w:val="left"/>
    </w:pPr>
    <w:rPr>
      <w:rFonts w:ascii="Arial Narrow" w:hAnsi="Arial Narrow"/>
      <w:iCs/>
      <w:noProof/>
      <w:sz w:val="22"/>
      <w:szCs w:val="22"/>
    </w:rPr>
  </w:style>
  <w:style w:type="paragraph" w:styleId="TOC3">
    <w:name w:val="toc 3"/>
    <w:basedOn w:val="Normal"/>
    <w:next w:val="Normal"/>
    <w:autoRedefine/>
    <w:uiPriority w:val="39"/>
    <w:rsid w:val="000E060D"/>
    <w:pPr>
      <w:ind w:left="480"/>
      <w:jc w:val="left"/>
    </w:pPr>
    <w:rPr>
      <w:rFonts w:ascii="Times New Roman" w:hAnsi="Times New Roman"/>
      <w:sz w:val="20"/>
    </w:rPr>
  </w:style>
  <w:style w:type="character" w:styleId="Hyperlink">
    <w:name w:val="Hyperlink"/>
    <w:basedOn w:val="DefaultParagraphFont"/>
    <w:rsid w:val="000E060D"/>
    <w:rPr>
      <w:color w:val="0000FF"/>
      <w:u w:val="single"/>
    </w:rPr>
  </w:style>
  <w:style w:type="paragraph" w:customStyle="1" w:styleId="tlCharCharCharCharCharChar1CharCharChar">
    <w:name w:val="Štýl Char Char Char Char Char Char1 Char Char Char"/>
    <w:basedOn w:val="Normal"/>
    <w:rsid w:val="000E060D"/>
    <w:pPr>
      <w:spacing w:after="160" w:line="240" w:lineRule="exact"/>
      <w:jc w:val="left"/>
    </w:pPr>
    <w:rPr>
      <w:rFonts w:ascii="Tahoma" w:hAnsi="Tahoma" w:cs="Tahoma"/>
      <w:sz w:val="20"/>
      <w:lang w:val="en-US"/>
    </w:rPr>
  </w:style>
  <w:style w:type="paragraph" w:customStyle="1" w:styleId="CharCharCharChar">
    <w:name w:val="Char Char Char Char"/>
    <w:basedOn w:val="Normal"/>
    <w:rsid w:val="000E060D"/>
    <w:pPr>
      <w:spacing w:after="160" w:line="240" w:lineRule="exact"/>
      <w:jc w:val="left"/>
    </w:pPr>
    <w:rPr>
      <w:rFonts w:ascii="Tahoma" w:hAnsi="Tahoma" w:cs="Tahoma"/>
      <w:sz w:val="20"/>
      <w:lang w:val="en-US"/>
    </w:rPr>
  </w:style>
  <w:style w:type="paragraph" w:styleId="NormalWeb">
    <w:name w:val="Normal (Web)"/>
    <w:basedOn w:val="Normal"/>
    <w:rsid w:val="000E060D"/>
    <w:pPr>
      <w:spacing w:before="100" w:beforeAutospacing="1" w:after="100" w:afterAutospacing="1"/>
      <w:jc w:val="left"/>
    </w:pPr>
    <w:rPr>
      <w:rFonts w:ascii="Times New Roman" w:hAnsi="Times New Roman"/>
      <w:color w:val="333333"/>
      <w:szCs w:val="24"/>
    </w:rPr>
  </w:style>
  <w:style w:type="paragraph" w:customStyle="1" w:styleId="Char0">
    <w:name w:val="Char_0"/>
    <w:basedOn w:val="Normal"/>
    <w:rsid w:val="000E060D"/>
    <w:pPr>
      <w:spacing w:after="160" w:line="240" w:lineRule="exact"/>
      <w:jc w:val="left"/>
    </w:pPr>
    <w:rPr>
      <w:rFonts w:ascii="Tahoma" w:hAnsi="Tahoma" w:cs="Tahoma"/>
      <w:sz w:val="20"/>
      <w:lang w:val="en-US"/>
    </w:rPr>
  </w:style>
  <w:style w:type="paragraph" w:customStyle="1" w:styleId="CharCharCharChar1">
    <w:name w:val="Char Char Char Char1"/>
    <w:basedOn w:val="Normal"/>
    <w:rsid w:val="000E060D"/>
    <w:pPr>
      <w:spacing w:after="160" w:line="240" w:lineRule="exact"/>
      <w:jc w:val="left"/>
    </w:pPr>
    <w:rPr>
      <w:rFonts w:ascii="Tahoma" w:hAnsi="Tahoma" w:cs="Tahoma"/>
      <w:sz w:val="20"/>
      <w:lang w:val="en-US"/>
    </w:rPr>
  </w:style>
  <w:style w:type="paragraph" w:styleId="ListBullet2">
    <w:name w:val="List Bullet 2"/>
    <w:basedOn w:val="Normal"/>
    <w:autoRedefine/>
    <w:rsid w:val="000E060D"/>
    <w:pPr>
      <w:numPr>
        <w:ilvl w:val="0"/>
        <w:numId w:val="22"/>
      </w:numPr>
      <w:tabs>
        <w:tab w:val="left" w:pos="900"/>
      </w:tabs>
      <w:ind w:left="900" w:hanging="360"/>
      <w:jc w:val="left"/>
    </w:pPr>
  </w:style>
  <w:style w:type="paragraph" w:customStyle="1" w:styleId="CharCharChar2CharCharCharCharChar">
    <w:name w:val="Char Char Char2 Char Char Char Char Char"/>
    <w:basedOn w:val="Normal"/>
    <w:rsid w:val="000E060D"/>
    <w:pPr>
      <w:spacing w:after="160" w:line="240" w:lineRule="exact"/>
      <w:jc w:val="left"/>
    </w:pPr>
    <w:rPr>
      <w:rFonts w:ascii="Tahoma" w:hAnsi="Tahoma"/>
      <w:sz w:val="20"/>
      <w:lang w:val="en-US"/>
    </w:rPr>
  </w:style>
  <w:style w:type="character" w:styleId="FollowedHyperlink">
    <w:name w:val="FollowedHyperlink"/>
    <w:basedOn w:val="DefaultParagraphFont"/>
    <w:rsid w:val="000E060D"/>
    <w:rPr>
      <w:color w:val="800080"/>
      <w:u w:val="single"/>
    </w:rPr>
  </w:style>
  <w:style w:type="paragraph" w:styleId="BodyTextIndent2">
    <w:name w:val="Body Text Indent 2"/>
    <w:basedOn w:val="Normal"/>
    <w:rsid w:val="00782712"/>
    <w:pPr>
      <w:spacing w:after="120" w:line="480" w:lineRule="auto"/>
      <w:ind w:left="283"/>
      <w:jc w:val="left"/>
    </w:pPr>
    <w:rPr>
      <w:rFonts w:ascii="Times New Roman" w:hAnsi="Times New Roman"/>
      <w:szCs w:val="24"/>
    </w:rPr>
  </w:style>
  <w:style w:type="paragraph" w:styleId="BodyText2">
    <w:name w:val="Body Text 2"/>
    <w:basedOn w:val="Normal"/>
    <w:rsid w:val="00782712"/>
    <w:pPr>
      <w:spacing w:after="120" w:line="480" w:lineRule="auto"/>
      <w:jc w:val="left"/>
    </w:pPr>
    <w:rPr>
      <w:rFonts w:ascii="Times New Roman" w:hAnsi="Times New Roman"/>
      <w:szCs w:val="24"/>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82712"/>
    <w:pPr>
      <w:spacing w:after="160" w:line="240" w:lineRule="exact"/>
      <w:jc w:val="left"/>
    </w:pPr>
    <w:rPr>
      <w:rFonts w:ascii="Tahoma" w:hAnsi="Tahoma" w:cs="Tahoma"/>
      <w:sz w:val="20"/>
      <w:lang w:val="en-US"/>
    </w:rPr>
  </w:style>
  <w:style w:type="paragraph" w:customStyle="1" w:styleId="CharCharChar2CharCharCharCharCharCharCharCharCharCharChar">
    <w:name w:val="Char Char Char2 Char Char Char Char Char Char Char Char Char Char Char"/>
    <w:basedOn w:val="Normal"/>
    <w:rsid w:val="00782712"/>
    <w:pPr>
      <w:spacing w:after="160" w:line="240" w:lineRule="exact"/>
      <w:jc w:val="left"/>
    </w:pPr>
    <w:rPr>
      <w:rFonts w:ascii="Tahoma" w:hAnsi="Tahoma"/>
      <w:sz w:val="20"/>
      <w:lang w:val="en-US"/>
    </w:rPr>
  </w:style>
  <w:style w:type="table" w:styleId="TableGrid">
    <w:name w:val="Table Grid"/>
    <w:uiPriority w:val="59"/>
    <w:rsid w:val="00782712"/>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CharCharChar2CharCharCharCharCharChar">
    <w:name w:val="Char Char Char2 Char Char Char Char Char Char"/>
    <w:basedOn w:val="Normal"/>
    <w:rsid w:val="00782712"/>
    <w:pPr>
      <w:spacing w:after="160" w:line="240" w:lineRule="exact"/>
      <w:jc w:val="left"/>
    </w:pPr>
    <w:rPr>
      <w:rFonts w:ascii="Tahoma" w:hAnsi="Tahoma" w:cs="Tahoma"/>
      <w:sz w:val="20"/>
      <w:lang w:val="en-US"/>
    </w:rPr>
  </w:style>
  <w:style w:type="paragraph" w:customStyle="1" w:styleId="CharCharCharCharCharCharCharCharChar">
    <w:name w:val="Char Char Char Char Char Char Char Char Char"/>
    <w:basedOn w:val="Normal"/>
    <w:rsid w:val="00782712"/>
    <w:pPr>
      <w:spacing w:after="160" w:line="240" w:lineRule="exact"/>
      <w:jc w:val="left"/>
    </w:pPr>
    <w:rPr>
      <w:rFonts w:ascii="Tahoma" w:hAnsi="Tahoma"/>
      <w:sz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782712"/>
    <w:pPr>
      <w:spacing w:after="160" w:line="240" w:lineRule="exact"/>
      <w:jc w:val="left"/>
    </w:pPr>
    <w:rPr>
      <w:rFonts w:ascii="Tahoma" w:hAnsi="Tahoma" w:cs="Tahoma"/>
      <w:sz w:val="20"/>
      <w:lang w:val="en-US"/>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_0"/>
    <w:basedOn w:val="Normal"/>
    <w:rsid w:val="00FB3C52"/>
    <w:pPr>
      <w:spacing w:after="160" w:line="240" w:lineRule="exact"/>
      <w:jc w:val="left"/>
    </w:pPr>
    <w:rPr>
      <w:rFonts w:ascii="Tahoma" w:hAnsi="Tahoma" w:cs="Tahoma"/>
      <w:sz w:val="20"/>
      <w:lang w:val="en-US"/>
    </w:rPr>
  </w:style>
  <w:style w:type="paragraph" w:styleId="BodyTextIndent3">
    <w:name w:val="Body Text Indent 3"/>
    <w:basedOn w:val="Normal"/>
    <w:rsid w:val="00651C20"/>
    <w:pPr>
      <w:ind w:firstLine="708"/>
      <w:jc w:val="both"/>
    </w:pPr>
    <w:rPr>
      <w:rFonts w:ascii="Arial Narrow" w:hAnsi="Arial Narrow"/>
      <w:sz w:val="22"/>
      <w:szCs w:val="22"/>
    </w:rPr>
  </w:style>
  <w:style w:type="paragraph" w:customStyle="1" w:styleId="CharChar1">
    <w:name w:val="Char Char1"/>
    <w:basedOn w:val="Normal"/>
    <w:rsid w:val="006D4A4F"/>
    <w:pPr>
      <w:spacing w:after="160" w:line="240" w:lineRule="exact"/>
      <w:jc w:val="left"/>
    </w:pPr>
    <w:rPr>
      <w:rFonts w:ascii="Tahoma" w:hAnsi="Tahoma"/>
      <w:sz w:val="20"/>
    </w:rPr>
  </w:style>
  <w:style w:type="paragraph" w:customStyle="1" w:styleId="tlCharCharCharCharCharChar">
    <w:name w:val="Štýl Char Char Char Char Char Char"/>
    <w:basedOn w:val="Normal"/>
    <w:rsid w:val="006D4A4F"/>
    <w:pPr>
      <w:spacing w:after="160" w:line="240" w:lineRule="exact"/>
      <w:jc w:val="left"/>
    </w:pPr>
    <w:rPr>
      <w:rFonts w:ascii="Tahoma" w:hAnsi="Tahoma" w:cs="Tahoma"/>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image" Target="media/image2.emf" /><Relationship Id="rId8" Type="http://schemas.openxmlformats.org/officeDocument/2006/relationships/oleObject" Target="embeddings/oleObject2.bin" /><Relationship Id="rId9" Type="http://schemas.openxmlformats.org/officeDocument/2006/relationships/hyperlink" Target="http://www.antimon.gov.sk/?c=18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31978</Words>
  <Characters>182280</Characters>
  <Application>Microsoft Office Word</Application>
  <DocSecurity>0</DocSecurity>
  <Lines>0</Lines>
  <Paragraphs>0</Paragraphs>
  <ScaleCrop>false</ScaleCrop>
  <Company>MFSR</Company>
  <LinksUpToDate>false</LinksUpToDate>
  <CharactersWithSpaces>213831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MFSR</dc:creator>
  <cp:lastModifiedBy>Administrator</cp:lastModifiedBy>
  <cp:revision>2</cp:revision>
  <cp:lastPrinted>2008-10-13T06:45:00Z</cp:lastPrinted>
  <dcterms:created xsi:type="dcterms:W3CDTF">2008-10-13T11:58:00Z</dcterms:created>
  <dcterms:modified xsi:type="dcterms:W3CDTF">2008-10-13T11:58:00Z</dcterms:modified>
</cp:coreProperties>
</file>