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3945C1" w:rsidRPr="006905B5" w:rsidP="008207C5">
      <w:pPr>
        <w:spacing w:line="360" w:lineRule="auto"/>
        <w:jc w:val="center"/>
        <w:rPr>
          <w:rFonts w:ascii="Times New Roman" w:hAnsi="Times New Roman" w:cs="Times New Roman"/>
          <w:sz w:val="28"/>
          <w:szCs w:val="28"/>
        </w:rPr>
      </w:pPr>
    </w:p>
    <w:p w:rsidR="00E0464B" w:rsidRPr="006905B5" w:rsidP="008207C5">
      <w:pPr>
        <w:spacing w:line="360" w:lineRule="auto"/>
        <w:jc w:val="center"/>
        <w:rPr>
          <w:rFonts w:ascii="Times New Roman" w:hAnsi="Times New Roman" w:cs="Times New Roman"/>
          <w:sz w:val="28"/>
          <w:szCs w:val="28"/>
        </w:rPr>
      </w:pPr>
      <w:r w:rsidRPr="006905B5">
        <w:rPr>
          <w:rFonts w:ascii="Times New Roman" w:hAnsi="Times New Roman" w:cs="Times New Roman"/>
          <w:sz w:val="28"/>
          <w:szCs w:val="28"/>
        </w:rPr>
        <w:t>I.</w:t>
      </w:r>
      <w:r w:rsidRPr="006905B5" w:rsidR="00A01951">
        <w:rPr>
          <w:rFonts w:ascii="Times New Roman" w:hAnsi="Times New Roman" w:cs="Times New Roman"/>
          <w:sz w:val="28"/>
          <w:szCs w:val="28"/>
        </w:rPr>
        <w:t xml:space="preserve"> </w:t>
      </w:r>
      <w:r w:rsidRPr="006905B5">
        <w:rPr>
          <w:rFonts w:ascii="Times New Roman" w:hAnsi="Times New Roman" w:cs="Times New Roman"/>
          <w:sz w:val="28"/>
          <w:szCs w:val="28"/>
        </w:rPr>
        <w:t>AKTUÁLNY VÝVOJ V SLOVENSKOM ZDRAVOTNÍCTVE</w:t>
      </w:r>
    </w:p>
    <w:p w:rsidR="00E0464B" w:rsidRPr="006905B5" w:rsidP="00E0464B">
      <w:pPr>
        <w:spacing w:line="360" w:lineRule="auto"/>
        <w:rPr>
          <w:rFonts w:ascii="Times New Roman" w:hAnsi="Times New Roman" w:cs="Times New Roman"/>
        </w:rPr>
      </w:pPr>
    </w:p>
    <w:p w:rsidR="00FC6648"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D72D43" w:rsidRPr="006905B5" w:rsidP="00E0464B">
      <w:pPr>
        <w:spacing w:line="360" w:lineRule="auto"/>
        <w:rPr>
          <w:rFonts w:ascii="Times New Roman" w:hAnsi="Times New Roman" w:cs="Times New Roman"/>
          <w:u w:val="single"/>
        </w:rPr>
      </w:pPr>
    </w:p>
    <w:p w:rsidR="00FC6648" w:rsidRPr="006905B5" w:rsidP="00E0464B">
      <w:pPr>
        <w:spacing w:line="360" w:lineRule="auto"/>
        <w:rPr>
          <w:rFonts w:ascii="Times New Roman" w:hAnsi="Times New Roman" w:cs="Times New Roman"/>
          <w:b/>
          <w:sz w:val="28"/>
          <w:szCs w:val="28"/>
          <w:u w:val="single"/>
        </w:rPr>
      </w:pPr>
      <w:r w:rsidRPr="006905B5" w:rsidR="00117D9F">
        <w:rPr>
          <w:rFonts w:ascii="Times New Roman" w:hAnsi="Times New Roman" w:cs="Times New Roman"/>
          <w:b/>
          <w:sz w:val="28"/>
          <w:szCs w:val="28"/>
          <w:u w:val="single"/>
        </w:rPr>
        <w:t>1.</w:t>
      </w:r>
      <w:r w:rsidRPr="006905B5" w:rsidR="00030D23">
        <w:rPr>
          <w:rFonts w:ascii="Times New Roman" w:hAnsi="Times New Roman" w:cs="Times New Roman"/>
          <w:b/>
          <w:sz w:val="28"/>
          <w:szCs w:val="28"/>
          <w:u w:val="single"/>
        </w:rPr>
        <w:t xml:space="preserve">Reformná </w:t>
      </w:r>
      <w:r w:rsidRPr="006905B5" w:rsidR="00574BD8">
        <w:rPr>
          <w:rFonts w:ascii="Times New Roman" w:hAnsi="Times New Roman" w:cs="Times New Roman"/>
          <w:b/>
          <w:sz w:val="28"/>
          <w:szCs w:val="28"/>
          <w:u w:val="single"/>
        </w:rPr>
        <w:t xml:space="preserve"> legislatív</w:t>
      </w:r>
      <w:r w:rsidRPr="006905B5" w:rsidR="00030D23">
        <w:rPr>
          <w:rFonts w:ascii="Times New Roman" w:hAnsi="Times New Roman" w:cs="Times New Roman"/>
          <w:b/>
          <w:sz w:val="28"/>
          <w:szCs w:val="28"/>
          <w:u w:val="single"/>
        </w:rPr>
        <w:t>a a jej dopady na občana</w:t>
      </w:r>
    </w:p>
    <w:p w:rsidR="003945C1" w:rsidRPr="006905B5" w:rsidP="00F54331">
      <w:pPr>
        <w:spacing w:line="360" w:lineRule="auto"/>
        <w:jc w:val="both"/>
        <w:rPr>
          <w:rFonts w:ascii="Times New Roman" w:hAnsi="Times New Roman" w:cs="Times New Roman"/>
          <w:u w:val="single"/>
        </w:rPr>
      </w:pPr>
    </w:p>
    <w:p w:rsidR="00631E7A" w:rsidRPr="006905B5" w:rsidP="00F54331">
      <w:pPr>
        <w:ind w:firstLine="708"/>
        <w:jc w:val="both"/>
        <w:rPr>
          <w:rFonts w:ascii="Times New Roman" w:hAnsi="Times New Roman" w:cs="Times New Roman"/>
        </w:rPr>
      </w:pPr>
      <w:r w:rsidRPr="006905B5" w:rsidR="007D4A41">
        <w:rPr>
          <w:rFonts w:ascii="Times New Roman" w:hAnsi="Times New Roman" w:cs="Times New Roman"/>
        </w:rPr>
        <w:t>Celú reformu tvor</w:t>
      </w:r>
      <w:r w:rsidRPr="006905B5" w:rsidR="003945C1">
        <w:rPr>
          <w:rFonts w:ascii="Times New Roman" w:hAnsi="Times New Roman" w:cs="Times New Roman"/>
        </w:rPr>
        <w:t>ilo</w:t>
      </w:r>
      <w:r w:rsidRPr="006905B5" w:rsidR="009C64A0">
        <w:rPr>
          <w:rFonts w:ascii="Times New Roman" w:hAnsi="Times New Roman" w:cs="Times New Roman"/>
        </w:rPr>
        <w:t xml:space="preserve"> šesť reformných zákonov, ktoré </w:t>
      </w:r>
      <w:r w:rsidRPr="006905B5" w:rsidR="009C64A0">
        <w:rPr>
          <w:rFonts w:ascii="Times New Roman" w:hAnsi="Times New Roman" w:cs="Times New Roman"/>
          <w:bCs/>
        </w:rPr>
        <w:t xml:space="preserve">prijala </w:t>
      </w:r>
      <w:r w:rsidRPr="006905B5" w:rsidR="009C64A0">
        <w:rPr>
          <w:rFonts w:ascii="Times New Roman" w:hAnsi="Times New Roman" w:cs="Times New Roman"/>
        </w:rPr>
        <w:t>Národná rada SR v októbri 2004 (zákony nadobudli účinnosť v januári 2005)</w:t>
      </w:r>
      <w:r w:rsidRPr="006905B5">
        <w:rPr>
          <w:rFonts w:ascii="Times New Roman" w:hAnsi="Times New Roman" w:cs="Times New Roman"/>
        </w:rPr>
        <w:t>:</w:t>
      </w:r>
      <w:r w:rsidRPr="006905B5" w:rsidR="009C64A0">
        <w:rPr>
          <w:rFonts w:ascii="Times New Roman" w:hAnsi="Times New Roman" w:cs="Times New Roman"/>
        </w:rPr>
        <w:t xml:space="preserve"> </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zdravotnej starostlivosti, službách súvisiacich s poskytovaním zdravotnej starostlivosti 576/2004 Z.z.</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rozsahu zdravotnej starostlivosti uhrádzanej na základe verejného zdravotného poistenia a o úhradách za služby súvisiace s poskytovaní</w:t>
      </w:r>
      <w:r w:rsidRPr="006905B5">
        <w:rPr>
          <w:rFonts w:ascii="Times New Roman" w:hAnsi="Times New Roman" w:cs="Times New Roman"/>
        </w:rPr>
        <w:t>m zdravotnej starostlivosti 577/2004 Z.z.</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poskytovateľoch zdravotnej starostlivosti,</w:t>
      </w:r>
      <w:r w:rsidRPr="006905B5">
        <w:rPr>
          <w:rFonts w:ascii="Times New Roman" w:hAnsi="Times New Roman" w:cs="Times New Roman"/>
          <w:b/>
        </w:rPr>
        <w:t xml:space="preserve"> </w:t>
      </w:r>
      <w:r w:rsidRPr="006905B5">
        <w:rPr>
          <w:rFonts w:ascii="Times New Roman" w:hAnsi="Times New Roman" w:cs="Times New Roman"/>
        </w:rPr>
        <w:t>zdravotníckych pracovníkoch, stavovských organizáciách v zdravotníctve 578/2004 Z.z.</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záchrannej zdravotnej službe 579/2004 Z.z.</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zdravotnom poistení</w:t>
      </w:r>
      <w:r w:rsidRPr="006905B5">
        <w:rPr>
          <w:rFonts w:ascii="Times New Roman" w:hAnsi="Times New Roman" w:cs="Times New Roman"/>
        </w:rPr>
        <w:t xml:space="preserve"> 580/2004 Z.z.</w:t>
      </w:r>
    </w:p>
    <w:p w:rsidR="00631E7A" w:rsidRPr="006905B5" w:rsidP="00631E7A">
      <w:pPr>
        <w:numPr>
          <w:ilvl w:val="0"/>
          <w:numId w:val="16"/>
        </w:numPr>
        <w:tabs>
          <w:tab w:val="left" w:pos="720"/>
        </w:tabs>
        <w:rPr>
          <w:rFonts w:ascii="Times New Roman" w:hAnsi="Times New Roman" w:cs="Times New Roman"/>
        </w:rPr>
      </w:pPr>
      <w:r w:rsidRPr="006905B5">
        <w:rPr>
          <w:rFonts w:ascii="Times New Roman" w:hAnsi="Times New Roman" w:cs="Times New Roman"/>
        </w:rPr>
        <w:t>Zákon o zdravotných poisťovniach a dohľade nad zdravotnou starostlivosťou  581/2004 Z.z.</w:t>
      </w:r>
    </w:p>
    <w:p w:rsidR="00631E7A" w:rsidRPr="006905B5" w:rsidP="00F54331">
      <w:pPr>
        <w:ind w:firstLine="708"/>
        <w:jc w:val="both"/>
        <w:rPr>
          <w:rFonts w:ascii="Times New Roman" w:hAnsi="Times New Roman" w:cs="Times New Roman"/>
        </w:rPr>
      </w:pPr>
    </w:p>
    <w:p w:rsidR="008E21DC" w:rsidRPr="006905B5" w:rsidP="00F54331">
      <w:pPr>
        <w:ind w:firstLine="708"/>
        <w:jc w:val="both"/>
        <w:rPr>
          <w:rFonts w:ascii="Times New Roman" w:hAnsi="Times New Roman" w:cs="Times New Roman"/>
        </w:rPr>
      </w:pPr>
      <w:r w:rsidRPr="006905B5" w:rsidR="009C64A0">
        <w:rPr>
          <w:rFonts w:ascii="Times New Roman" w:hAnsi="Times New Roman" w:cs="Times New Roman"/>
        </w:rPr>
        <w:t xml:space="preserve">Zákony </w:t>
      </w:r>
      <w:r w:rsidRPr="006905B5" w:rsidR="009A3DFA">
        <w:rPr>
          <w:rFonts w:ascii="Times New Roman" w:hAnsi="Times New Roman" w:cs="Times New Roman"/>
        </w:rPr>
        <w:t>mali nanovo definovať</w:t>
      </w:r>
      <w:r w:rsidRPr="006905B5" w:rsidR="009C64A0">
        <w:rPr>
          <w:rFonts w:ascii="Times New Roman" w:hAnsi="Times New Roman" w:cs="Times New Roman"/>
        </w:rPr>
        <w:t xml:space="preserve"> základné funkcie zdravotníctva a spôsob jeho fungovania. </w:t>
      </w:r>
      <w:r w:rsidRPr="006905B5" w:rsidR="009A3DFA">
        <w:rPr>
          <w:rFonts w:ascii="Times New Roman" w:hAnsi="Times New Roman" w:cs="Times New Roman"/>
        </w:rPr>
        <w:t>Podľa ich autorov m</w:t>
      </w:r>
      <w:r w:rsidRPr="006905B5" w:rsidR="009C64A0">
        <w:rPr>
          <w:rFonts w:ascii="Times New Roman" w:hAnsi="Times New Roman" w:cs="Times New Roman"/>
        </w:rPr>
        <w:t>ali otvoriť cestu k zvyšovaniu zodpovednosti j</w:t>
      </w:r>
      <w:r w:rsidRPr="006905B5" w:rsidR="009C64A0">
        <w:rPr>
          <w:rFonts w:ascii="Times New Roman" w:hAnsi="Times New Roman" w:cs="Times New Roman"/>
        </w:rPr>
        <w:t xml:space="preserve">ednotlivca za svoj zdravotný stav </w:t>
      </w:r>
      <w:r w:rsidRPr="006905B5" w:rsidR="009A3DFA">
        <w:rPr>
          <w:rFonts w:ascii="Times New Roman" w:hAnsi="Times New Roman" w:cs="Times New Roman"/>
        </w:rPr>
        <w:t>prostredníctvom zvýšenia</w:t>
      </w:r>
      <w:r w:rsidRPr="006905B5" w:rsidR="009C64A0">
        <w:rPr>
          <w:rFonts w:ascii="Times New Roman" w:hAnsi="Times New Roman" w:cs="Times New Roman"/>
        </w:rPr>
        <w:t xml:space="preserve"> spoluúčasti občanov na hradení nákladov spojených so zdravotnou starostlivosťou.</w:t>
      </w:r>
      <w:r w:rsidRPr="006905B5" w:rsidR="0009727C">
        <w:rPr>
          <w:rFonts w:ascii="Times New Roman" w:hAnsi="Times New Roman" w:cs="Times New Roman"/>
        </w:rPr>
        <w:t xml:space="preserve"> </w:t>
      </w:r>
    </w:p>
    <w:p w:rsidR="00277296" w:rsidRPr="006905B5" w:rsidP="00F54331">
      <w:pPr>
        <w:ind w:firstLine="708"/>
        <w:jc w:val="both"/>
        <w:rPr>
          <w:rFonts w:ascii="Times New Roman" w:hAnsi="Times New Roman" w:cs="Times New Roman"/>
        </w:rPr>
      </w:pPr>
      <w:r w:rsidRPr="006905B5" w:rsidR="0009727C">
        <w:rPr>
          <w:rFonts w:ascii="Times New Roman" w:hAnsi="Times New Roman" w:cs="Times New Roman"/>
        </w:rPr>
        <w:t>Výsledkom snaženia reformného tímu</w:t>
      </w:r>
      <w:r w:rsidRPr="006905B5" w:rsidR="00543ABD">
        <w:rPr>
          <w:rFonts w:ascii="Times New Roman" w:hAnsi="Times New Roman" w:cs="Times New Roman"/>
        </w:rPr>
        <w:t xml:space="preserve"> je však</w:t>
      </w:r>
      <w:r w:rsidRPr="006905B5" w:rsidR="00E01CAB">
        <w:rPr>
          <w:rFonts w:ascii="Times New Roman" w:hAnsi="Times New Roman" w:cs="Times New Roman"/>
        </w:rPr>
        <w:t xml:space="preserve"> negatívny dopad</w:t>
      </w:r>
      <w:r w:rsidRPr="006905B5" w:rsidR="00FB5C54">
        <w:rPr>
          <w:rFonts w:ascii="Times New Roman" w:hAnsi="Times New Roman" w:cs="Times New Roman"/>
        </w:rPr>
        <w:t xml:space="preserve"> reformy </w:t>
      </w:r>
      <w:r w:rsidRPr="006905B5" w:rsidR="00E01CAB">
        <w:rPr>
          <w:rFonts w:ascii="Times New Roman" w:hAnsi="Times New Roman" w:cs="Times New Roman"/>
        </w:rPr>
        <w:t xml:space="preserve">na dostupnosť </w:t>
      </w:r>
      <w:r w:rsidRPr="006905B5" w:rsidR="0051641F">
        <w:rPr>
          <w:rFonts w:ascii="Times New Roman" w:hAnsi="Times New Roman" w:cs="Times New Roman"/>
        </w:rPr>
        <w:t>(</w:t>
      </w:r>
      <w:r w:rsidRPr="006905B5" w:rsidR="00C03356">
        <w:rPr>
          <w:rFonts w:ascii="Times New Roman" w:hAnsi="Times New Roman" w:cs="Times New Roman"/>
        </w:rPr>
        <w:t>napr.</w:t>
      </w:r>
      <w:r w:rsidRPr="006905B5" w:rsidR="002647DC">
        <w:rPr>
          <w:rFonts w:ascii="Times New Roman" w:hAnsi="Times New Roman" w:cs="Times New Roman"/>
        </w:rPr>
        <w:t xml:space="preserve"> </w:t>
      </w:r>
      <w:r w:rsidRPr="006905B5" w:rsidR="0051641F">
        <w:rPr>
          <w:rFonts w:ascii="Times New Roman" w:hAnsi="Times New Roman" w:cs="Times New Roman"/>
        </w:rPr>
        <w:t>v dôsledku zrušenia rajoniz</w:t>
      </w:r>
      <w:r w:rsidRPr="006905B5" w:rsidR="0051641F">
        <w:rPr>
          <w:rFonts w:ascii="Times New Roman" w:hAnsi="Times New Roman" w:cs="Times New Roman"/>
        </w:rPr>
        <w:t xml:space="preserve">ácie) </w:t>
      </w:r>
      <w:r w:rsidRPr="006905B5" w:rsidR="00DD1D3F">
        <w:rPr>
          <w:rFonts w:ascii="Times New Roman" w:hAnsi="Times New Roman" w:cs="Times New Roman"/>
        </w:rPr>
        <w:t>a rovnosť v</w:t>
      </w:r>
      <w:r w:rsidRPr="006905B5" w:rsidR="00E01CAB">
        <w:rPr>
          <w:rFonts w:ascii="Times New Roman" w:hAnsi="Times New Roman" w:cs="Times New Roman"/>
        </w:rPr>
        <w:t> prístup</w:t>
      </w:r>
      <w:r w:rsidRPr="006905B5" w:rsidR="00DD1D3F">
        <w:rPr>
          <w:rFonts w:ascii="Times New Roman" w:hAnsi="Times New Roman" w:cs="Times New Roman"/>
        </w:rPr>
        <w:t>e</w:t>
      </w:r>
      <w:r w:rsidRPr="006905B5" w:rsidR="00E01CAB">
        <w:rPr>
          <w:rFonts w:ascii="Times New Roman" w:hAnsi="Times New Roman" w:cs="Times New Roman"/>
        </w:rPr>
        <w:t xml:space="preserve"> </w:t>
      </w:r>
      <w:r w:rsidRPr="006905B5" w:rsidR="00FB5C54">
        <w:rPr>
          <w:rFonts w:ascii="Times New Roman" w:hAnsi="Times New Roman" w:cs="Times New Roman"/>
        </w:rPr>
        <w:t xml:space="preserve">k </w:t>
      </w:r>
      <w:r w:rsidRPr="006905B5" w:rsidR="00E01CAB">
        <w:rPr>
          <w:rFonts w:ascii="Times New Roman" w:hAnsi="Times New Roman" w:cs="Times New Roman"/>
        </w:rPr>
        <w:t xml:space="preserve">zdravotníckej </w:t>
      </w:r>
      <w:r w:rsidRPr="006905B5" w:rsidR="00721658">
        <w:rPr>
          <w:rFonts w:ascii="Times New Roman" w:hAnsi="Times New Roman" w:cs="Times New Roman"/>
        </w:rPr>
        <w:t xml:space="preserve">starostlivosti, </w:t>
      </w:r>
      <w:r w:rsidRPr="006905B5" w:rsidR="008A71E5">
        <w:rPr>
          <w:rFonts w:ascii="Times New Roman" w:hAnsi="Times New Roman" w:cs="Times New Roman"/>
        </w:rPr>
        <w:t xml:space="preserve">ktorý pocítili predovšetkým  tzv. sociálne zraniteľné skupiny (občania nad 60 rokov, dlhodobo chorí pacienti a pod.), </w:t>
      </w:r>
      <w:r w:rsidRPr="006905B5" w:rsidR="00721658">
        <w:rPr>
          <w:rFonts w:ascii="Times New Roman" w:hAnsi="Times New Roman" w:cs="Times New Roman"/>
        </w:rPr>
        <w:t>pretože zvýšenie</w:t>
      </w:r>
      <w:r w:rsidRPr="006905B5" w:rsidR="00E01CAB">
        <w:rPr>
          <w:rFonts w:ascii="Times New Roman" w:hAnsi="Times New Roman" w:cs="Times New Roman"/>
        </w:rPr>
        <w:t xml:space="preserve"> miery </w:t>
      </w:r>
      <w:r w:rsidRPr="006905B5" w:rsidR="008E21DC">
        <w:rPr>
          <w:rFonts w:ascii="Times New Roman" w:hAnsi="Times New Roman" w:cs="Times New Roman"/>
        </w:rPr>
        <w:t xml:space="preserve">finančnej </w:t>
      </w:r>
      <w:r w:rsidRPr="006905B5" w:rsidR="00E01CAB">
        <w:rPr>
          <w:rFonts w:ascii="Times New Roman" w:hAnsi="Times New Roman" w:cs="Times New Roman"/>
        </w:rPr>
        <w:t>spoluúčasti občana</w:t>
      </w:r>
      <w:r w:rsidRPr="006905B5" w:rsidR="00DB794F">
        <w:rPr>
          <w:rFonts w:ascii="Times New Roman" w:hAnsi="Times New Roman" w:cs="Times New Roman"/>
        </w:rPr>
        <w:t xml:space="preserve"> </w:t>
      </w:r>
      <w:r w:rsidRPr="006905B5" w:rsidR="008E21DC">
        <w:rPr>
          <w:rFonts w:ascii="Times New Roman" w:hAnsi="Times New Roman" w:cs="Times New Roman"/>
        </w:rPr>
        <w:t>na</w:t>
      </w:r>
      <w:r w:rsidRPr="006905B5" w:rsidR="005F29A5">
        <w:rPr>
          <w:rFonts w:ascii="Times New Roman" w:hAnsi="Times New Roman" w:cs="Times New Roman"/>
        </w:rPr>
        <w:t xml:space="preserve"> zdravotnej starostlivost</w:t>
      </w:r>
      <w:r w:rsidRPr="006905B5" w:rsidR="005F29A5">
        <w:rPr>
          <w:rFonts w:ascii="Times New Roman" w:hAnsi="Times New Roman" w:cs="Times New Roman"/>
        </w:rPr>
        <w:t>i</w:t>
      </w:r>
      <w:r w:rsidRPr="006905B5" w:rsidR="00ED0940">
        <w:rPr>
          <w:rFonts w:ascii="Times New Roman" w:hAnsi="Times New Roman" w:cs="Times New Roman"/>
        </w:rPr>
        <w:t xml:space="preserve"> najviac </w:t>
      </w:r>
      <w:r w:rsidRPr="006905B5" w:rsidR="00DB794F">
        <w:rPr>
          <w:rFonts w:ascii="Times New Roman" w:hAnsi="Times New Roman" w:cs="Times New Roman"/>
        </w:rPr>
        <w:t>postihlo</w:t>
      </w:r>
      <w:r w:rsidRPr="006905B5" w:rsidR="00ED0940">
        <w:rPr>
          <w:rFonts w:ascii="Times New Roman" w:hAnsi="Times New Roman" w:cs="Times New Roman"/>
        </w:rPr>
        <w:t xml:space="preserve"> práve ich.</w:t>
      </w:r>
      <w:r w:rsidRPr="006905B5" w:rsidR="0044539A">
        <w:rPr>
          <w:rFonts w:ascii="Times New Roman" w:hAnsi="Times New Roman" w:cs="Times New Roman"/>
        </w:rPr>
        <w:t xml:space="preserve">  </w:t>
      </w:r>
      <w:r w:rsidRPr="006905B5" w:rsidR="00ED0940">
        <w:rPr>
          <w:rFonts w:ascii="Times New Roman" w:hAnsi="Times New Roman" w:cs="Times New Roman"/>
        </w:rPr>
        <w:t>Tento do</w:t>
      </w:r>
      <w:r w:rsidRPr="006905B5" w:rsidR="00651795">
        <w:rPr>
          <w:rFonts w:ascii="Times New Roman" w:hAnsi="Times New Roman" w:cs="Times New Roman"/>
        </w:rPr>
        <w:t xml:space="preserve">pad na ekonomicky zraniteľné skupiny bol čiastočne zmiernený zavedením niektorých výnimiek z povinnosti platby u lekára, pričom neskôr došlo i k zavedeniu príspevku na zdravotnú starostlivosť občanom v hmotnej núdzi. </w:t>
      </w:r>
      <w:r w:rsidRPr="006905B5" w:rsidR="00651795">
        <w:rPr>
          <w:rFonts w:ascii="Times New Roman" w:hAnsi="Times New Roman" w:cs="Times New Roman"/>
        </w:rPr>
        <w:t xml:space="preserve">V domácnostiach dôchodcov aj </w:t>
      </w:r>
      <w:r w:rsidRPr="006905B5" w:rsidR="00ED5222">
        <w:rPr>
          <w:rFonts w:ascii="Times New Roman" w:hAnsi="Times New Roman" w:cs="Times New Roman"/>
        </w:rPr>
        <w:t>napriek všetkým týmto opatreniam</w:t>
      </w:r>
      <w:r w:rsidRPr="006905B5" w:rsidR="008D711C">
        <w:rPr>
          <w:rFonts w:ascii="Times New Roman" w:hAnsi="Times New Roman" w:cs="Times New Roman"/>
        </w:rPr>
        <w:t xml:space="preserve"> došlo podľa Štatistického úradu SR</w:t>
      </w:r>
      <w:r w:rsidRPr="006905B5" w:rsidR="00ED5222">
        <w:rPr>
          <w:rFonts w:ascii="Times New Roman" w:hAnsi="Times New Roman" w:cs="Times New Roman"/>
        </w:rPr>
        <w:t xml:space="preserve"> k</w:t>
      </w:r>
      <w:r w:rsidRPr="006905B5" w:rsidR="00ED0940">
        <w:rPr>
          <w:rFonts w:ascii="Times New Roman" w:hAnsi="Times New Roman" w:cs="Times New Roman"/>
        </w:rPr>
        <w:t> </w:t>
      </w:r>
      <w:r w:rsidRPr="006905B5" w:rsidR="00ED5222">
        <w:rPr>
          <w:rFonts w:ascii="Times New Roman" w:hAnsi="Times New Roman" w:cs="Times New Roman"/>
        </w:rPr>
        <w:t>výraznému</w:t>
      </w:r>
      <w:r w:rsidRPr="006905B5" w:rsidR="00ED0940">
        <w:rPr>
          <w:rFonts w:ascii="Times New Roman" w:hAnsi="Times New Roman" w:cs="Times New Roman"/>
        </w:rPr>
        <w:t xml:space="preserve">, </w:t>
      </w:r>
      <w:r w:rsidRPr="006905B5">
        <w:rPr>
          <w:rFonts w:ascii="Times New Roman" w:hAnsi="Times New Roman" w:cs="Times New Roman"/>
        </w:rPr>
        <w:t>mnoho</w:t>
      </w:r>
      <w:r w:rsidRPr="006905B5" w:rsidR="00ED0940">
        <w:rPr>
          <w:rFonts w:ascii="Times New Roman" w:hAnsi="Times New Roman" w:cs="Times New Roman"/>
        </w:rPr>
        <w:t xml:space="preserve">krát finančne nezvládnuteľnému </w:t>
      </w:r>
      <w:r w:rsidRPr="006905B5" w:rsidR="00651795">
        <w:rPr>
          <w:rFonts w:ascii="Times New Roman" w:hAnsi="Times New Roman" w:cs="Times New Roman"/>
        </w:rPr>
        <w:t xml:space="preserve"> nárastu výdavkov na zdravotnú starostlivosť</w:t>
      </w:r>
      <w:r w:rsidRPr="006905B5" w:rsidR="008D711C">
        <w:rPr>
          <w:rFonts w:ascii="Times New Roman" w:hAnsi="Times New Roman" w:cs="Times New Roman"/>
        </w:rPr>
        <w:t>.</w:t>
      </w:r>
      <w:r w:rsidRPr="006905B5" w:rsidR="00A445B1">
        <w:rPr>
          <w:rFonts w:ascii="Times New Roman" w:hAnsi="Times New Roman" w:cs="Times New Roman"/>
        </w:rPr>
        <w:t xml:space="preserve"> </w:t>
      </w:r>
    </w:p>
    <w:p w:rsidR="007829D7" w:rsidRPr="006905B5" w:rsidP="00F54331">
      <w:pPr>
        <w:ind w:firstLine="708"/>
        <w:jc w:val="both"/>
        <w:rPr>
          <w:rFonts w:ascii="Times New Roman" w:hAnsi="Times New Roman" w:cs="Times New Roman"/>
        </w:rPr>
      </w:pPr>
      <w:r w:rsidRPr="006905B5" w:rsidR="00385948">
        <w:rPr>
          <w:rFonts w:ascii="Times New Roman" w:hAnsi="Times New Roman" w:cs="Times New Roman"/>
        </w:rPr>
        <w:t>Aj keď</w:t>
      </w:r>
      <w:r w:rsidRPr="006905B5" w:rsidR="00093B19">
        <w:rPr>
          <w:rFonts w:ascii="Times New Roman" w:hAnsi="Times New Roman" w:cs="Times New Roman"/>
        </w:rPr>
        <w:t xml:space="preserve"> </w:t>
      </w:r>
      <w:r w:rsidRPr="006905B5" w:rsidR="00277296">
        <w:rPr>
          <w:rFonts w:ascii="Times New Roman" w:hAnsi="Times New Roman" w:cs="Times New Roman"/>
        </w:rPr>
        <w:t xml:space="preserve">jedným z hlavných </w:t>
      </w:r>
      <w:r w:rsidRPr="006905B5" w:rsidR="00093B19">
        <w:rPr>
          <w:rFonts w:ascii="Times New Roman" w:hAnsi="Times New Roman" w:cs="Times New Roman"/>
        </w:rPr>
        <w:t>cieľo</w:t>
      </w:r>
      <w:r w:rsidRPr="006905B5" w:rsidR="00277296">
        <w:rPr>
          <w:rFonts w:ascii="Times New Roman" w:hAnsi="Times New Roman" w:cs="Times New Roman"/>
        </w:rPr>
        <w:t>v</w:t>
      </w:r>
      <w:r w:rsidRPr="006905B5" w:rsidR="00093B19">
        <w:rPr>
          <w:rFonts w:ascii="Times New Roman" w:hAnsi="Times New Roman" w:cs="Times New Roman"/>
        </w:rPr>
        <w:t xml:space="preserve"> reformy bolo obmedziť dopyt po </w:t>
      </w:r>
      <w:r w:rsidRPr="006905B5" w:rsidR="00093B19">
        <w:rPr>
          <w:rFonts w:ascii="Times New Roman" w:hAnsi="Times New Roman" w:cs="Times New Roman"/>
        </w:rPr>
        <w:t>zdravotnej starostlivosti cestou zvýšenia nákladov, ktoré sú spojené s návštevou lekára (</w:t>
      </w:r>
      <w:r w:rsidRPr="006905B5" w:rsidR="0093219F">
        <w:rPr>
          <w:rFonts w:ascii="Times New Roman" w:hAnsi="Times New Roman" w:cs="Times New Roman"/>
        </w:rPr>
        <w:t xml:space="preserve">pozn. - </w:t>
      </w:r>
      <w:r w:rsidRPr="006905B5" w:rsidR="00093B19">
        <w:rPr>
          <w:rFonts w:ascii="Times New Roman" w:hAnsi="Times New Roman" w:cs="Times New Roman"/>
        </w:rPr>
        <w:t>poplatky mali obmedziť spotrebu najmä zo strany občanov, ktorí podľa autorov reformy pomoc lek</w:t>
      </w:r>
      <w:r w:rsidRPr="006905B5" w:rsidR="00B70349">
        <w:rPr>
          <w:rFonts w:ascii="Times New Roman" w:hAnsi="Times New Roman" w:cs="Times New Roman"/>
        </w:rPr>
        <w:t>árov v skutočnosti nepotrebujú) počet návštev ambulancií</w:t>
      </w:r>
      <w:r w:rsidRPr="006905B5" w:rsidR="009F65D4">
        <w:rPr>
          <w:rFonts w:ascii="Times New Roman" w:hAnsi="Times New Roman" w:cs="Times New Roman"/>
        </w:rPr>
        <w:t xml:space="preserve"> primárne</w:t>
      </w:r>
      <w:r w:rsidRPr="006905B5" w:rsidR="009F65D4">
        <w:rPr>
          <w:rFonts w:ascii="Times New Roman" w:hAnsi="Times New Roman" w:cs="Times New Roman"/>
        </w:rPr>
        <w:t>j ambulantnej starostlivosti a špecializovanej ambulantnej st</w:t>
      </w:r>
      <w:r w:rsidRPr="006905B5" w:rsidR="00635423">
        <w:rPr>
          <w:rFonts w:ascii="Times New Roman" w:hAnsi="Times New Roman" w:cs="Times New Roman"/>
        </w:rPr>
        <w:t>arostlivosti výrazne nepoklesol</w:t>
      </w:r>
      <w:r w:rsidR="00154183">
        <w:rPr>
          <w:rFonts w:ascii="Times New Roman" w:hAnsi="Times New Roman" w:cs="Times New Roman"/>
        </w:rPr>
        <w:t>,</w:t>
      </w:r>
      <w:r w:rsidRPr="006905B5" w:rsidR="00635423">
        <w:rPr>
          <w:rFonts w:ascii="Times New Roman" w:hAnsi="Times New Roman" w:cs="Times New Roman"/>
        </w:rPr>
        <w:t xml:space="preserve"> </w:t>
      </w:r>
      <w:r w:rsidRPr="006905B5" w:rsidR="00385948">
        <w:rPr>
          <w:rFonts w:ascii="Times New Roman" w:hAnsi="Times New Roman" w:cs="Times New Roman"/>
        </w:rPr>
        <w:t>a to ani v dôsledku toho, že</w:t>
      </w:r>
      <w:r w:rsidRPr="006905B5" w:rsidR="00635423">
        <w:rPr>
          <w:rFonts w:ascii="Times New Roman" w:hAnsi="Times New Roman" w:cs="Times New Roman"/>
        </w:rPr>
        <w:t xml:space="preserve"> za obdobie 2002 – 2006 </w:t>
      </w:r>
      <w:r w:rsidRPr="006905B5" w:rsidR="002B6D58">
        <w:rPr>
          <w:rFonts w:ascii="Times New Roman" w:hAnsi="Times New Roman" w:cs="Times New Roman"/>
        </w:rPr>
        <w:t>vzrástol počet poskytovateľov primárnej ambulantnej starostlivosti a špecializovanej ambulantnej starostlivost</w:t>
      </w:r>
      <w:r w:rsidRPr="006905B5" w:rsidR="002B6D58">
        <w:rPr>
          <w:rFonts w:ascii="Times New Roman" w:hAnsi="Times New Roman" w:cs="Times New Roman"/>
        </w:rPr>
        <w:t>i</w:t>
      </w:r>
      <w:r w:rsidRPr="006905B5" w:rsidR="00FB5C54">
        <w:rPr>
          <w:rFonts w:ascii="Times New Roman" w:hAnsi="Times New Roman" w:cs="Times New Roman"/>
        </w:rPr>
        <w:t>, čo sa malo prejaviť minimálne v poklese priemerného počtu návštev na jednu ambulanciu</w:t>
      </w:r>
      <w:r w:rsidRPr="006905B5" w:rsidR="002B6D58">
        <w:rPr>
          <w:rFonts w:ascii="Times New Roman" w:hAnsi="Times New Roman" w:cs="Times New Roman"/>
        </w:rPr>
        <w:t>.</w:t>
      </w:r>
      <w:r w:rsidRPr="006905B5" w:rsidR="000B38A2">
        <w:rPr>
          <w:rFonts w:ascii="Times New Roman" w:hAnsi="Times New Roman" w:cs="Times New Roman"/>
        </w:rPr>
        <w:t xml:space="preserve"> </w:t>
      </w:r>
    </w:p>
    <w:p w:rsidR="0051641F" w:rsidRPr="006905B5" w:rsidP="00F54331">
      <w:pPr>
        <w:ind w:firstLine="708"/>
        <w:jc w:val="both"/>
        <w:rPr>
          <w:rFonts w:ascii="Times New Roman" w:hAnsi="Times New Roman" w:cs="Times New Roman"/>
        </w:rPr>
      </w:pPr>
      <w:r w:rsidRPr="006905B5" w:rsidR="00385948">
        <w:rPr>
          <w:rFonts w:ascii="Times New Roman" w:hAnsi="Times New Roman" w:cs="Times New Roman"/>
        </w:rPr>
        <w:t>Z</w:t>
      </w:r>
      <w:r w:rsidRPr="006905B5" w:rsidR="000736A9">
        <w:rPr>
          <w:rFonts w:ascii="Times New Roman" w:hAnsi="Times New Roman" w:cs="Times New Roman"/>
        </w:rPr>
        <w:t>výšením spoluúčasti pac</w:t>
      </w:r>
      <w:r w:rsidRPr="006905B5" w:rsidR="00B70349">
        <w:rPr>
          <w:rFonts w:ascii="Times New Roman" w:hAnsi="Times New Roman" w:cs="Times New Roman"/>
        </w:rPr>
        <w:t>ienta formou vyššieho doplatku z</w:t>
      </w:r>
      <w:r w:rsidRPr="006905B5" w:rsidR="000736A9">
        <w:rPr>
          <w:rFonts w:ascii="Times New Roman" w:hAnsi="Times New Roman" w:cs="Times New Roman"/>
        </w:rPr>
        <w:t>a lieky a zdravotnícke pomôcky</w:t>
      </w:r>
      <w:r w:rsidRPr="006905B5" w:rsidR="0093219F">
        <w:rPr>
          <w:rFonts w:ascii="Times New Roman" w:hAnsi="Times New Roman" w:cs="Times New Roman"/>
        </w:rPr>
        <w:t>,</w:t>
      </w:r>
      <w:r w:rsidRPr="006905B5" w:rsidR="000736A9">
        <w:rPr>
          <w:rFonts w:ascii="Times New Roman" w:hAnsi="Times New Roman" w:cs="Times New Roman"/>
        </w:rPr>
        <w:t xml:space="preserve"> ako aj zavedením 20,- Sk poplatku za recept</w:t>
      </w:r>
      <w:r w:rsidRPr="006905B5" w:rsidR="0093219F">
        <w:rPr>
          <w:rFonts w:ascii="Times New Roman" w:hAnsi="Times New Roman" w:cs="Times New Roman"/>
        </w:rPr>
        <w:t>,</w:t>
      </w:r>
      <w:r w:rsidRPr="006905B5" w:rsidR="000736A9">
        <w:rPr>
          <w:rFonts w:ascii="Times New Roman" w:hAnsi="Times New Roman" w:cs="Times New Roman"/>
        </w:rPr>
        <w:t xml:space="preserve"> mala byť obmedzená spotreba</w:t>
      </w:r>
      <w:r w:rsidRPr="006905B5" w:rsidR="00303DEA">
        <w:rPr>
          <w:rFonts w:ascii="Times New Roman" w:hAnsi="Times New Roman" w:cs="Times New Roman"/>
        </w:rPr>
        <w:t xml:space="preserve"> liek</w:t>
      </w:r>
      <w:r w:rsidRPr="006905B5" w:rsidR="00303DEA">
        <w:rPr>
          <w:rFonts w:ascii="Times New Roman" w:hAnsi="Times New Roman" w:cs="Times New Roman"/>
        </w:rPr>
        <w:t>ov, na ktorú vynakladá</w:t>
      </w:r>
      <w:r w:rsidR="00154183">
        <w:rPr>
          <w:rFonts w:ascii="Times New Roman" w:hAnsi="Times New Roman" w:cs="Times New Roman"/>
        </w:rPr>
        <w:t>me</w:t>
      </w:r>
      <w:r w:rsidRPr="006905B5" w:rsidR="00303DEA">
        <w:rPr>
          <w:rFonts w:ascii="Times New Roman" w:hAnsi="Times New Roman" w:cs="Times New Roman"/>
        </w:rPr>
        <w:t xml:space="preserve"> približne jednu tretinu celkových zdrojov zdravotníctva.</w:t>
      </w:r>
      <w:r w:rsidRPr="006905B5">
        <w:rPr>
          <w:rFonts w:ascii="Times New Roman" w:hAnsi="Times New Roman" w:cs="Times New Roman"/>
        </w:rPr>
        <w:t xml:space="preserve"> Skutočnosť je však taká, že za rok 2005 došlo aj napriek  zavedeným opatreniam k nárastu nákladov za lieky až o 2 miliardy Sk. </w:t>
      </w:r>
      <w:r w:rsidRPr="006905B5" w:rsidR="00303DEA">
        <w:rPr>
          <w:rFonts w:ascii="Times New Roman" w:hAnsi="Times New Roman" w:cs="Times New Roman"/>
        </w:rPr>
        <w:t xml:space="preserve"> </w:t>
      </w:r>
      <w:r w:rsidRPr="006905B5">
        <w:rPr>
          <w:rFonts w:ascii="Times New Roman" w:hAnsi="Times New Roman" w:cs="Times New Roman"/>
        </w:rPr>
        <w:t xml:space="preserve">Podľa  analýzy </w:t>
      </w:r>
      <w:r w:rsidR="00154183">
        <w:rPr>
          <w:rFonts w:ascii="Times New Roman" w:hAnsi="Times New Roman" w:cs="Times New Roman"/>
        </w:rPr>
        <w:t>„</w:t>
      </w:r>
      <w:r w:rsidRPr="006905B5">
        <w:rPr>
          <w:rFonts w:ascii="Times New Roman" w:hAnsi="Times New Roman" w:cs="Times New Roman"/>
        </w:rPr>
        <w:t>Reforma zdravotníctva SR 2003-</w:t>
      </w:r>
      <w:r w:rsidRPr="006905B5">
        <w:rPr>
          <w:rFonts w:ascii="Times New Roman" w:hAnsi="Times New Roman" w:cs="Times New Roman"/>
        </w:rPr>
        <w:t>2006 (Social Impact Assessment)</w:t>
      </w:r>
      <w:r w:rsidR="00154183">
        <w:rPr>
          <w:rFonts w:ascii="Times New Roman" w:hAnsi="Times New Roman" w:cs="Times New Roman"/>
        </w:rPr>
        <w:t>“</w:t>
      </w:r>
      <w:r w:rsidRPr="006905B5">
        <w:rPr>
          <w:rFonts w:ascii="Times New Roman" w:hAnsi="Times New Roman" w:cs="Times New Roman"/>
        </w:rPr>
        <w:t xml:space="preserve"> z  júla 2006 od autora Mgr. Juraja Karpiša d</w:t>
      </w:r>
      <w:r w:rsidRPr="006905B5" w:rsidR="0088310A">
        <w:rPr>
          <w:rFonts w:ascii="Times New Roman" w:hAnsi="Times New Roman" w:cs="Times New Roman"/>
        </w:rPr>
        <w:t>oplatok pacienta za lieky</w:t>
      </w:r>
      <w:r w:rsidRPr="006905B5" w:rsidR="00AA128E">
        <w:rPr>
          <w:rFonts w:ascii="Times New Roman" w:hAnsi="Times New Roman" w:cs="Times New Roman"/>
        </w:rPr>
        <w:t xml:space="preserve"> </w:t>
      </w:r>
      <w:r w:rsidRPr="006905B5" w:rsidR="009776DC">
        <w:rPr>
          <w:rFonts w:ascii="Times New Roman" w:hAnsi="Times New Roman" w:cs="Times New Roman"/>
        </w:rPr>
        <w:t xml:space="preserve">za obdobie rokov 2002 </w:t>
      </w:r>
      <w:r w:rsidRPr="006905B5" w:rsidR="00AA128E">
        <w:rPr>
          <w:rFonts w:ascii="Times New Roman" w:hAnsi="Times New Roman" w:cs="Times New Roman"/>
        </w:rPr>
        <w:t>–</w:t>
      </w:r>
      <w:r w:rsidRPr="006905B5" w:rsidR="009776DC">
        <w:rPr>
          <w:rFonts w:ascii="Times New Roman" w:hAnsi="Times New Roman" w:cs="Times New Roman"/>
        </w:rPr>
        <w:t xml:space="preserve"> </w:t>
      </w:r>
      <w:r w:rsidRPr="006905B5" w:rsidR="00AA128E">
        <w:rPr>
          <w:rFonts w:ascii="Times New Roman" w:hAnsi="Times New Roman" w:cs="Times New Roman"/>
        </w:rPr>
        <w:t>2005 vzrástol</w:t>
      </w:r>
      <w:r w:rsidRPr="006905B5" w:rsidR="00C06EF2">
        <w:rPr>
          <w:rFonts w:ascii="Times New Roman" w:hAnsi="Times New Roman" w:cs="Times New Roman"/>
        </w:rPr>
        <w:t xml:space="preserve"> až o 70%, čo indikuje, že uskutočnené zmeny viedli k zníženiu dostupnosti l</w:t>
      </w:r>
      <w:r w:rsidRPr="006905B5" w:rsidR="00D3232F">
        <w:rPr>
          <w:rFonts w:ascii="Times New Roman" w:hAnsi="Times New Roman" w:cs="Times New Roman"/>
        </w:rPr>
        <w:t>iekov a zdravotníckych pomôcok a nie k</w:t>
      </w:r>
      <w:r w:rsidRPr="006905B5" w:rsidR="00FE6FCD">
        <w:rPr>
          <w:rFonts w:ascii="Times New Roman" w:hAnsi="Times New Roman" w:cs="Times New Roman"/>
        </w:rPr>
        <w:t xml:space="preserve"> očakávanému </w:t>
      </w:r>
      <w:r w:rsidRPr="006905B5" w:rsidR="00D3232F">
        <w:rPr>
          <w:rFonts w:ascii="Times New Roman" w:hAnsi="Times New Roman" w:cs="Times New Roman"/>
        </w:rPr>
        <w:t>zníženiu spotreby liekov</w:t>
      </w:r>
      <w:r w:rsidRPr="006905B5" w:rsidR="00392458">
        <w:rPr>
          <w:rFonts w:ascii="Times New Roman" w:hAnsi="Times New Roman" w:cs="Times New Roman"/>
        </w:rPr>
        <w:t xml:space="preserve"> a</w:t>
      </w:r>
      <w:r w:rsidRPr="006905B5" w:rsidR="00A46252">
        <w:rPr>
          <w:rFonts w:ascii="Times New Roman" w:hAnsi="Times New Roman" w:cs="Times New Roman"/>
        </w:rPr>
        <w:t xml:space="preserve"> podielu </w:t>
      </w:r>
      <w:r w:rsidRPr="006905B5" w:rsidR="00392458">
        <w:rPr>
          <w:rFonts w:ascii="Times New Roman" w:hAnsi="Times New Roman" w:cs="Times New Roman"/>
        </w:rPr>
        <w:t>výdavkov na lieky.</w:t>
      </w:r>
      <w:r w:rsidRPr="006905B5" w:rsidR="00C97DF1">
        <w:rPr>
          <w:rFonts w:ascii="Times New Roman" w:hAnsi="Times New Roman" w:cs="Times New Roman"/>
        </w:rPr>
        <w:t xml:space="preserve"> </w:t>
      </w:r>
      <w:r w:rsidRPr="006905B5">
        <w:rPr>
          <w:rFonts w:ascii="Times New Roman" w:hAnsi="Times New Roman" w:cs="Times New Roman"/>
        </w:rPr>
        <w:t>Uvedenú skutočnosť dávame do pozornosti i z toho dôvodu, že spomínanú analýzu si dal pripraviť ešte bývalý minister Rudolf Zajac</w:t>
      </w:r>
      <w:r w:rsidR="00154183">
        <w:rPr>
          <w:rFonts w:ascii="Times New Roman" w:hAnsi="Times New Roman" w:cs="Times New Roman"/>
        </w:rPr>
        <w:t>, avšak jej výsledky nezverejnil, nakoľko nezodpovedali jeho pr</w:t>
      </w:r>
      <w:r w:rsidR="00154183">
        <w:rPr>
          <w:rFonts w:ascii="Times New Roman" w:hAnsi="Times New Roman" w:cs="Times New Roman"/>
        </w:rPr>
        <w:t>edstavám</w:t>
      </w:r>
      <w:r w:rsidRPr="006905B5">
        <w:rPr>
          <w:rFonts w:ascii="Times New Roman" w:hAnsi="Times New Roman" w:cs="Times New Roman"/>
        </w:rPr>
        <w:t xml:space="preserve">. </w:t>
      </w:r>
    </w:p>
    <w:p w:rsidR="00E606A9" w:rsidRPr="006905B5" w:rsidP="00F54331">
      <w:pPr>
        <w:ind w:firstLine="708"/>
        <w:jc w:val="both"/>
        <w:rPr>
          <w:rFonts w:ascii="Times New Roman" w:hAnsi="Times New Roman" w:cs="Times New Roman"/>
        </w:rPr>
      </w:pPr>
      <w:r w:rsidRPr="006905B5" w:rsidR="00FF470A">
        <w:rPr>
          <w:rFonts w:ascii="Times New Roman" w:hAnsi="Times New Roman" w:cs="Times New Roman"/>
        </w:rPr>
        <w:t>O nedokonalosti šestice reformných zákonov svedčí aj skutočnosť, že za po</w:t>
      </w:r>
      <w:r w:rsidRPr="006905B5" w:rsidR="00D3169E">
        <w:rPr>
          <w:rFonts w:ascii="Times New Roman" w:hAnsi="Times New Roman" w:cs="Times New Roman"/>
        </w:rPr>
        <w:t>sledných 10 mesiacov registruje M</w:t>
      </w:r>
      <w:r w:rsidRPr="006905B5" w:rsidR="00BF4ED4">
        <w:rPr>
          <w:rFonts w:ascii="Times New Roman" w:hAnsi="Times New Roman" w:cs="Times New Roman"/>
        </w:rPr>
        <w:t>inisterstvo zdravotníctva</w:t>
      </w:r>
      <w:r w:rsidRPr="006905B5" w:rsidR="002647DC">
        <w:rPr>
          <w:rFonts w:ascii="Times New Roman" w:hAnsi="Times New Roman" w:cs="Times New Roman"/>
        </w:rPr>
        <w:t xml:space="preserve"> SR</w:t>
      </w:r>
      <w:r w:rsidRPr="006905B5" w:rsidR="00BF4ED4">
        <w:rPr>
          <w:rFonts w:ascii="Times New Roman" w:hAnsi="Times New Roman" w:cs="Times New Roman"/>
        </w:rPr>
        <w:t xml:space="preserve"> (ďalej len „M</w:t>
      </w:r>
      <w:r w:rsidRPr="006905B5" w:rsidR="00D3169E">
        <w:rPr>
          <w:rFonts w:ascii="Times New Roman" w:hAnsi="Times New Roman" w:cs="Times New Roman"/>
        </w:rPr>
        <w:t>Z</w:t>
      </w:r>
      <w:r w:rsidRPr="006905B5" w:rsidR="00BF4ED4">
        <w:rPr>
          <w:rFonts w:ascii="Times New Roman" w:hAnsi="Times New Roman" w:cs="Times New Roman"/>
        </w:rPr>
        <w:t>“)</w:t>
      </w:r>
      <w:r w:rsidRPr="006905B5" w:rsidR="00D3169E">
        <w:rPr>
          <w:rFonts w:ascii="Times New Roman" w:hAnsi="Times New Roman" w:cs="Times New Roman"/>
        </w:rPr>
        <w:t xml:space="preserve"> návrhy</w:t>
      </w:r>
      <w:r w:rsidRPr="006905B5" w:rsidR="00C50F74">
        <w:rPr>
          <w:rFonts w:ascii="Times New Roman" w:hAnsi="Times New Roman" w:cs="Times New Roman"/>
        </w:rPr>
        <w:t xml:space="preserve"> profesijných a stavovských organizácií</w:t>
      </w:r>
      <w:r w:rsidRPr="006905B5" w:rsidR="00307247">
        <w:rPr>
          <w:rFonts w:ascii="Times New Roman" w:hAnsi="Times New Roman" w:cs="Times New Roman"/>
        </w:rPr>
        <w:t xml:space="preserve">, ako </w:t>
      </w:r>
      <w:r w:rsidRPr="006905B5" w:rsidR="00C50F74">
        <w:rPr>
          <w:rFonts w:ascii="Times New Roman" w:hAnsi="Times New Roman" w:cs="Times New Roman"/>
        </w:rPr>
        <w:t>a</w:t>
      </w:r>
      <w:r w:rsidRPr="006905B5" w:rsidR="00307247">
        <w:rPr>
          <w:rFonts w:ascii="Times New Roman" w:hAnsi="Times New Roman" w:cs="Times New Roman"/>
        </w:rPr>
        <w:t>j</w:t>
      </w:r>
      <w:r w:rsidRPr="006905B5" w:rsidR="00C50F74">
        <w:rPr>
          <w:rFonts w:ascii="Times New Roman" w:hAnsi="Times New Roman" w:cs="Times New Roman"/>
        </w:rPr>
        <w:t xml:space="preserve"> samotných poskytovateľov zdravotnej sta</w:t>
      </w:r>
      <w:r w:rsidRPr="006905B5" w:rsidR="00C50F74">
        <w:rPr>
          <w:rFonts w:ascii="Times New Roman" w:hAnsi="Times New Roman" w:cs="Times New Roman"/>
        </w:rPr>
        <w:t xml:space="preserve">rostlivosti na 334 úprav </w:t>
      </w:r>
      <w:r w:rsidRPr="006905B5" w:rsidR="000D5EC6">
        <w:rPr>
          <w:rFonts w:ascii="Times New Roman" w:hAnsi="Times New Roman" w:cs="Times New Roman"/>
        </w:rPr>
        <w:t>týchto</w:t>
      </w:r>
      <w:r w:rsidRPr="006905B5" w:rsidR="00C50F74">
        <w:rPr>
          <w:rFonts w:ascii="Times New Roman" w:hAnsi="Times New Roman" w:cs="Times New Roman"/>
        </w:rPr>
        <w:t xml:space="preserve"> zákonov. Napr</w:t>
      </w:r>
      <w:r w:rsidRPr="006905B5" w:rsidR="005B402F">
        <w:rPr>
          <w:rFonts w:ascii="Times New Roman" w:hAnsi="Times New Roman" w:cs="Times New Roman"/>
        </w:rPr>
        <w:t xml:space="preserve">. </w:t>
      </w:r>
      <w:r w:rsidRPr="006905B5" w:rsidR="00C50F74">
        <w:rPr>
          <w:rFonts w:ascii="Times New Roman" w:hAnsi="Times New Roman" w:cs="Times New Roman"/>
        </w:rPr>
        <w:t>Slovenská lekárska komora</w:t>
      </w:r>
      <w:r w:rsidRPr="006905B5" w:rsidR="00037EEC">
        <w:rPr>
          <w:rFonts w:ascii="Times New Roman" w:hAnsi="Times New Roman" w:cs="Times New Roman"/>
        </w:rPr>
        <w:t xml:space="preserve"> listom zo dňa 6.3.2007 požiadala MZ o</w:t>
      </w:r>
      <w:r w:rsidRPr="006905B5" w:rsidR="00A70EFC">
        <w:rPr>
          <w:rFonts w:ascii="Times New Roman" w:hAnsi="Times New Roman" w:cs="Times New Roman"/>
        </w:rPr>
        <w:t> </w:t>
      </w:r>
      <w:r w:rsidRPr="006905B5" w:rsidR="00037EEC">
        <w:rPr>
          <w:rFonts w:ascii="Times New Roman" w:hAnsi="Times New Roman" w:cs="Times New Roman"/>
        </w:rPr>
        <w:t>zabezpečenie</w:t>
      </w:r>
      <w:r w:rsidRPr="006905B5" w:rsidR="00A70EFC">
        <w:rPr>
          <w:rFonts w:ascii="Times New Roman" w:hAnsi="Times New Roman" w:cs="Times New Roman"/>
        </w:rPr>
        <w:t xml:space="preserve"> 78 legislatívnych zmien, ktoré sa dotýkajú zákona č. 578/2004 Z.z. </w:t>
      </w:r>
      <w:r w:rsidRPr="006905B5" w:rsidR="00740134">
        <w:rPr>
          <w:rFonts w:ascii="Times New Roman" w:hAnsi="Times New Roman" w:cs="Times New Roman"/>
        </w:rPr>
        <w:t>o poskytovateľoch zdravotnej starostlivosti, zdravotníckych praco</w:t>
      </w:r>
      <w:r w:rsidRPr="006905B5" w:rsidR="00740134">
        <w:rPr>
          <w:rFonts w:ascii="Times New Roman" w:hAnsi="Times New Roman" w:cs="Times New Roman"/>
        </w:rPr>
        <w:t>vníkoch, stavovských organizáciách v zdravotníctve a o zmene a doplnení niektorých zákonov v znení neskorších predpisov.</w:t>
      </w:r>
    </w:p>
    <w:p w:rsidR="00E606A9" w:rsidRPr="006905B5" w:rsidP="00F54331">
      <w:pPr>
        <w:ind w:firstLine="708"/>
        <w:jc w:val="both"/>
        <w:rPr>
          <w:rFonts w:ascii="Times New Roman" w:hAnsi="Times New Roman" w:cs="Times New Roman"/>
        </w:rPr>
      </w:pPr>
    </w:p>
    <w:p w:rsidR="00C03356" w:rsidRPr="006905B5" w:rsidP="00F54331">
      <w:pPr>
        <w:ind w:firstLine="708"/>
        <w:jc w:val="both"/>
        <w:rPr>
          <w:rFonts w:ascii="Times New Roman" w:hAnsi="Times New Roman" w:cs="Times New Roman"/>
        </w:rPr>
      </w:pPr>
      <w:r w:rsidRPr="006905B5">
        <w:rPr>
          <w:rFonts w:ascii="Times New Roman" w:hAnsi="Times New Roman" w:cs="Times New Roman"/>
        </w:rPr>
        <w:t xml:space="preserve"> Niektoré z právnych noriem pripravených za predchádzajúce volebné obdobie boli už viacnásobne menené a dopĺňané tak, že v súčasnosti sú ich ďalšie legislatívne zmeny </w:t>
      </w:r>
      <w:r w:rsidRPr="006905B5" w:rsidR="00A90D04">
        <w:rPr>
          <w:rFonts w:ascii="Times New Roman" w:hAnsi="Times New Roman" w:cs="Times New Roman"/>
        </w:rPr>
        <w:t xml:space="preserve"> nepriechodné v Legislatívnej rade vlády, ktorá od MZ žiada spracovanie a predloženie </w:t>
      </w:r>
      <w:r w:rsidR="005E253C">
        <w:rPr>
          <w:rFonts w:ascii="Times New Roman" w:hAnsi="Times New Roman" w:cs="Times New Roman"/>
        </w:rPr>
        <w:t xml:space="preserve">nových </w:t>
      </w:r>
      <w:r w:rsidRPr="006905B5" w:rsidR="00A90D04">
        <w:rPr>
          <w:rFonts w:ascii="Times New Roman" w:hAnsi="Times New Roman" w:cs="Times New Roman"/>
        </w:rPr>
        <w:t>úplných znení týchto právnych noriem.</w:t>
      </w:r>
    </w:p>
    <w:p w:rsidR="00A90D04" w:rsidRPr="006905B5" w:rsidP="00F54331">
      <w:pPr>
        <w:ind w:firstLine="708"/>
        <w:jc w:val="both"/>
        <w:rPr>
          <w:rFonts w:ascii="Times New Roman" w:hAnsi="Times New Roman" w:cs="Times New Roman"/>
        </w:rPr>
      </w:pPr>
    </w:p>
    <w:p w:rsidR="000F17E2" w:rsidRPr="006905B5" w:rsidP="00D61598">
      <w:pPr>
        <w:ind w:firstLine="708"/>
        <w:jc w:val="both"/>
        <w:rPr>
          <w:rFonts w:ascii="Times New Roman" w:hAnsi="Times New Roman" w:cs="Times New Roman"/>
        </w:rPr>
      </w:pPr>
      <w:r w:rsidRPr="006905B5">
        <w:rPr>
          <w:rFonts w:ascii="Times New Roman" w:hAnsi="Times New Roman" w:cs="Times New Roman"/>
        </w:rPr>
        <w:t xml:space="preserve">Zmeny, ktoré MZ v oblasti </w:t>
      </w:r>
      <w:r w:rsidRPr="006905B5" w:rsidR="00352F0A">
        <w:rPr>
          <w:rFonts w:ascii="Times New Roman" w:hAnsi="Times New Roman" w:cs="Times New Roman"/>
        </w:rPr>
        <w:t>legislatívy</w:t>
      </w:r>
      <w:r w:rsidRPr="006905B5" w:rsidR="00C03356">
        <w:rPr>
          <w:rFonts w:ascii="Times New Roman" w:hAnsi="Times New Roman" w:cs="Times New Roman"/>
        </w:rPr>
        <w:t xml:space="preserve"> </w:t>
      </w:r>
      <w:r w:rsidRPr="006905B5" w:rsidR="00D54A25">
        <w:rPr>
          <w:rFonts w:ascii="Times New Roman" w:hAnsi="Times New Roman" w:cs="Times New Roman"/>
        </w:rPr>
        <w:t xml:space="preserve">(vydanej v predchádzajúcom volebnom období) </w:t>
      </w:r>
      <w:r w:rsidRPr="006905B5" w:rsidR="00C03356">
        <w:rPr>
          <w:rFonts w:ascii="Times New Roman" w:hAnsi="Times New Roman" w:cs="Times New Roman"/>
        </w:rPr>
        <w:t>za</w:t>
      </w:r>
      <w:r w:rsidRPr="006905B5" w:rsidR="005B402F">
        <w:rPr>
          <w:rFonts w:ascii="Times New Roman" w:hAnsi="Times New Roman" w:cs="Times New Roman"/>
        </w:rPr>
        <w:t xml:space="preserve"> </w:t>
      </w:r>
      <w:r w:rsidRPr="006905B5" w:rsidR="00C03356">
        <w:rPr>
          <w:rFonts w:ascii="Times New Roman" w:hAnsi="Times New Roman" w:cs="Times New Roman"/>
        </w:rPr>
        <w:t>10 mes</w:t>
      </w:r>
      <w:r w:rsidRPr="006905B5" w:rsidR="00C03356">
        <w:rPr>
          <w:rFonts w:ascii="Times New Roman" w:hAnsi="Times New Roman" w:cs="Times New Roman"/>
        </w:rPr>
        <w:t>iacov</w:t>
      </w:r>
      <w:r w:rsidRPr="006905B5" w:rsidR="005B402F">
        <w:rPr>
          <w:rFonts w:ascii="Times New Roman" w:hAnsi="Times New Roman" w:cs="Times New Roman"/>
        </w:rPr>
        <w:t xml:space="preserve"> </w:t>
      </w:r>
      <w:r w:rsidRPr="006905B5">
        <w:rPr>
          <w:rFonts w:ascii="Times New Roman" w:hAnsi="Times New Roman" w:cs="Times New Roman"/>
        </w:rPr>
        <w:t>uskutočnilo, podrobne uvádzame v prílohe č</w:t>
      </w:r>
      <w:r w:rsidRPr="006905B5" w:rsidR="00D61598">
        <w:rPr>
          <w:rFonts w:ascii="Times New Roman" w:hAnsi="Times New Roman" w:cs="Times New Roman"/>
        </w:rPr>
        <w:t>. 1</w:t>
      </w:r>
      <w:r w:rsidRPr="006905B5" w:rsidR="00352F0A">
        <w:rPr>
          <w:rFonts w:ascii="Times New Roman" w:hAnsi="Times New Roman" w:cs="Times New Roman"/>
        </w:rPr>
        <w:t>.</w:t>
      </w:r>
    </w:p>
    <w:p w:rsidR="00D72D43" w:rsidRPr="006905B5" w:rsidP="00F54331">
      <w:pPr>
        <w:spacing w:line="360" w:lineRule="auto"/>
        <w:jc w:val="both"/>
        <w:rPr>
          <w:rFonts w:ascii="Times New Roman" w:hAnsi="Times New Roman" w:cs="Times New Roman"/>
          <w:u w:val="single"/>
        </w:rPr>
      </w:pPr>
    </w:p>
    <w:p w:rsidR="00E0464B" w:rsidRPr="006905B5" w:rsidP="00E0464B">
      <w:pPr>
        <w:spacing w:line="360" w:lineRule="auto"/>
        <w:rPr>
          <w:rFonts w:ascii="Times New Roman" w:hAnsi="Times New Roman" w:cs="Times New Roman"/>
          <w:b/>
          <w:sz w:val="28"/>
          <w:szCs w:val="28"/>
          <w:u w:val="single"/>
        </w:rPr>
      </w:pPr>
      <w:r w:rsidRPr="006905B5" w:rsidR="00117D9F">
        <w:rPr>
          <w:rFonts w:ascii="Times New Roman" w:hAnsi="Times New Roman" w:cs="Times New Roman"/>
          <w:b/>
          <w:sz w:val="28"/>
          <w:szCs w:val="28"/>
          <w:u w:val="single"/>
        </w:rPr>
        <w:t>2.</w:t>
      </w:r>
      <w:r w:rsidRPr="006905B5" w:rsidR="002647DC">
        <w:rPr>
          <w:rFonts w:ascii="Times New Roman" w:hAnsi="Times New Roman" w:cs="Times New Roman"/>
          <w:b/>
          <w:sz w:val="28"/>
          <w:szCs w:val="28"/>
          <w:u w:val="single"/>
        </w:rPr>
        <w:t xml:space="preserve"> </w:t>
      </w:r>
      <w:r w:rsidRPr="006905B5" w:rsidR="00465212">
        <w:rPr>
          <w:rFonts w:ascii="Times New Roman" w:hAnsi="Times New Roman" w:cs="Times New Roman"/>
          <w:b/>
          <w:sz w:val="28"/>
          <w:szCs w:val="28"/>
          <w:u w:val="single"/>
        </w:rPr>
        <w:t>Oblasť zdravotného poistenia</w:t>
      </w:r>
    </w:p>
    <w:p w:rsidR="001320AC" w:rsidRPr="006905B5" w:rsidP="00E0464B">
      <w:pPr>
        <w:spacing w:line="360" w:lineRule="auto"/>
        <w:rPr>
          <w:rFonts w:ascii="Times New Roman" w:hAnsi="Times New Roman" w:cs="Times New Roman"/>
          <w:u w:val="single"/>
        </w:rPr>
      </w:pPr>
    </w:p>
    <w:p w:rsidR="005C4EFE" w:rsidRPr="006905B5" w:rsidP="0012073D">
      <w:pPr>
        <w:ind w:firstLine="708"/>
        <w:jc w:val="both"/>
        <w:rPr>
          <w:rFonts w:ascii="Times New Roman" w:hAnsi="Times New Roman" w:cs="Times New Roman"/>
        </w:rPr>
      </w:pPr>
      <w:r w:rsidRPr="006905B5" w:rsidR="007E172D">
        <w:rPr>
          <w:rFonts w:ascii="Times New Roman" w:hAnsi="Times New Roman" w:cs="Times New Roman"/>
        </w:rPr>
        <w:t>Na trhu zdravotného poistenia</w:t>
      </w:r>
      <w:r w:rsidRPr="006905B5" w:rsidR="00754766">
        <w:rPr>
          <w:rFonts w:ascii="Times New Roman" w:hAnsi="Times New Roman" w:cs="Times New Roman"/>
        </w:rPr>
        <w:t xml:space="preserve"> u nás </w:t>
      </w:r>
      <w:r w:rsidRPr="006905B5" w:rsidR="007E172D">
        <w:rPr>
          <w:rFonts w:ascii="Times New Roman" w:hAnsi="Times New Roman" w:cs="Times New Roman"/>
        </w:rPr>
        <w:t xml:space="preserve"> </w:t>
      </w:r>
      <w:r w:rsidRPr="006905B5" w:rsidR="00FA32D8">
        <w:rPr>
          <w:rFonts w:ascii="Times New Roman" w:hAnsi="Times New Roman" w:cs="Times New Roman"/>
        </w:rPr>
        <w:t>pôsobí momentálne 6 zdravotných poisťovní</w:t>
      </w:r>
      <w:r w:rsidRPr="006905B5" w:rsidR="0012073D">
        <w:rPr>
          <w:rFonts w:ascii="Times New Roman" w:hAnsi="Times New Roman" w:cs="Times New Roman"/>
        </w:rPr>
        <w:t xml:space="preserve">: Všeobecná zdravotná poisťovňa a.s., Spoločná zdravotná poisťovňa a.s., </w:t>
      </w:r>
      <w:r w:rsidRPr="006905B5" w:rsidR="006C493C">
        <w:rPr>
          <w:rFonts w:ascii="Times New Roman" w:hAnsi="Times New Roman" w:cs="Times New Roman"/>
        </w:rPr>
        <w:t xml:space="preserve">Dôvera </w:t>
      </w:r>
      <w:r w:rsidRPr="006905B5" w:rsidR="00631E7A">
        <w:rPr>
          <w:rFonts w:ascii="Times New Roman" w:hAnsi="Times New Roman" w:cs="Times New Roman"/>
        </w:rPr>
        <w:t xml:space="preserve">zdravotná poisťovňa </w:t>
      </w:r>
      <w:r w:rsidRPr="006905B5" w:rsidR="006C493C">
        <w:rPr>
          <w:rFonts w:ascii="Times New Roman" w:hAnsi="Times New Roman" w:cs="Times New Roman"/>
        </w:rPr>
        <w:t>a.s., Apollo</w:t>
      </w:r>
      <w:r w:rsidRPr="006905B5" w:rsidR="00631E7A">
        <w:rPr>
          <w:rFonts w:ascii="Times New Roman" w:hAnsi="Times New Roman" w:cs="Times New Roman"/>
        </w:rPr>
        <w:t xml:space="preserve"> zdravotná poisťovňa</w:t>
      </w:r>
      <w:r w:rsidRPr="006905B5" w:rsidR="00FB6801">
        <w:rPr>
          <w:rFonts w:ascii="Times New Roman" w:hAnsi="Times New Roman" w:cs="Times New Roman"/>
        </w:rPr>
        <w:t xml:space="preserve"> a.s.</w:t>
      </w:r>
      <w:r w:rsidRPr="006905B5" w:rsidR="00C146C1">
        <w:rPr>
          <w:rFonts w:ascii="Times New Roman" w:hAnsi="Times New Roman" w:cs="Times New Roman"/>
        </w:rPr>
        <w:t>, Union</w:t>
      </w:r>
      <w:r w:rsidRPr="006905B5" w:rsidR="00FB6801">
        <w:rPr>
          <w:rFonts w:ascii="Times New Roman" w:hAnsi="Times New Roman" w:cs="Times New Roman"/>
        </w:rPr>
        <w:t xml:space="preserve"> zdravotná poisťovňa a.s.</w:t>
      </w:r>
      <w:r w:rsidRPr="006905B5" w:rsidR="00C146C1">
        <w:rPr>
          <w:rFonts w:ascii="Times New Roman" w:hAnsi="Times New Roman" w:cs="Times New Roman"/>
        </w:rPr>
        <w:t xml:space="preserve"> a</w:t>
      </w:r>
      <w:r w:rsidRPr="006905B5" w:rsidR="00631E7A">
        <w:rPr>
          <w:rFonts w:ascii="Times New Roman" w:hAnsi="Times New Roman" w:cs="Times New Roman"/>
        </w:rPr>
        <w:t xml:space="preserve"> </w:t>
      </w:r>
      <w:r w:rsidRPr="006905B5" w:rsidR="00C146C1">
        <w:rPr>
          <w:rFonts w:ascii="Times New Roman" w:hAnsi="Times New Roman" w:cs="Times New Roman"/>
        </w:rPr>
        <w:t> Európska zdravotná poisťovňa a.s.</w:t>
      </w:r>
      <w:r w:rsidRPr="006905B5" w:rsidR="00FA32D8">
        <w:rPr>
          <w:rFonts w:ascii="Times New Roman" w:hAnsi="Times New Roman" w:cs="Times New Roman"/>
        </w:rPr>
        <w:t xml:space="preserve"> </w:t>
      </w:r>
      <w:r w:rsidRPr="006905B5" w:rsidR="00FB6801">
        <w:rPr>
          <w:rFonts w:ascii="Times New Roman" w:hAnsi="Times New Roman" w:cs="Times New Roman"/>
        </w:rPr>
        <w:t>.</w:t>
      </w:r>
    </w:p>
    <w:p w:rsidR="001E40FD" w:rsidRPr="006905B5" w:rsidP="0012073D">
      <w:pPr>
        <w:ind w:firstLine="708"/>
        <w:jc w:val="both"/>
        <w:rPr>
          <w:rFonts w:ascii="Times New Roman" w:hAnsi="Times New Roman" w:cs="Times New Roman"/>
        </w:rPr>
      </w:pPr>
      <w:r w:rsidRPr="006905B5" w:rsidR="00FA32D8">
        <w:rPr>
          <w:rFonts w:ascii="Times New Roman" w:hAnsi="Times New Roman" w:cs="Times New Roman"/>
        </w:rPr>
        <w:t xml:space="preserve">V SR existujúci solidárny systém verejného zdravotného poistenia by mal </w:t>
      </w:r>
      <w:r w:rsidRPr="006905B5" w:rsidR="004550FC">
        <w:rPr>
          <w:rFonts w:ascii="Times New Roman" w:hAnsi="Times New Roman" w:cs="Times New Roman"/>
        </w:rPr>
        <w:t xml:space="preserve">v súlade s platnou legislatívou </w:t>
      </w:r>
      <w:r w:rsidRPr="006905B5" w:rsidR="00FA32D8">
        <w:rPr>
          <w:rFonts w:ascii="Times New Roman" w:hAnsi="Times New Roman" w:cs="Times New Roman"/>
        </w:rPr>
        <w:t xml:space="preserve">garantovať </w:t>
      </w:r>
      <w:r w:rsidRPr="006905B5" w:rsidR="00950518">
        <w:rPr>
          <w:rFonts w:ascii="Times New Roman" w:hAnsi="Times New Roman" w:cs="Times New Roman"/>
        </w:rPr>
        <w:t>všetkým</w:t>
      </w:r>
      <w:r w:rsidRPr="006905B5" w:rsidR="00FA32D8">
        <w:rPr>
          <w:rFonts w:ascii="Times New Roman" w:hAnsi="Times New Roman" w:cs="Times New Roman"/>
        </w:rPr>
        <w:t xml:space="preserve"> poistencom rovn</w:t>
      </w:r>
      <w:r w:rsidRPr="006905B5" w:rsidR="00FA32D8">
        <w:rPr>
          <w:rFonts w:ascii="Times New Roman" w:hAnsi="Times New Roman" w:cs="Times New Roman"/>
        </w:rPr>
        <w:t>akú zdravotn</w:t>
      </w:r>
      <w:r w:rsidRPr="006905B5" w:rsidR="00BA379C">
        <w:rPr>
          <w:rFonts w:ascii="Times New Roman" w:hAnsi="Times New Roman" w:cs="Times New Roman"/>
        </w:rPr>
        <w:t>ú</w:t>
      </w:r>
      <w:r w:rsidRPr="006905B5" w:rsidR="00FA32D8">
        <w:rPr>
          <w:rFonts w:ascii="Times New Roman" w:hAnsi="Times New Roman" w:cs="Times New Roman"/>
        </w:rPr>
        <w:t xml:space="preserve"> </w:t>
      </w:r>
      <w:r w:rsidRPr="006905B5" w:rsidR="00950518">
        <w:rPr>
          <w:rFonts w:ascii="Times New Roman" w:hAnsi="Times New Roman" w:cs="Times New Roman"/>
        </w:rPr>
        <w:t>starostlivosť</w:t>
      </w:r>
      <w:r w:rsidRPr="006905B5" w:rsidR="00FA32D8">
        <w:rPr>
          <w:rFonts w:ascii="Times New Roman" w:hAnsi="Times New Roman" w:cs="Times New Roman"/>
        </w:rPr>
        <w:t xml:space="preserve">, čo však v našom systéme neplatí, pretože súkromné zdravotné poisťovne prostredníctvom cielených marketingových aktivít získali do svojho poistného kmeňa dokázateľne zdravšiu časť našej populácie. </w:t>
      </w:r>
      <w:r w:rsidR="005E253C">
        <w:rPr>
          <w:rFonts w:ascii="Times New Roman" w:hAnsi="Times New Roman" w:cs="Times New Roman"/>
        </w:rPr>
        <w:t>V</w:t>
      </w:r>
      <w:r w:rsidRPr="006905B5" w:rsidR="00754766">
        <w:rPr>
          <w:rFonts w:ascii="Times New Roman" w:hAnsi="Times New Roman" w:cs="Times New Roman"/>
        </w:rPr>
        <w:t>zhľadom na to, že</w:t>
      </w:r>
      <w:r w:rsidRPr="006905B5" w:rsidR="00BA379C">
        <w:rPr>
          <w:rFonts w:ascii="Times New Roman" w:hAnsi="Times New Roman" w:cs="Times New Roman"/>
        </w:rPr>
        <w:t xml:space="preserve"> štát negaran</w:t>
      </w:r>
      <w:r w:rsidRPr="006905B5" w:rsidR="00BA379C">
        <w:rPr>
          <w:rFonts w:ascii="Times New Roman" w:hAnsi="Times New Roman" w:cs="Times New Roman"/>
        </w:rPr>
        <w:t>tuje</w:t>
      </w:r>
      <w:r w:rsidRPr="006905B5" w:rsidR="00950518">
        <w:rPr>
          <w:rFonts w:ascii="Times New Roman" w:hAnsi="Times New Roman" w:cs="Times New Roman"/>
        </w:rPr>
        <w:t xml:space="preserve"> platobnú schopnosť súkromných zdravotných poisťovní, nákladovo naj</w:t>
      </w:r>
      <w:r w:rsidR="005E253C">
        <w:rPr>
          <w:rFonts w:ascii="Times New Roman" w:hAnsi="Times New Roman" w:cs="Times New Roman"/>
        </w:rPr>
        <w:t>drahš</w:t>
      </w:r>
      <w:r w:rsidRPr="006905B5" w:rsidR="00950518">
        <w:rPr>
          <w:rFonts w:ascii="Times New Roman" w:hAnsi="Times New Roman" w:cs="Times New Roman"/>
        </w:rPr>
        <w:t>í pacienti zostávajú poistení vo Všeobecnej zdravotnej poisťovni.</w:t>
      </w:r>
      <w:r w:rsidRPr="006905B5" w:rsidR="00C94410">
        <w:rPr>
          <w:rFonts w:ascii="Times New Roman" w:hAnsi="Times New Roman" w:cs="Times New Roman"/>
        </w:rPr>
        <w:t xml:space="preserve"> </w:t>
      </w:r>
    </w:p>
    <w:p w:rsidR="003B0DB7" w:rsidRPr="006905B5" w:rsidP="0012073D">
      <w:pPr>
        <w:ind w:firstLine="708"/>
        <w:jc w:val="both"/>
        <w:rPr>
          <w:rFonts w:ascii="Times New Roman" w:hAnsi="Times New Roman" w:cs="Times New Roman"/>
        </w:rPr>
      </w:pPr>
      <w:r w:rsidR="005E253C">
        <w:rPr>
          <w:rFonts w:ascii="Times New Roman" w:hAnsi="Times New Roman" w:cs="Times New Roman"/>
        </w:rPr>
        <w:t>Preto</w:t>
      </w:r>
      <w:r w:rsidRPr="006905B5" w:rsidR="00E4622E">
        <w:rPr>
          <w:rFonts w:ascii="Times New Roman" w:hAnsi="Times New Roman" w:cs="Times New Roman"/>
        </w:rPr>
        <w:t xml:space="preserve">že prerozdeľovací mechanizmus nie je správne nastavený, </w:t>
      </w:r>
      <w:r w:rsidRPr="006905B5" w:rsidR="000F3A4E">
        <w:rPr>
          <w:rFonts w:ascii="Times New Roman" w:hAnsi="Times New Roman" w:cs="Times New Roman"/>
        </w:rPr>
        <w:t>lebo nezohľadňuje skutočné náklady zdravotnej poisťovne na ekonomicky náročných pacientov</w:t>
      </w:r>
      <w:r w:rsidRPr="006905B5" w:rsidR="00CD19F5">
        <w:rPr>
          <w:rFonts w:ascii="Times New Roman" w:hAnsi="Times New Roman" w:cs="Times New Roman"/>
        </w:rPr>
        <w:t xml:space="preserve"> (je založený</w:t>
      </w:r>
      <w:r w:rsidRPr="006905B5" w:rsidR="00A90D04">
        <w:rPr>
          <w:rFonts w:ascii="Times New Roman" w:hAnsi="Times New Roman" w:cs="Times New Roman"/>
        </w:rPr>
        <w:t xml:space="preserve"> len</w:t>
      </w:r>
      <w:r w:rsidRPr="006905B5" w:rsidR="00CD19F5">
        <w:rPr>
          <w:rFonts w:ascii="Times New Roman" w:hAnsi="Times New Roman" w:cs="Times New Roman"/>
        </w:rPr>
        <w:t xml:space="preserve"> na prerozdeľovaní financií na základe veku a pohlavia poistencov)</w:t>
      </w:r>
      <w:r w:rsidRPr="006905B5" w:rsidR="00945278">
        <w:rPr>
          <w:rFonts w:ascii="Times New Roman" w:hAnsi="Times New Roman" w:cs="Times New Roman"/>
        </w:rPr>
        <w:t xml:space="preserve">, vzniká nepomer medzi </w:t>
      </w:r>
      <w:r w:rsidRPr="006905B5" w:rsidR="000171F4">
        <w:rPr>
          <w:rFonts w:ascii="Times New Roman" w:hAnsi="Times New Roman" w:cs="Times New Roman"/>
        </w:rPr>
        <w:t xml:space="preserve">nákladmi Všeobecnej zdravotnej </w:t>
      </w:r>
      <w:r w:rsidRPr="006905B5" w:rsidR="00CC7473">
        <w:rPr>
          <w:rFonts w:ascii="Times New Roman" w:hAnsi="Times New Roman" w:cs="Times New Roman"/>
        </w:rPr>
        <w:t>poisťovne a</w:t>
      </w:r>
      <w:r w:rsidRPr="006905B5" w:rsidR="00480D44">
        <w:rPr>
          <w:rFonts w:ascii="Times New Roman" w:hAnsi="Times New Roman" w:cs="Times New Roman"/>
        </w:rPr>
        <w:t xml:space="preserve"> objemom finančných prostriedkov, ktoré </w:t>
      </w:r>
      <w:r w:rsidRPr="006905B5" w:rsidR="004A7DFF">
        <w:rPr>
          <w:rFonts w:ascii="Times New Roman" w:hAnsi="Times New Roman" w:cs="Times New Roman"/>
        </w:rPr>
        <w:t xml:space="preserve">táto </w:t>
      </w:r>
      <w:r w:rsidRPr="006905B5" w:rsidR="00480D44">
        <w:rPr>
          <w:rFonts w:ascii="Times New Roman" w:hAnsi="Times New Roman" w:cs="Times New Roman"/>
        </w:rPr>
        <w:t xml:space="preserve">poisťovňa </w:t>
      </w:r>
      <w:r w:rsidRPr="006905B5" w:rsidR="004A7DFF">
        <w:rPr>
          <w:rFonts w:ascii="Times New Roman" w:hAnsi="Times New Roman" w:cs="Times New Roman"/>
        </w:rPr>
        <w:t>získa v rámci prerozdeľovacieho mechanizmu</w:t>
      </w:r>
      <w:r w:rsidRPr="006905B5" w:rsidR="004E06B9">
        <w:rPr>
          <w:rFonts w:ascii="Times New Roman" w:hAnsi="Times New Roman" w:cs="Times New Roman"/>
        </w:rPr>
        <w:t xml:space="preserve"> od iných zdravotných poisťovní.</w:t>
      </w:r>
    </w:p>
    <w:p w:rsidR="000046BE" w:rsidRPr="006905B5" w:rsidP="0012073D">
      <w:pPr>
        <w:ind w:firstLine="708"/>
        <w:jc w:val="both"/>
        <w:rPr>
          <w:rFonts w:ascii="Times New Roman" w:hAnsi="Times New Roman" w:cs="Times New Roman"/>
        </w:rPr>
      </w:pPr>
      <w:r w:rsidRPr="006905B5" w:rsidR="00A24D92">
        <w:rPr>
          <w:rFonts w:ascii="Times New Roman" w:hAnsi="Times New Roman" w:cs="Times New Roman"/>
        </w:rPr>
        <w:t>Pri</w:t>
      </w:r>
      <w:r w:rsidRPr="006905B5" w:rsidR="003B0DB7">
        <w:rPr>
          <w:rFonts w:ascii="Times New Roman" w:hAnsi="Times New Roman" w:cs="Times New Roman"/>
        </w:rPr>
        <w:t>j</w:t>
      </w:r>
      <w:r w:rsidRPr="006905B5" w:rsidR="00A24D92">
        <w:rPr>
          <w:rFonts w:ascii="Times New Roman" w:hAnsi="Times New Roman" w:cs="Times New Roman"/>
        </w:rPr>
        <w:t>atím reformných zákonov v roku 2004 nastala v </w:t>
      </w:r>
      <w:r w:rsidRPr="006905B5" w:rsidR="003F161C">
        <w:rPr>
          <w:rFonts w:ascii="Times New Roman" w:hAnsi="Times New Roman" w:cs="Times New Roman"/>
        </w:rPr>
        <w:t>súvislosti</w:t>
      </w:r>
      <w:r w:rsidRPr="006905B5" w:rsidR="00A24D92">
        <w:rPr>
          <w:rFonts w:ascii="Times New Roman" w:hAnsi="Times New Roman" w:cs="Times New Roman"/>
        </w:rPr>
        <w:t xml:space="preserve"> so zdravotným poistením systémová zmena, ktorá narušila jeden zo základných princípov verejného zdravotného poistenia – neziskovosť, čím</w:t>
      </w:r>
      <w:r w:rsidRPr="006905B5" w:rsidR="00A24D92">
        <w:rPr>
          <w:rFonts w:ascii="Times New Roman" w:hAnsi="Times New Roman" w:cs="Times New Roman"/>
        </w:rPr>
        <w:t xml:space="preserve"> sa </w:t>
      </w:r>
      <w:r w:rsidRPr="006905B5" w:rsidR="003F161C">
        <w:rPr>
          <w:rFonts w:ascii="Times New Roman" w:hAnsi="Times New Roman" w:cs="Times New Roman"/>
        </w:rPr>
        <w:t>vybrané poistné stalo majetkom súkromných poisťovní a to namiesto toho, aby tieto finančné prostriedky poisťov</w:t>
      </w:r>
      <w:r w:rsidRPr="006905B5" w:rsidR="009750C9">
        <w:rPr>
          <w:rFonts w:ascii="Times New Roman" w:hAnsi="Times New Roman" w:cs="Times New Roman"/>
        </w:rPr>
        <w:t>ne</w:t>
      </w:r>
      <w:r w:rsidRPr="006905B5" w:rsidR="003F161C">
        <w:rPr>
          <w:rFonts w:ascii="Times New Roman" w:hAnsi="Times New Roman" w:cs="Times New Roman"/>
        </w:rPr>
        <w:t xml:space="preserve"> iba spravovali za adekvátnu odmenu. </w:t>
      </w:r>
    </w:p>
    <w:p w:rsidR="00595070" w:rsidRPr="006905B5" w:rsidP="002647DC">
      <w:pPr>
        <w:ind w:firstLine="708"/>
        <w:jc w:val="both"/>
        <w:rPr>
          <w:rFonts w:ascii="Times New Roman" w:hAnsi="Times New Roman" w:cs="Times New Roman"/>
        </w:rPr>
      </w:pPr>
      <w:r w:rsidRPr="006905B5" w:rsidR="003F26BC">
        <w:rPr>
          <w:rFonts w:ascii="Times New Roman" w:hAnsi="Times New Roman" w:cs="Times New Roman"/>
        </w:rPr>
        <w:t xml:space="preserve">Cieľom tejto zmeny bolo vytvorenie </w:t>
      </w:r>
      <w:r w:rsidRPr="006905B5">
        <w:rPr>
          <w:rFonts w:ascii="Times New Roman" w:hAnsi="Times New Roman" w:cs="Times New Roman"/>
        </w:rPr>
        <w:t>takéh</w:t>
      </w:r>
      <w:r w:rsidRPr="006905B5" w:rsidR="003F26BC">
        <w:rPr>
          <w:rFonts w:ascii="Times New Roman" w:hAnsi="Times New Roman" w:cs="Times New Roman"/>
        </w:rPr>
        <w:t>o podnikateľského prostredia</w:t>
      </w:r>
      <w:r w:rsidR="005E253C">
        <w:rPr>
          <w:rFonts w:ascii="Times New Roman" w:hAnsi="Times New Roman" w:cs="Times New Roman"/>
        </w:rPr>
        <w:t>,</w:t>
      </w:r>
      <w:r w:rsidRPr="006905B5" w:rsidR="003F26BC">
        <w:rPr>
          <w:rFonts w:ascii="Times New Roman" w:hAnsi="Times New Roman" w:cs="Times New Roman"/>
        </w:rPr>
        <w:t xml:space="preserve"> </w:t>
      </w:r>
      <w:r w:rsidRPr="006905B5">
        <w:rPr>
          <w:rFonts w:ascii="Times New Roman" w:hAnsi="Times New Roman" w:cs="Times New Roman"/>
        </w:rPr>
        <w:t>aby</w:t>
      </w:r>
      <w:r w:rsidRPr="006905B5" w:rsidR="003F26BC">
        <w:rPr>
          <w:rFonts w:ascii="Times New Roman" w:hAnsi="Times New Roman" w:cs="Times New Roman"/>
        </w:rPr>
        <w:t xml:space="preserve"> </w:t>
      </w:r>
      <w:r w:rsidRPr="006905B5" w:rsidR="00592DF9">
        <w:rPr>
          <w:rFonts w:ascii="Times New Roman" w:hAnsi="Times New Roman" w:cs="Times New Roman"/>
        </w:rPr>
        <w:t xml:space="preserve">podnikateľské subjekty </w:t>
      </w:r>
      <w:r w:rsidRPr="006905B5" w:rsidR="00526625">
        <w:rPr>
          <w:rFonts w:ascii="Times New Roman" w:hAnsi="Times New Roman" w:cs="Times New Roman"/>
        </w:rPr>
        <w:t>priam</w:t>
      </w:r>
      <w:r w:rsidRPr="006905B5" w:rsidR="00526625">
        <w:rPr>
          <w:rFonts w:ascii="Times New Roman" w:hAnsi="Times New Roman" w:cs="Times New Roman"/>
        </w:rPr>
        <w:t xml:space="preserve">o alebo nepriamo </w:t>
      </w:r>
      <w:r w:rsidRPr="006905B5" w:rsidR="00592DF9">
        <w:rPr>
          <w:rFonts w:ascii="Times New Roman" w:hAnsi="Times New Roman" w:cs="Times New Roman"/>
        </w:rPr>
        <w:t>napojené</w:t>
      </w:r>
      <w:r w:rsidRPr="006905B5" w:rsidR="00526625">
        <w:rPr>
          <w:rFonts w:ascii="Times New Roman" w:hAnsi="Times New Roman" w:cs="Times New Roman"/>
        </w:rPr>
        <w:t xml:space="preserve"> </w:t>
      </w:r>
      <w:r w:rsidRPr="006905B5" w:rsidR="00592DF9">
        <w:rPr>
          <w:rFonts w:ascii="Times New Roman" w:hAnsi="Times New Roman" w:cs="Times New Roman"/>
        </w:rPr>
        <w:t>na finančné skupiny</w:t>
      </w:r>
      <w:r w:rsidRPr="006905B5" w:rsidR="00A90D04">
        <w:rPr>
          <w:rFonts w:ascii="Times New Roman" w:hAnsi="Times New Roman" w:cs="Times New Roman"/>
        </w:rPr>
        <w:t xml:space="preserve"> (napríklad Penta, J</w:t>
      </w:r>
      <w:r w:rsidRPr="006905B5" w:rsidR="00AE1046">
        <w:rPr>
          <w:rFonts w:ascii="Times New Roman" w:hAnsi="Times New Roman" w:cs="Times New Roman"/>
        </w:rPr>
        <w:t>&amp;</w:t>
      </w:r>
      <w:r w:rsidRPr="006905B5" w:rsidR="00A90D04">
        <w:rPr>
          <w:rFonts w:ascii="Times New Roman" w:hAnsi="Times New Roman" w:cs="Times New Roman"/>
        </w:rPr>
        <w:t>T</w:t>
      </w:r>
      <w:r w:rsidRPr="006905B5" w:rsidR="00AD0D64">
        <w:rPr>
          <w:rFonts w:ascii="Times New Roman" w:hAnsi="Times New Roman" w:cs="Times New Roman"/>
        </w:rPr>
        <w:t>)</w:t>
      </w:r>
      <w:r w:rsidRPr="006905B5">
        <w:rPr>
          <w:rFonts w:ascii="Times New Roman" w:hAnsi="Times New Roman" w:cs="Times New Roman"/>
        </w:rPr>
        <w:t xml:space="preserve"> profitovali zo zdrojov verejného zdravotného poistenia</w:t>
      </w:r>
      <w:r w:rsidRPr="006905B5" w:rsidR="00AD0D64">
        <w:rPr>
          <w:rFonts w:ascii="Times New Roman" w:hAnsi="Times New Roman" w:cs="Times New Roman"/>
        </w:rPr>
        <w:t xml:space="preserve">. </w:t>
      </w:r>
      <w:r w:rsidRPr="006905B5">
        <w:rPr>
          <w:rFonts w:ascii="Times New Roman" w:hAnsi="Times New Roman" w:cs="Times New Roman"/>
        </w:rPr>
        <w:t xml:space="preserve">Keďže povinnosť odvádzať príslušné čiastky poistného do systému verejného zdravotného poistenia je v SR uložená zákonom, tieto podnikateľské subjekty majú de facto zdroj príjmov garantovaný legislatívou. </w:t>
      </w:r>
    </w:p>
    <w:p w:rsidR="0018372A" w:rsidRPr="006905B5" w:rsidP="002647DC">
      <w:pPr>
        <w:ind w:firstLine="709"/>
        <w:jc w:val="both"/>
        <w:rPr>
          <w:rFonts w:ascii="Times New Roman" w:hAnsi="Times New Roman" w:cs="Times New Roman"/>
        </w:rPr>
      </w:pPr>
      <w:r w:rsidRPr="006905B5" w:rsidR="00AD0D64">
        <w:rPr>
          <w:rFonts w:ascii="Times New Roman" w:hAnsi="Times New Roman" w:cs="Times New Roman"/>
        </w:rPr>
        <w:t>Zámerom finančných skupín je</w:t>
      </w:r>
      <w:r w:rsidRPr="006905B5" w:rsidR="002267C5">
        <w:rPr>
          <w:rFonts w:ascii="Times New Roman" w:hAnsi="Times New Roman" w:cs="Times New Roman"/>
        </w:rPr>
        <w:t xml:space="preserve"> vytvoriť uzavretý finančný</w:t>
      </w:r>
      <w:r w:rsidRPr="006905B5" w:rsidR="005612D2">
        <w:rPr>
          <w:rFonts w:ascii="Times New Roman" w:hAnsi="Times New Roman" w:cs="Times New Roman"/>
        </w:rPr>
        <w:t xml:space="preserve"> </w:t>
      </w:r>
      <w:r w:rsidR="00980135">
        <w:rPr>
          <w:rFonts w:ascii="Times New Roman" w:hAnsi="Times New Roman" w:cs="Times New Roman"/>
        </w:rPr>
        <w:t>reťazec</w:t>
      </w:r>
      <w:r w:rsidRPr="006905B5" w:rsidR="005612D2">
        <w:rPr>
          <w:rFonts w:ascii="Times New Roman" w:hAnsi="Times New Roman" w:cs="Times New Roman"/>
        </w:rPr>
        <w:t xml:space="preserve"> všetkých </w:t>
      </w:r>
      <w:r w:rsidR="00980135">
        <w:rPr>
          <w:rFonts w:ascii="Times New Roman" w:hAnsi="Times New Roman" w:cs="Times New Roman"/>
        </w:rPr>
        <w:t>prvk</w:t>
      </w:r>
      <w:r w:rsidRPr="006905B5" w:rsidR="005612D2">
        <w:rPr>
          <w:rFonts w:ascii="Times New Roman" w:hAnsi="Times New Roman" w:cs="Times New Roman"/>
        </w:rPr>
        <w:t xml:space="preserve">ov v systéme, teda </w:t>
      </w:r>
      <w:r w:rsidR="00980135">
        <w:rPr>
          <w:rFonts w:ascii="Times New Roman" w:hAnsi="Times New Roman" w:cs="Times New Roman"/>
        </w:rPr>
        <w:t>vlastni</w:t>
      </w:r>
      <w:r w:rsidRPr="006905B5" w:rsidR="005612D2">
        <w:rPr>
          <w:rFonts w:ascii="Times New Roman" w:hAnsi="Times New Roman" w:cs="Times New Roman"/>
        </w:rPr>
        <w:t xml:space="preserve">ť zdravotnú poisťovňu, poskytovateľov </w:t>
      </w:r>
      <w:r w:rsidRPr="006905B5" w:rsidR="002267C5">
        <w:rPr>
          <w:rFonts w:ascii="Times New Roman" w:hAnsi="Times New Roman" w:cs="Times New Roman"/>
        </w:rPr>
        <w:t>zdravotnej</w:t>
      </w:r>
      <w:r w:rsidRPr="006905B5" w:rsidR="005612D2">
        <w:rPr>
          <w:rFonts w:ascii="Times New Roman" w:hAnsi="Times New Roman" w:cs="Times New Roman"/>
        </w:rPr>
        <w:t xml:space="preserve"> starostlivosti, distribútorov</w:t>
      </w:r>
      <w:r w:rsidRPr="006905B5" w:rsidR="00595070">
        <w:rPr>
          <w:rFonts w:ascii="Times New Roman" w:hAnsi="Times New Roman" w:cs="Times New Roman"/>
        </w:rPr>
        <w:t xml:space="preserve"> </w:t>
      </w:r>
      <w:r w:rsidRPr="006905B5" w:rsidR="00595070">
        <w:rPr>
          <w:rFonts w:ascii="Times New Roman" w:hAnsi="Times New Roman" w:cs="Times New Roman"/>
        </w:rPr>
        <w:t>liekov</w:t>
      </w:r>
      <w:r w:rsidRPr="006905B5" w:rsidR="005612D2">
        <w:rPr>
          <w:rFonts w:ascii="Times New Roman" w:hAnsi="Times New Roman" w:cs="Times New Roman"/>
        </w:rPr>
        <w:t xml:space="preserve"> </w:t>
      </w:r>
      <w:r w:rsidR="00980135">
        <w:rPr>
          <w:rFonts w:ascii="Times New Roman" w:hAnsi="Times New Roman" w:cs="Times New Roman"/>
        </w:rPr>
        <w:t>,</w:t>
      </w:r>
      <w:r w:rsidRPr="006905B5" w:rsidR="00980135">
        <w:rPr>
          <w:rFonts w:ascii="Times New Roman" w:hAnsi="Times New Roman" w:cs="Times New Roman"/>
        </w:rPr>
        <w:t xml:space="preserve"> </w:t>
      </w:r>
      <w:r w:rsidRPr="006905B5" w:rsidR="005612D2">
        <w:rPr>
          <w:rFonts w:ascii="Times New Roman" w:hAnsi="Times New Roman" w:cs="Times New Roman"/>
        </w:rPr>
        <w:t>lekárne</w:t>
      </w:r>
      <w:r w:rsidR="00980135">
        <w:rPr>
          <w:rFonts w:ascii="Times New Roman" w:hAnsi="Times New Roman" w:cs="Times New Roman"/>
        </w:rPr>
        <w:t>, zdravotné záchranné služby a riešiť finančné toky a tvorbu hospodárskeho výsledku podľa svojich potrieb</w:t>
      </w:r>
      <w:r w:rsidRPr="006905B5" w:rsidR="005612D2">
        <w:rPr>
          <w:rFonts w:ascii="Times New Roman" w:hAnsi="Times New Roman" w:cs="Times New Roman"/>
        </w:rPr>
        <w:t xml:space="preserve">. </w:t>
      </w:r>
    </w:p>
    <w:p w:rsidR="003F26BC" w:rsidRPr="006905B5" w:rsidP="002647DC">
      <w:pPr>
        <w:ind w:firstLine="708"/>
        <w:jc w:val="both"/>
        <w:rPr>
          <w:rFonts w:ascii="Times New Roman" w:hAnsi="Times New Roman" w:cs="Times New Roman"/>
        </w:rPr>
      </w:pPr>
      <w:r w:rsidRPr="006905B5" w:rsidR="00B95924">
        <w:rPr>
          <w:rFonts w:ascii="Times New Roman" w:hAnsi="Times New Roman" w:cs="Times New Roman"/>
        </w:rPr>
        <w:t>Výsledkom je zisk zdravotný</w:t>
      </w:r>
      <w:r w:rsidRPr="006905B5" w:rsidR="002267C5">
        <w:rPr>
          <w:rFonts w:ascii="Times New Roman" w:hAnsi="Times New Roman" w:cs="Times New Roman"/>
        </w:rPr>
        <w:t xml:space="preserve">ch poisťovní, ktorý po zdanení </w:t>
      </w:r>
      <w:r w:rsidRPr="006905B5" w:rsidR="00595070">
        <w:rPr>
          <w:rFonts w:ascii="Times New Roman" w:hAnsi="Times New Roman" w:cs="Times New Roman"/>
        </w:rPr>
        <w:t xml:space="preserve">za rok 2006 </w:t>
      </w:r>
      <w:r w:rsidRPr="006905B5" w:rsidR="00B95924">
        <w:rPr>
          <w:rFonts w:ascii="Times New Roman" w:hAnsi="Times New Roman" w:cs="Times New Roman"/>
        </w:rPr>
        <w:t>p</w:t>
      </w:r>
      <w:r w:rsidRPr="006905B5" w:rsidR="002267C5">
        <w:rPr>
          <w:rFonts w:ascii="Times New Roman" w:hAnsi="Times New Roman" w:cs="Times New Roman"/>
        </w:rPr>
        <w:t>redstavuje 1,92 miliardy Sk, pričom reálne ide o odčerpanie 2</w:t>
      </w:r>
      <w:r w:rsidRPr="006905B5" w:rsidR="00595070">
        <w:rPr>
          <w:rFonts w:ascii="Times New Roman" w:hAnsi="Times New Roman" w:cs="Times New Roman"/>
        </w:rPr>
        <w:t>,</w:t>
      </w:r>
      <w:r w:rsidRPr="006905B5" w:rsidR="002267C5">
        <w:rPr>
          <w:rFonts w:ascii="Times New Roman" w:hAnsi="Times New Roman" w:cs="Times New Roman"/>
        </w:rPr>
        <w:t>3 miliardy Sk z prostriedkov v</w:t>
      </w:r>
      <w:r w:rsidRPr="006905B5" w:rsidR="00311BC1">
        <w:rPr>
          <w:rFonts w:ascii="Times New Roman" w:hAnsi="Times New Roman" w:cs="Times New Roman"/>
        </w:rPr>
        <w:t xml:space="preserve">erejného zdravotného poistenia. </w:t>
      </w:r>
      <w:r w:rsidRPr="006905B5" w:rsidR="00275D10">
        <w:rPr>
          <w:rFonts w:ascii="Times New Roman" w:hAnsi="Times New Roman" w:cs="Times New Roman"/>
        </w:rPr>
        <w:t xml:space="preserve">Tieto finančné prostriedky, ktoré </w:t>
      </w:r>
      <w:r w:rsidRPr="006905B5" w:rsidR="00805204">
        <w:rPr>
          <w:rFonts w:ascii="Times New Roman" w:hAnsi="Times New Roman" w:cs="Times New Roman"/>
        </w:rPr>
        <w:t xml:space="preserve">zdravotnícke zariadenia </w:t>
      </w:r>
      <w:r w:rsidRPr="006905B5" w:rsidR="006A3C44">
        <w:rPr>
          <w:rFonts w:ascii="Times New Roman" w:hAnsi="Times New Roman" w:cs="Times New Roman"/>
        </w:rPr>
        <w:t>nevyhnutne potrebujú na svoju činnosť sa</w:t>
      </w:r>
      <w:r w:rsidRPr="006905B5" w:rsidR="00B657B7">
        <w:rPr>
          <w:rFonts w:ascii="Times New Roman" w:hAnsi="Times New Roman" w:cs="Times New Roman"/>
        </w:rPr>
        <w:t xml:space="preserve"> bezdôvodne kumulujú n</w:t>
      </w:r>
      <w:r w:rsidRPr="006905B5" w:rsidR="00043F33">
        <w:rPr>
          <w:rFonts w:ascii="Times New Roman" w:hAnsi="Times New Roman" w:cs="Times New Roman"/>
        </w:rPr>
        <w:t>a účtoch zdravotných poisťovní bez toho, aby štát mal na ne akýkoľvek dos</w:t>
      </w:r>
      <w:r w:rsidRPr="006905B5" w:rsidR="00043F33">
        <w:rPr>
          <w:rFonts w:ascii="Times New Roman" w:hAnsi="Times New Roman" w:cs="Times New Roman"/>
        </w:rPr>
        <w:t xml:space="preserve">ah. </w:t>
      </w:r>
    </w:p>
    <w:p w:rsidR="00B2482C" w:rsidRPr="006905B5" w:rsidP="002647DC">
      <w:pPr>
        <w:jc w:val="both"/>
        <w:rPr>
          <w:rFonts w:ascii="Times New Roman" w:hAnsi="Times New Roman" w:cs="Times New Roman"/>
        </w:rPr>
      </w:pPr>
      <w:r w:rsidRPr="006905B5" w:rsidR="0083796F">
        <w:rPr>
          <w:rFonts w:ascii="Times New Roman" w:hAnsi="Times New Roman" w:cs="Times New Roman"/>
        </w:rPr>
        <w:tab/>
        <w:t>Pokiaľ ide o súkromné zdravotné poisťovne, tie</w:t>
      </w:r>
      <w:r w:rsidRPr="006905B5" w:rsidR="0081440E">
        <w:rPr>
          <w:rFonts w:ascii="Times New Roman" w:hAnsi="Times New Roman" w:cs="Times New Roman"/>
        </w:rPr>
        <w:t xml:space="preserve"> vytvorili za rok 2006 zisk vo výške </w:t>
      </w:r>
      <w:r w:rsidRPr="006905B5" w:rsidR="00A607B4">
        <w:rPr>
          <w:rFonts w:ascii="Times New Roman" w:hAnsi="Times New Roman" w:cs="Times New Roman"/>
        </w:rPr>
        <w:t>1,5</w:t>
      </w:r>
      <w:r w:rsidR="0014635F">
        <w:rPr>
          <w:rFonts w:ascii="Times New Roman" w:hAnsi="Times New Roman" w:cs="Times New Roman"/>
        </w:rPr>
        <w:t>4</w:t>
      </w:r>
      <w:r w:rsidRPr="006905B5" w:rsidR="00A607B4">
        <w:rPr>
          <w:rFonts w:ascii="Times New Roman" w:hAnsi="Times New Roman" w:cs="Times New Roman"/>
        </w:rPr>
        <w:t xml:space="preserve"> miliardy </w:t>
      </w:r>
      <w:r w:rsidRPr="006905B5" w:rsidR="001A7EFF">
        <w:rPr>
          <w:rFonts w:ascii="Times New Roman" w:hAnsi="Times New Roman" w:cs="Times New Roman"/>
        </w:rPr>
        <w:t xml:space="preserve"> Sk</w:t>
      </w:r>
      <w:r w:rsidRPr="006905B5" w:rsidR="00595070">
        <w:rPr>
          <w:rFonts w:ascii="Times New Roman" w:hAnsi="Times New Roman" w:cs="Times New Roman"/>
        </w:rPr>
        <w:t xml:space="preserve"> a to aj napriek vysokému čerpaniu správneho fondu.</w:t>
      </w:r>
      <w:r w:rsidRPr="006905B5" w:rsidR="0056686F">
        <w:rPr>
          <w:rFonts w:ascii="Times New Roman" w:hAnsi="Times New Roman" w:cs="Times New Roman"/>
        </w:rPr>
        <w:t xml:space="preserve"> Štátne poisťovne vytvorili za rovnaké obdobie zisk vo výške </w:t>
      </w:r>
      <w:r w:rsidRPr="006905B5" w:rsidR="0083796F">
        <w:rPr>
          <w:rFonts w:ascii="Times New Roman" w:hAnsi="Times New Roman" w:cs="Times New Roman"/>
        </w:rPr>
        <w:t>3</w:t>
      </w:r>
      <w:r w:rsidR="0014635F">
        <w:rPr>
          <w:rFonts w:ascii="Times New Roman" w:hAnsi="Times New Roman" w:cs="Times New Roman"/>
        </w:rPr>
        <w:t>7</w:t>
      </w:r>
      <w:r w:rsidRPr="006905B5" w:rsidR="0083796F">
        <w:rPr>
          <w:rFonts w:ascii="Times New Roman" w:hAnsi="Times New Roman" w:cs="Times New Roman"/>
        </w:rPr>
        <w:t>5,</w:t>
      </w:r>
      <w:r w:rsidR="0014635F">
        <w:rPr>
          <w:rFonts w:ascii="Times New Roman" w:hAnsi="Times New Roman" w:cs="Times New Roman"/>
        </w:rPr>
        <w:t>9</w:t>
      </w:r>
      <w:r w:rsidRPr="006905B5" w:rsidR="0083796F">
        <w:rPr>
          <w:rFonts w:ascii="Times New Roman" w:hAnsi="Times New Roman" w:cs="Times New Roman"/>
        </w:rPr>
        <w:t xml:space="preserve"> miliónov Sk</w:t>
      </w:r>
      <w:r w:rsidRPr="006905B5" w:rsidR="0056686F">
        <w:rPr>
          <w:rFonts w:ascii="Times New Roman" w:hAnsi="Times New Roman" w:cs="Times New Roman"/>
        </w:rPr>
        <w:t>.</w:t>
      </w:r>
      <w:r w:rsidRPr="006905B5" w:rsidR="002D7FBE">
        <w:rPr>
          <w:rFonts w:ascii="Times New Roman" w:hAnsi="Times New Roman" w:cs="Times New Roman"/>
        </w:rPr>
        <w:t xml:space="preserve"> Súkromné z</w:t>
      </w:r>
      <w:r w:rsidRPr="006905B5" w:rsidR="005C2EB4">
        <w:rPr>
          <w:rFonts w:ascii="Times New Roman" w:hAnsi="Times New Roman" w:cs="Times New Roman"/>
        </w:rPr>
        <w:t>dravotné poisťov</w:t>
      </w:r>
      <w:r w:rsidRPr="006905B5" w:rsidR="005F00F1">
        <w:rPr>
          <w:rFonts w:ascii="Times New Roman" w:hAnsi="Times New Roman" w:cs="Times New Roman"/>
        </w:rPr>
        <w:t>ne zisk môžu</w:t>
      </w:r>
      <w:r w:rsidRPr="006905B5" w:rsidR="005C2EB4">
        <w:rPr>
          <w:rFonts w:ascii="Times New Roman" w:hAnsi="Times New Roman" w:cs="Times New Roman"/>
        </w:rPr>
        <w:t xml:space="preserve"> po</w:t>
      </w:r>
      <w:r w:rsidRPr="006905B5" w:rsidR="00B40731">
        <w:rPr>
          <w:rFonts w:ascii="Times New Roman" w:hAnsi="Times New Roman" w:cs="Times New Roman"/>
        </w:rPr>
        <w:t>užiť na rôzne účely, to znamená aj mimo rezortu zdravotníctva, oproti tomu štátne poisťovne svoj zisk použijú na nákup zdravotnej starostlivosti, pretože túto skutočnosť</w:t>
      </w:r>
      <w:r w:rsidRPr="006905B5" w:rsidR="00B16662">
        <w:rPr>
          <w:rFonts w:ascii="Times New Roman" w:hAnsi="Times New Roman" w:cs="Times New Roman"/>
        </w:rPr>
        <w:t xml:space="preserve"> dokáže ministerstvo poistencom garantovať. </w:t>
      </w:r>
    </w:p>
    <w:p w:rsidR="0083796F" w:rsidRPr="006905B5" w:rsidP="002647DC">
      <w:pPr>
        <w:ind w:firstLine="708"/>
        <w:jc w:val="both"/>
        <w:rPr>
          <w:rFonts w:ascii="Times New Roman" w:hAnsi="Times New Roman" w:cs="Times New Roman"/>
        </w:rPr>
      </w:pPr>
      <w:r w:rsidRPr="006905B5" w:rsidR="005C142D">
        <w:rPr>
          <w:rFonts w:ascii="Times New Roman" w:hAnsi="Times New Roman" w:cs="Times New Roman"/>
        </w:rPr>
        <w:t>Podľa platnej legisl</w:t>
      </w:r>
      <w:r w:rsidRPr="006905B5" w:rsidR="005C142D">
        <w:rPr>
          <w:rFonts w:ascii="Times New Roman" w:hAnsi="Times New Roman" w:cs="Times New Roman"/>
        </w:rPr>
        <w:t>atívy,</w:t>
      </w:r>
      <w:r w:rsidRPr="006905B5" w:rsidR="00B2482C">
        <w:rPr>
          <w:rFonts w:ascii="Times New Roman" w:hAnsi="Times New Roman" w:cs="Times New Roman"/>
        </w:rPr>
        <w:t xml:space="preserve"> prostriedky z v</w:t>
      </w:r>
      <w:r w:rsidRPr="006905B5" w:rsidR="005C142D">
        <w:rPr>
          <w:rFonts w:ascii="Times New Roman" w:hAnsi="Times New Roman" w:cs="Times New Roman"/>
        </w:rPr>
        <w:t>erejného zdravotného poistenia</w:t>
      </w:r>
      <w:r w:rsidRPr="006905B5" w:rsidR="00B2482C">
        <w:rPr>
          <w:rFonts w:ascii="Times New Roman" w:hAnsi="Times New Roman" w:cs="Times New Roman"/>
        </w:rPr>
        <w:t xml:space="preserve"> majú byť použité na nákup zdravotnej starostlivosti. Keďže štátne zdravotné poisťovne sa riadili ustanovením tohto zákona, </w:t>
      </w:r>
      <w:r w:rsidRPr="006905B5" w:rsidR="00CD7791">
        <w:rPr>
          <w:rFonts w:ascii="Times New Roman" w:hAnsi="Times New Roman" w:cs="Times New Roman"/>
        </w:rPr>
        <w:t xml:space="preserve">zákonite </w:t>
      </w:r>
      <w:r w:rsidRPr="006905B5" w:rsidR="00B2482C">
        <w:rPr>
          <w:rFonts w:ascii="Times New Roman" w:hAnsi="Times New Roman" w:cs="Times New Roman"/>
        </w:rPr>
        <w:t xml:space="preserve">nemohli vytvoriť také vysoké zisky ako súkromné zdravotné poisťovne. </w:t>
      </w:r>
    </w:p>
    <w:p w:rsidR="001923B1" w:rsidRPr="006905B5" w:rsidP="002647DC">
      <w:pPr>
        <w:ind w:firstLine="708"/>
        <w:jc w:val="both"/>
        <w:rPr>
          <w:rFonts w:ascii="Times New Roman" w:hAnsi="Times New Roman" w:cs="Times New Roman"/>
        </w:rPr>
      </w:pPr>
      <w:r w:rsidRPr="006905B5" w:rsidR="00063426">
        <w:rPr>
          <w:rFonts w:ascii="Times New Roman" w:hAnsi="Times New Roman" w:cs="Times New Roman"/>
        </w:rPr>
        <w:t>R</w:t>
      </w:r>
      <w:r w:rsidRPr="006905B5" w:rsidR="00063426">
        <w:rPr>
          <w:rFonts w:ascii="Times New Roman" w:hAnsi="Times New Roman" w:cs="Times New Roman"/>
        </w:rPr>
        <w:t>ovnaká filozofia sa prejavila aj</w:t>
      </w:r>
      <w:r w:rsidRPr="006905B5" w:rsidR="007D0ED5">
        <w:rPr>
          <w:rFonts w:ascii="Times New Roman" w:hAnsi="Times New Roman" w:cs="Times New Roman"/>
        </w:rPr>
        <w:t xml:space="preserve"> pri čerpaní finančných prostriedkov na prevádzkovú činnosť zdravotných poisťovní. </w:t>
      </w:r>
      <w:r w:rsidRPr="006905B5">
        <w:rPr>
          <w:rFonts w:ascii="Times New Roman" w:hAnsi="Times New Roman" w:cs="Times New Roman"/>
        </w:rPr>
        <w:t xml:space="preserve">Tým, že súkromné poisťovne </w:t>
      </w:r>
      <w:r w:rsidRPr="006905B5" w:rsidR="002D22DD">
        <w:rPr>
          <w:rFonts w:ascii="Times New Roman" w:hAnsi="Times New Roman" w:cs="Times New Roman"/>
        </w:rPr>
        <w:t xml:space="preserve">na tento účel </w:t>
      </w:r>
      <w:r w:rsidRPr="006905B5">
        <w:rPr>
          <w:rFonts w:ascii="Times New Roman" w:hAnsi="Times New Roman" w:cs="Times New Roman"/>
        </w:rPr>
        <w:t>čerpali neúmerne veľa finan</w:t>
      </w:r>
      <w:r w:rsidRPr="006905B5" w:rsidR="00303805">
        <w:rPr>
          <w:rFonts w:ascii="Times New Roman" w:hAnsi="Times New Roman" w:cs="Times New Roman"/>
        </w:rPr>
        <w:t xml:space="preserve">cií, doslova premrhali peniaze </w:t>
      </w:r>
      <w:r w:rsidRPr="006905B5">
        <w:rPr>
          <w:rFonts w:ascii="Times New Roman" w:hAnsi="Times New Roman" w:cs="Times New Roman"/>
        </w:rPr>
        <w:t xml:space="preserve">poistencov na vlastnú réžiu, hoci </w:t>
      </w:r>
      <w:r w:rsidRPr="006905B5" w:rsidR="002D22DD">
        <w:rPr>
          <w:rFonts w:ascii="Times New Roman" w:hAnsi="Times New Roman" w:cs="Times New Roman"/>
        </w:rPr>
        <w:t xml:space="preserve">tie </w:t>
      </w:r>
      <w:r w:rsidRPr="006905B5">
        <w:rPr>
          <w:rFonts w:ascii="Times New Roman" w:hAnsi="Times New Roman" w:cs="Times New Roman"/>
        </w:rPr>
        <w:t xml:space="preserve">mali ísť na nákup zdravotnej starostlivosti. </w:t>
      </w:r>
      <w:r w:rsidRPr="006905B5" w:rsidR="00507111">
        <w:rPr>
          <w:rFonts w:ascii="Times New Roman" w:hAnsi="Times New Roman" w:cs="Times New Roman"/>
        </w:rPr>
        <w:t>Aj to je dôkaz o</w:t>
      </w:r>
      <w:r w:rsidRPr="006905B5" w:rsidR="002D22DD">
        <w:rPr>
          <w:rFonts w:ascii="Times New Roman" w:hAnsi="Times New Roman" w:cs="Times New Roman"/>
        </w:rPr>
        <w:t xml:space="preserve"> priehľadných </w:t>
      </w:r>
      <w:r w:rsidRPr="006905B5" w:rsidR="00507111">
        <w:rPr>
          <w:rFonts w:ascii="Times New Roman" w:hAnsi="Times New Roman" w:cs="Times New Roman"/>
        </w:rPr>
        <w:t xml:space="preserve">zámeroch predchádzajúcej vlády. Pred tým, ako bol ministrom zdravotníctva Rudolf Zajac, existovala limitácia objemu financií, ktoré mohli byť použité na prevádzkové náklady. </w:t>
      </w:r>
      <w:r w:rsidRPr="006905B5" w:rsidR="00A06ABE">
        <w:rPr>
          <w:rFonts w:ascii="Times New Roman" w:hAnsi="Times New Roman" w:cs="Times New Roman"/>
        </w:rPr>
        <w:t>Tie boli vyčlenené do takzvaného Správneho fondu</w:t>
      </w:r>
      <w:r w:rsidRPr="006905B5" w:rsidR="00E006DB">
        <w:rPr>
          <w:rFonts w:ascii="Times New Roman" w:hAnsi="Times New Roman" w:cs="Times New Roman"/>
        </w:rPr>
        <w:t>.</w:t>
      </w:r>
      <w:r w:rsidRPr="006905B5" w:rsidR="00D37614">
        <w:rPr>
          <w:rFonts w:ascii="Times New Roman" w:hAnsi="Times New Roman" w:cs="Times New Roman"/>
        </w:rPr>
        <w:t xml:space="preserve"> </w:t>
      </w:r>
    </w:p>
    <w:p w:rsidR="004770BA" w:rsidRPr="006905B5" w:rsidP="00E006DB">
      <w:pPr>
        <w:ind w:firstLine="708"/>
        <w:jc w:val="both"/>
        <w:rPr>
          <w:rFonts w:ascii="Times New Roman" w:hAnsi="Times New Roman" w:cs="Times New Roman"/>
        </w:rPr>
      </w:pPr>
      <w:r w:rsidRPr="006905B5">
        <w:rPr>
          <w:rFonts w:ascii="Times New Roman" w:hAnsi="Times New Roman" w:cs="Times New Roman"/>
        </w:rPr>
        <w:t xml:space="preserve">Súkromné zdravotné poisťovne čerpali v roku 2006 na svoju prevádzkovú činnosť finančné prostriedky vo výške od 5,69 % </w:t>
      </w:r>
      <w:r w:rsidR="0014635F">
        <w:rPr>
          <w:rFonts w:ascii="Times New Roman" w:hAnsi="Times New Roman" w:cs="Times New Roman"/>
        </w:rPr>
        <w:t>do</w:t>
      </w:r>
      <w:r w:rsidRPr="006905B5">
        <w:rPr>
          <w:rFonts w:ascii="Times New Roman" w:hAnsi="Times New Roman" w:cs="Times New Roman"/>
        </w:rPr>
        <w:t xml:space="preserve"> 9,13</w:t>
      </w:r>
      <w:r w:rsidR="0014635F">
        <w:rPr>
          <w:rFonts w:ascii="Times New Roman" w:hAnsi="Times New Roman" w:cs="Times New Roman"/>
        </w:rPr>
        <w:t xml:space="preserve"> </w:t>
      </w:r>
      <w:r w:rsidRPr="006905B5">
        <w:rPr>
          <w:rFonts w:ascii="Times New Roman" w:hAnsi="Times New Roman" w:cs="Times New Roman"/>
        </w:rPr>
        <w:t>% z objemu vybraného poistného. Pre porovnanie – štátne zdravotné poisťovne na rovnaký účel za to isté obdobie vynaložili 3,16</w:t>
      </w:r>
      <w:r w:rsidR="0014635F">
        <w:rPr>
          <w:rFonts w:ascii="Times New Roman" w:hAnsi="Times New Roman" w:cs="Times New Roman"/>
        </w:rPr>
        <w:t xml:space="preserve"> </w:t>
      </w:r>
      <w:r w:rsidRPr="006905B5">
        <w:rPr>
          <w:rFonts w:ascii="Times New Roman" w:hAnsi="Times New Roman" w:cs="Times New Roman"/>
        </w:rPr>
        <w:t>% (Spoločná zdravotná poisťovňa</w:t>
      </w:r>
      <w:r w:rsidRPr="006905B5" w:rsidR="00532C51">
        <w:rPr>
          <w:rFonts w:ascii="Times New Roman" w:hAnsi="Times New Roman" w:cs="Times New Roman"/>
        </w:rPr>
        <w:t xml:space="preserve"> a.s.</w:t>
      </w:r>
      <w:r w:rsidRPr="006905B5">
        <w:rPr>
          <w:rFonts w:ascii="Times New Roman" w:hAnsi="Times New Roman" w:cs="Times New Roman"/>
        </w:rPr>
        <w:t>) a 3,37</w:t>
      </w:r>
      <w:r w:rsidR="0014635F">
        <w:rPr>
          <w:rFonts w:ascii="Times New Roman" w:hAnsi="Times New Roman" w:cs="Times New Roman"/>
        </w:rPr>
        <w:t xml:space="preserve"> </w:t>
      </w:r>
      <w:r w:rsidRPr="006905B5">
        <w:rPr>
          <w:rFonts w:ascii="Times New Roman" w:hAnsi="Times New Roman" w:cs="Times New Roman"/>
        </w:rPr>
        <w:t>% (Všeobecná zdravotná poisťovňa</w:t>
      </w:r>
      <w:r w:rsidRPr="006905B5" w:rsidR="00532C51">
        <w:rPr>
          <w:rFonts w:ascii="Times New Roman" w:hAnsi="Times New Roman" w:cs="Times New Roman"/>
        </w:rPr>
        <w:t xml:space="preserve"> a.s.</w:t>
      </w:r>
      <w:r w:rsidRPr="006905B5">
        <w:rPr>
          <w:rFonts w:ascii="Times New Roman" w:hAnsi="Times New Roman" w:cs="Times New Roman"/>
        </w:rPr>
        <w:t>) z objemu vybraného poistného.</w:t>
      </w:r>
    </w:p>
    <w:p w:rsidR="005256B5" w:rsidRPr="006905B5" w:rsidP="00E006DB">
      <w:pPr>
        <w:ind w:firstLine="708"/>
        <w:jc w:val="both"/>
        <w:rPr>
          <w:rFonts w:ascii="Times New Roman" w:hAnsi="Times New Roman" w:cs="Times New Roman"/>
        </w:rPr>
      </w:pPr>
      <w:r w:rsidRPr="006905B5">
        <w:rPr>
          <w:rFonts w:ascii="Times New Roman" w:hAnsi="Times New Roman" w:cs="Times New Roman"/>
        </w:rPr>
        <w:t xml:space="preserve">Od 1. 1. 2007 </w:t>
      </w:r>
      <w:r w:rsidRPr="006905B5" w:rsidR="00532C51">
        <w:rPr>
          <w:rFonts w:ascii="Times New Roman" w:hAnsi="Times New Roman" w:cs="Times New Roman"/>
        </w:rPr>
        <w:t>súčasná vláda</w:t>
      </w:r>
      <w:r w:rsidRPr="006905B5" w:rsidR="009213C4">
        <w:rPr>
          <w:rFonts w:ascii="Times New Roman" w:hAnsi="Times New Roman" w:cs="Times New Roman"/>
        </w:rPr>
        <w:t xml:space="preserve"> </w:t>
      </w:r>
      <w:r w:rsidRPr="006905B5" w:rsidR="00532C51">
        <w:rPr>
          <w:rFonts w:ascii="Times New Roman" w:hAnsi="Times New Roman" w:cs="Times New Roman"/>
        </w:rPr>
        <w:t xml:space="preserve">príslušnou </w:t>
      </w:r>
      <w:r w:rsidRPr="006905B5" w:rsidR="009213C4">
        <w:rPr>
          <w:rFonts w:ascii="Times New Roman" w:hAnsi="Times New Roman" w:cs="Times New Roman"/>
        </w:rPr>
        <w:t>legislatív</w:t>
      </w:r>
      <w:r w:rsidRPr="006905B5" w:rsidR="00532C51">
        <w:rPr>
          <w:rFonts w:ascii="Times New Roman" w:hAnsi="Times New Roman" w:cs="Times New Roman"/>
        </w:rPr>
        <w:t>ou</w:t>
      </w:r>
      <w:r w:rsidRPr="006905B5" w:rsidR="009213C4">
        <w:rPr>
          <w:rFonts w:ascii="Times New Roman" w:hAnsi="Times New Roman" w:cs="Times New Roman"/>
        </w:rPr>
        <w:t xml:space="preserve"> opäť obmedzila čerpanie finančných prostriedkov na prevádzkové účely zdravotných poisťovní, konkrétne 4% správnym fondom. </w:t>
      </w:r>
    </w:p>
    <w:p w:rsidR="004770BA" w:rsidRPr="006905B5" w:rsidP="003631D0">
      <w:pPr>
        <w:rPr>
          <w:rFonts w:ascii="Times New Roman" w:hAnsi="Times New Roman" w:cs="Times New Roman"/>
        </w:rPr>
      </w:pPr>
    </w:p>
    <w:p w:rsidR="007D34C7" w:rsidRPr="006905B5" w:rsidP="00E0464B">
      <w:pPr>
        <w:spacing w:line="360" w:lineRule="auto"/>
        <w:rPr>
          <w:rFonts w:ascii="Times New Roman" w:hAnsi="Times New Roman" w:cs="Times New Roman"/>
          <w:b/>
          <w:sz w:val="28"/>
          <w:szCs w:val="28"/>
          <w:u w:val="single"/>
        </w:rPr>
      </w:pPr>
    </w:p>
    <w:p w:rsidR="00654097" w:rsidRPr="006905B5" w:rsidP="00E0464B">
      <w:pPr>
        <w:spacing w:line="360" w:lineRule="auto"/>
        <w:rPr>
          <w:rFonts w:ascii="Times New Roman" w:hAnsi="Times New Roman" w:cs="Times New Roman"/>
          <w:b/>
          <w:sz w:val="28"/>
          <w:szCs w:val="28"/>
          <w:u w:val="single"/>
        </w:rPr>
      </w:pPr>
      <w:r w:rsidRPr="006905B5" w:rsidR="00117D9F">
        <w:rPr>
          <w:rFonts w:ascii="Times New Roman" w:hAnsi="Times New Roman" w:cs="Times New Roman"/>
          <w:b/>
          <w:sz w:val="28"/>
          <w:szCs w:val="28"/>
          <w:u w:val="single"/>
        </w:rPr>
        <w:t>3.</w:t>
      </w:r>
      <w:r w:rsidRPr="006905B5" w:rsidR="00740134">
        <w:rPr>
          <w:rFonts w:ascii="Times New Roman" w:hAnsi="Times New Roman" w:cs="Times New Roman"/>
          <w:b/>
          <w:sz w:val="28"/>
          <w:szCs w:val="28"/>
          <w:u w:val="single"/>
        </w:rPr>
        <w:t xml:space="preserve"> </w:t>
      </w:r>
      <w:r w:rsidRPr="006905B5">
        <w:rPr>
          <w:rFonts w:ascii="Times New Roman" w:hAnsi="Times New Roman" w:cs="Times New Roman"/>
          <w:b/>
          <w:sz w:val="28"/>
          <w:szCs w:val="28"/>
          <w:u w:val="single"/>
        </w:rPr>
        <w:t xml:space="preserve">Reforma vo vzťahu k zdravotníckym zariadeniam </w:t>
      </w:r>
    </w:p>
    <w:p w:rsidR="00F42339" w:rsidRPr="006905B5" w:rsidP="00F42339">
      <w:pPr>
        <w:ind w:firstLine="708"/>
        <w:rPr>
          <w:rFonts w:ascii="Times New Roman" w:hAnsi="Times New Roman" w:cs="Times New Roman"/>
        </w:rPr>
      </w:pPr>
    </w:p>
    <w:p w:rsidR="009406B0" w:rsidRPr="006905B5" w:rsidP="00A21042">
      <w:pPr>
        <w:ind w:firstLine="708"/>
        <w:jc w:val="both"/>
        <w:rPr>
          <w:rFonts w:ascii="Times New Roman" w:hAnsi="Times New Roman" w:cs="Times New Roman"/>
        </w:rPr>
      </w:pPr>
      <w:r w:rsidRPr="006905B5" w:rsidR="00351947">
        <w:rPr>
          <w:rFonts w:ascii="Times New Roman" w:hAnsi="Times New Roman" w:cs="Times New Roman"/>
        </w:rPr>
        <w:t>V súlade s ustanovenia</w:t>
      </w:r>
      <w:r w:rsidRPr="006905B5">
        <w:rPr>
          <w:rFonts w:ascii="Times New Roman" w:hAnsi="Times New Roman" w:cs="Times New Roman"/>
        </w:rPr>
        <w:t>mi zákona č. 578/2007 Z.z. o poskytovateľoch zdravotnej starostlivosti, zdravotníckych pracovníkoch, stavovských organizáciách v zdravotníctve a o zmene a doplnení niektorých zákonov v znení neskorších predpisov (ďalej len „zákon“) malo byť 21 zdravotníckych zariadení transformovaných na akciové spoločnosti a</w:t>
      </w:r>
      <w:r w:rsidRPr="006905B5" w:rsidR="00D146E5">
        <w:rPr>
          <w:rFonts w:ascii="Times New Roman" w:hAnsi="Times New Roman" w:cs="Times New Roman"/>
        </w:rPr>
        <w:t> </w:t>
      </w:r>
      <w:r w:rsidRPr="006905B5" w:rsidR="00215B00">
        <w:rPr>
          <w:rFonts w:ascii="Times New Roman" w:hAnsi="Times New Roman" w:cs="Times New Roman"/>
        </w:rPr>
        <w:t>4</w:t>
      </w:r>
      <w:r w:rsidRPr="006905B5" w:rsidR="00D146E5">
        <w:rPr>
          <w:rFonts w:ascii="Times New Roman" w:hAnsi="Times New Roman" w:cs="Times New Roman"/>
        </w:rPr>
        <w:t>3</w:t>
      </w:r>
      <w:r w:rsidRPr="006905B5" w:rsidR="00215B00">
        <w:rPr>
          <w:rFonts w:ascii="Times New Roman" w:hAnsi="Times New Roman" w:cs="Times New Roman"/>
        </w:rPr>
        <w:t xml:space="preserve"> zdravotníckych zariadení</w:t>
      </w:r>
      <w:r w:rsidRPr="006905B5" w:rsidR="00D146E5">
        <w:rPr>
          <w:rFonts w:ascii="Times New Roman" w:hAnsi="Times New Roman" w:cs="Times New Roman"/>
        </w:rPr>
        <w:t xml:space="preserve"> na neziskové organizácie poskytujúce všeobecne prospešné služby. Do zastavenia </w:t>
      </w:r>
      <w:r w:rsidRPr="006905B5" w:rsidR="009859A5">
        <w:rPr>
          <w:rFonts w:ascii="Times New Roman" w:hAnsi="Times New Roman" w:cs="Times New Roman"/>
        </w:rPr>
        <w:t>uvedeného procesu</w:t>
      </w:r>
      <w:r w:rsidRPr="006905B5" w:rsidR="00B243C4">
        <w:rPr>
          <w:rFonts w:ascii="Times New Roman" w:hAnsi="Times New Roman" w:cs="Times New Roman"/>
        </w:rPr>
        <w:t xml:space="preserve"> bolo </w:t>
      </w:r>
      <w:r w:rsidRPr="006905B5" w:rsidR="009859A5">
        <w:rPr>
          <w:rFonts w:ascii="Times New Roman" w:hAnsi="Times New Roman" w:cs="Times New Roman"/>
        </w:rPr>
        <w:t>transformovaných</w:t>
      </w:r>
      <w:r w:rsidRPr="006905B5" w:rsidR="0095142F">
        <w:rPr>
          <w:rFonts w:ascii="Times New Roman" w:hAnsi="Times New Roman" w:cs="Times New Roman"/>
        </w:rPr>
        <w:t xml:space="preserve"> </w:t>
      </w:r>
      <w:r w:rsidRPr="006905B5" w:rsidR="00BB00D3">
        <w:rPr>
          <w:rFonts w:ascii="Times New Roman" w:hAnsi="Times New Roman" w:cs="Times New Roman"/>
        </w:rPr>
        <w:t>23</w:t>
      </w:r>
      <w:r w:rsidRPr="006905B5" w:rsidR="00B84C61">
        <w:rPr>
          <w:rFonts w:ascii="Times New Roman" w:hAnsi="Times New Roman" w:cs="Times New Roman"/>
        </w:rPr>
        <w:t xml:space="preserve"> zdravotníckych zariadení na neziskové organizácie a</w:t>
      </w:r>
      <w:r w:rsidRPr="006905B5" w:rsidR="006870F2">
        <w:rPr>
          <w:rFonts w:ascii="Times New Roman" w:hAnsi="Times New Roman" w:cs="Times New Roman"/>
        </w:rPr>
        <w:t xml:space="preserve"> 5 zdravotníckych zariadení na akciové spoločnosti. </w:t>
      </w:r>
    </w:p>
    <w:p w:rsidR="009B224C" w:rsidRPr="006905B5" w:rsidP="009B224C">
      <w:pPr>
        <w:ind w:firstLine="709"/>
        <w:rPr>
          <w:rFonts w:ascii="Times New Roman" w:hAnsi="Times New Roman" w:cs="Times New Roman"/>
        </w:rPr>
      </w:pPr>
    </w:p>
    <w:p w:rsidR="00E55525" w:rsidRPr="006905B5" w:rsidP="00A21042">
      <w:pPr>
        <w:numPr>
          <w:ilvl w:val="0"/>
          <w:numId w:val="14"/>
        </w:numPr>
        <w:tabs>
          <w:tab w:val="left" w:pos="360"/>
        </w:tabs>
        <w:rPr>
          <w:rFonts w:ascii="Times New Roman" w:hAnsi="Times New Roman" w:cs="Times New Roman"/>
          <w:b/>
        </w:rPr>
      </w:pPr>
      <w:r w:rsidRPr="006905B5">
        <w:rPr>
          <w:rFonts w:ascii="Times New Roman" w:hAnsi="Times New Roman" w:cs="Times New Roman"/>
          <w:b/>
        </w:rPr>
        <w:t>Neziskové organizácie poskytujúce všeobecne prospešné služby</w:t>
      </w:r>
      <w:r w:rsidRPr="006905B5" w:rsidR="005F1AE9">
        <w:rPr>
          <w:rFonts w:ascii="Times New Roman" w:hAnsi="Times New Roman" w:cs="Times New Roman"/>
          <w:b/>
        </w:rPr>
        <w:t xml:space="preserve"> (NO)</w:t>
      </w:r>
    </w:p>
    <w:p w:rsidR="00E55525" w:rsidRPr="006905B5" w:rsidP="009B224C">
      <w:pPr>
        <w:ind w:firstLine="709"/>
        <w:rPr>
          <w:rFonts w:ascii="Times New Roman" w:hAnsi="Times New Roman" w:cs="Times New Roman"/>
        </w:rPr>
      </w:pPr>
    </w:p>
    <w:p w:rsidR="00B57313" w:rsidRPr="006905B5" w:rsidP="00A21042">
      <w:pPr>
        <w:ind w:firstLine="709"/>
        <w:jc w:val="both"/>
        <w:rPr>
          <w:rFonts w:ascii="Times New Roman" w:hAnsi="Times New Roman" w:cs="Times New Roman"/>
        </w:rPr>
      </w:pPr>
      <w:r w:rsidRPr="006905B5" w:rsidR="009B224C">
        <w:rPr>
          <w:rFonts w:ascii="Times New Roman" w:hAnsi="Times New Roman" w:cs="Times New Roman"/>
        </w:rPr>
        <w:t>Ministerstvo zdravotníctva SR</w:t>
      </w:r>
      <w:r w:rsidRPr="006905B5" w:rsidR="006200CA">
        <w:rPr>
          <w:rFonts w:ascii="Times New Roman" w:hAnsi="Times New Roman" w:cs="Times New Roman"/>
        </w:rPr>
        <w:t xml:space="preserve"> je momentálne</w:t>
      </w:r>
      <w:r w:rsidRPr="006905B5" w:rsidR="009B224C">
        <w:rPr>
          <w:rFonts w:ascii="Times New Roman" w:hAnsi="Times New Roman" w:cs="Times New Roman"/>
        </w:rPr>
        <w:t xml:space="preserve"> spoluzakladateľom 23 neziskových organizácií poskytujúc</w:t>
      </w:r>
      <w:r w:rsidRPr="006905B5" w:rsidR="006A29C4">
        <w:rPr>
          <w:rFonts w:ascii="Times New Roman" w:hAnsi="Times New Roman" w:cs="Times New Roman"/>
        </w:rPr>
        <w:t>ich všeobecne prospešné služby</w:t>
      </w:r>
      <w:r w:rsidRPr="006905B5" w:rsidR="00E84A0C">
        <w:rPr>
          <w:rFonts w:ascii="Times New Roman" w:hAnsi="Times New Roman" w:cs="Times New Roman"/>
        </w:rPr>
        <w:t>,</w:t>
      </w:r>
      <w:r w:rsidRPr="006905B5" w:rsidR="006A29C4">
        <w:rPr>
          <w:rFonts w:ascii="Times New Roman" w:hAnsi="Times New Roman" w:cs="Times New Roman"/>
        </w:rPr>
        <w:t xml:space="preserve"> pričom </w:t>
      </w:r>
      <w:r w:rsidRPr="006905B5" w:rsidR="009B224C">
        <w:rPr>
          <w:rFonts w:ascii="Times New Roman" w:hAnsi="Times New Roman" w:cs="Times New Roman"/>
        </w:rPr>
        <w:t>všetky s</w:t>
      </w:r>
      <w:r w:rsidRPr="006905B5" w:rsidR="006A29C4">
        <w:rPr>
          <w:rFonts w:ascii="Times New Roman" w:hAnsi="Times New Roman" w:cs="Times New Roman"/>
        </w:rPr>
        <w:t>ú zdravotníckymi zariadeniami</w:t>
      </w:r>
      <w:r w:rsidRPr="006905B5" w:rsidR="009B224C">
        <w:rPr>
          <w:rFonts w:ascii="Times New Roman" w:hAnsi="Times New Roman" w:cs="Times New Roman"/>
        </w:rPr>
        <w:t>, ktoré vznikali v rokoch 2002 až 2005.</w:t>
      </w:r>
      <w:r w:rsidRPr="006905B5" w:rsidR="00583E73">
        <w:rPr>
          <w:rFonts w:ascii="Times New Roman" w:hAnsi="Times New Roman" w:cs="Times New Roman"/>
        </w:rPr>
        <w:t xml:space="preserve"> Spoločným znakom takmer všetkýc</w:t>
      </w:r>
      <w:r w:rsidRPr="006905B5" w:rsidR="00583E73">
        <w:rPr>
          <w:rFonts w:ascii="Times New Roman" w:hAnsi="Times New Roman" w:cs="Times New Roman"/>
        </w:rPr>
        <w:t>h zdravotníckych zariadení</w:t>
      </w:r>
      <w:r w:rsidRPr="006905B5" w:rsidR="00631E7A">
        <w:rPr>
          <w:rFonts w:ascii="Times New Roman" w:hAnsi="Times New Roman" w:cs="Times New Roman"/>
        </w:rPr>
        <w:t xml:space="preserve"> transformovaných</w:t>
      </w:r>
      <w:r w:rsidRPr="006905B5" w:rsidR="00583E73">
        <w:rPr>
          <w:rFonts w:ascii="Times New Roman" w:hAnsi="Times New Roman" w:cs="Times New Roman"/>
        </w:rPr>
        <w:t xml:space="preserve"> na neziskové organizácie je </w:t>
      </w:r>
      <w:r w:rsidR="0014635F">
        <w:rPr>
          <w:rFonts w:ascii="Times New Roman" w:hAnsi="Times New Roman" w:cs="Times New Roman"/>
        </w:rPr>
        <w:t xml:space="preserve">obrovský </w:t>
      </w:r>
      <w:r w:rsidRPr="006905B5" w:rsidR="00C16D6E">
        <w:rPr>
          <w:rFonts w:ascii="Times New Roman" w:hAnsi="Times New Roman" w:cs="Times New Roman"/>
        </w:rPr>
        <w:t>nepomer medzi vkladom štátu a v</w:t>
      </w:r>
      <w:r w:rsidRPr="006905B5" w:rsidR="00532C51">
        <w:rPr>
          <w:rFonts w:ascii="Times New Roman" w:hAnsi="Times New Roman" w:cs="Times New Roman"/>
        </w:rPr>
        <w:t>kladmi</w:t>
      </w:r>
      <w:r w:rsidRPr="006905B5" w:rsidR="00C16D6E">
        <w:rPr>
          <w:rFonts w:ascii="Times New Roman" w:hAnsi="Times New Roman" w:cs="Times New Roman"/>
        </w:rPr>
        <w:t xml:space="preserve"> </w:t>
      </w:r>
      <w:r w:rsidRPr="006905B5" w:rsidR="00D66D68">
        <w:rPr>
          <w:rFonts w:ascii="Times New Roman" w:hAnsi="Times New Roman" w:cs="Times New Roman"/>
        </w:rPr>
        <w:t>spoluzakladateľov</w:t>
      </w:r>
      <w:r w:rsidR="0014635F">
        <w:rPr>
          <w:rFonts w:ascii="Times New Roman" w:hAnsi="Times New Roman" w:cs="Times New Roman"/>
        </w:rPr>
        <w:t>, viď nasledujúci prehľad</w:t>
      </w:r>
      <w:r w:rsidRPr="006905B5" w:rsidR="00C16D6E">
        <w:rPr>
          <w:rFonts w:ascii="Times New Roman" w:hAnsi="Times New Roman" w:cs="Times New Roman"/>
        </w:rPr>
        <w:t>.</w:t>
      </w:r>
      <w:r w:rsidRPr="006905B5" w:rsidR="00A578D2">
        <w:rPr>
          <w:rFonts w:ascii="Times New Roman" w:hAnsi="Times New Roman" w:cs="Times New Roman"/>
        </w:rPr>
        <w:t xml:space="preserve"> </w:t>
      </w:r>
    </w:p>
    <w:p w:rsidR="00532C51" w:rsidRPr="006905B5" w:rsidP="00A21042">
      <w:pPr>
        <w:ind w:firstLine="709"/>
        <w:jc w:val="both"/>
        <w:rPr>
          <w:rFonts w:ascii="Times New Roman" w:hAnsi="Times New Roman" w:cs="Times New Roma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63"/>
        <w:gridCol w:w="4100"/>
        <w:gridCol w:w="900"/>
        <w:gridCol w:w="1260"/>
        <w:gridCol w:w="1652"/>
      </w:tblGrid>
      <w:tr>
        <w:tblPrEx>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5"/>
          <w:jc w:val="center"/>
        </w:trPr>
        <w:tc>
          <w:tcPr>
            <w:tcW w:w="8275" w:type="dxa"/>
            <w:gridSpan w:val="5"/>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6905B5" w:rsidP="006905B5">
            <w:pPr>
              <w:jc w:val="center"/>
              <w:rPr>
                <w:rFonts w:ascii="Arial" w:hAnsi="Arial" w:cs="Arial"/>
                <w:b/>
                <w:bCs/>
              </w:rPr>
            </w:pPr>
          </w:p>
          <w:p w:rsidR="006905B5" w:rsidP="006905B5">
            <w:pPr>
              <w:jc w:val="center"/>
              <w:rPr>
                <w:rFonts w:ascii="Arial" w:hAnsi="Arial" w:cs="Arial"/>
                <w:b/>
                <w:bCs/>
              </w:rPr>
            </w:pPr>
            <w:r w:rsidRPr="006905B5">
              <w:rPr>
                <w:rFonts w:ascii="Arial" w:hAnsi="Arial" w:cs="Arial"/>
                <w:b/>
                <w:bCs/>
              </w:rPr>
              <w:t>Majetok neziskových organizácií v</w:t>
            </w:r>
            <w:r w:rsidR="0014635F">
              <w:rPr>
                <w:rFonts w:ascii="Arial" w:hAnsi="Arial" w:cs="Arial"/>
                <w:b/>
                <w:bCs/>
              </w:rPr>
              <w:t> zakladateľskej pôsobnosti MZ SR</w:t>
            </w:r>
            <w:r w:rsidRPr="006905B5">
              <w:rPr>
                <w:rFonts w:ascii="Arial" w:hAnsi="Arial" w:cs="Arial"/>
                <w:b/>
                <w:bCs/>
              </w:rPr>
              <w:t xml:space="preserve"> </w:t>
            </w:r>
          </w:p>
          <w:p w:rsidR="006905B5" w:rsidP="006905B5">
            <w:pPr>
              <w:jc w:val="center"/>
              <w:rPr>
                <w:rFonts w:ascii="Arial" w:hAnsi="Arial" w:cs="Arial"/>
                <w:b/>
                <w:bCs/>
              </w:rPr>
            </w:pPr>
            <w:r w:rsidRPr="006905B5">
              <w:rPr>
                <w:rFonts w:ascii="Arial" w:hAnsi="Arial" w:cs="Arial"/>
                <w:b/>
                <w:bCs/>
              </w:rPr>
              <w:t>( v tis. Sk )</w:t>
            </w:r>
          </w:p>
          <w:p w:rsidR="006905B5" w:rsidRPr="006905B5" w:rsidP="006905B5">
            <w:pPr>
              <w:jc w:val="center"/>
              <w:rPr>
                <w:rFonts w:ascii="Arial" w:hAnsi="Arial" w:cs="Arial"/>
                <w:sz w:val="20"/>
                <w:szCs w:val="20"/>
              </w:rPr>
            </w:pPr>
          </w:p>
        </w:tc>
      </w:tr>
      <w:tr>
        <w:tblPrEx>
          <w:tblW w:w="8275" w:type="dxa"/>
          <w:jc w:val="center"/>
          <w:tblCellMar>
            <w:left w:w="70" w:type="dxa"/>
            <w:right w:w="70" w:type="dxa"/>
          </w:tblCellMar>
        </w:tblPrEx>
        <w:trPr>
          <w:trHeight w:val="1275"/>
          <w:jc w:val="center"/>
        </w:trPr>
        <w:tc>
          <w:tcPr>
            <w:tcW w:w="363" w:type="dxa"/>
            <w:vMerge w:val="restart"/>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b/>
                <w:sz w:val="20"/>
                <w:szCs w:val="20"/>
              </w:rPr>
            </w:pPr>
            <w:r w:rsidR="0014635F">
              <w:rPr>
                <w:rFonts w:ascii="Arial" w:hAnsi="Arial" w:cs="Arial"/>
                <w:b/>
                <w:sz w:val="20"/>
                <w:szCs w:val="20"/>
              </w:rPr>
              <w:t>P</w:t>
            </w:r>
            <w:r w:rsidRPr="006905B5">
              <w:rPr>
                <w:rFonts w:ascii="Arial" w:hAnsi="Arial" w:cs="Arial"/>
                <w:b/>
                <w:sz w:val="20"/>
                <w:szCs w:val="20"/>
              </w:rPr>
              <w:t>. č.</w:t>
            </w:r>
          </w:p>
        </w:tc>
        <w:tc>
          <w:tcPr>
            <w:tcW w:w="4100" w:type="dxa"/>
            <w:vMerge w:val="restart"/>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b/>
                <w:sz w:val="20"/>
                <w:szCs w:val="20"/>
              </w:rPr>
            </w:pPr>
            <w:r w:rsidR="0014635F">
              <w:rPr>
                <w:rFonts w:ascii="Arial" w:hAnsi="Arial" w:cs="Arial"/>
                <w:b/>
                <w:sz w:val="20"/>
                <w:szCs w:val="20"/>
              </w:rPr>
              <w:t>N</w:t>
            </w:r>
            <w:r w:rsidRPr="006905B5">
              <w:rPr>
                <w:rFonts w:ascii="Arial" w:hAnsi="Arial" w:cs="Arial"/>
                <w:b/>
                <w:sz w:val="20"/>
                <w:szCs w:val="20"/>
              </w:rPr>
              <w:t xml:space="preserve">ázov </w:t>
            </w:r>
            <w:r w:rsidR="00300469">
              <w:rPr>
                <w:rFonts w:ascii="Arial" w:hAnsi="Arial" w:cs="Arial"/>
                <w:b/>
                <w:sz w:val="20"/>
                <w:szCs w:val="20"/>
              </w:rPr>
              <w:t>N</w:t>
            </w:r>
            <w:r w:rsidRPr="006905B5">
              <w:rPr>
                <w:rFonts w:ascii="Arial" w:hAnsi="Arial" w:cs="Arial"/>
                <w:b/>
                <w:sz w:val="20"/>
                <w:szCs w:val="20"/>
              </w:rPr>
              <w:t xml:space="preserve">. </w:t>
            </w:r>
            <w:r w:rsidR="00300469">
              <w:rPr>
                <w:rFonts w:ascii="Arial" w:hAnsi="Arial" w:cs="Arial"/>
                <w:b/>
                <w:sz w:val="20"/>
                <w:szCs w:val="20"/>
              </w:rPr>
              <w:t>O</w:t>
            </w:r>
            <w:r w:rsidRPr="006905B5">
              <w:rPr>
                <w:rFonts w:ascii="Arial" w:hAnsi="Arial" w:cs="Arial"/>
                <w:b/>
                <w:sz w:val="20"/>
                <w:szCs w:val="20"/>
              </w:rPr>
              <w:t>.</w:t>
            </w:r>
          </w:p>
        </w:tc>
        <w:tc>
          <w:tcPr>
            <w:tcW w:w="90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jc w:val="center"/>
              <w:rPr>
                <w:rFonts w:ascii="Arial" w:hAnsi="Arial" w:cs="Arial"/>
                <w:sz w:val="20"/>
                <w:szCs w:val="20"/>
              </w:rPr>
            </w:pPr>
            <w:r w:rsidRPr="00300469" w:rsidR="0014635F">
              <w:rPr>
                <w:rFonts w:ascii="Arial" w:hAnsi="Arial" w:cs="Arial"/>
                <w:b/>
                <w:sz w:val="20"/>
                <w:szCs w:val="20"/>
              </w:rPr>
              <w:t>V</w:t>
            </w:r>
            <w:r w:rsidRPr="00300469">
              <w:rPr>
                <w:rFonts w:ascii="Arial" w:hAnsi="Arial" w:cs="Arial"/>
                <w:b/>
                <w:sz w:val="20"/>
                <w:szCs w:val="20"/>
              </w:rPr>
              <w:t>klad štátu</w:t>
            </w:r>
            <w:r w:rsidRPr="006905B5">
              <w:rPr>
                <w:rFonts w:ascii="Arial" w:hAnsi="Arial" w:cs="Arial"/>
                <w:sz w:val="20"/>
                <w:szCs w:val="20"/>
              </w:rPr>
              <w:t xml:space="preserve">           </w:t>
            </w:r>
            <w:r w:rsidRPr="00300469">
              <w:rPr>
                <w:rFonts w:ascii="Arial" w:hAnsi="Arial" w:cs="Arial"/>
                <w:bCs/>
                <w:sz w:val="20"/>
                <w:szCs w:val="20"/>
              </w:rPr>
              <w:t>pri vzniku</w:t>
            </w:r>
            <w:r w:rsidRPr="006905B5">
              <w:rPr>
                <w:rFonts w:ascii="Arial" w:hAnsi="Arial" w:cs="Arial"/>
                <w:b/>
                <w:bCs/>
                <w:sz w:val="20"/>
                <w:szCs w:val="20"/>
              </w:rPr>
              <w:t xml:space="preserve"> </w:t>
            </w:r>
          </w:p>
        </w:tc>
        <w:tc>
          <w:tcPr>
            <w:tcW w:w="1260"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6905B5">
            <w:pPr>
              <w:jc w:val="center"/>
              <w:rPr>
                <w:rFonts w:ascii="Arial" w:hAnsi="Arial" w:cs="Arial"/>
                <w:sz w:val="20"/>
                <w:szCs w:val="20"/>
              </w:rPr>
            </w:pPr>
            <w:r w:rsidRPr="00300469" w:rsidR="0014635F">
              <w:rPr>
                <w:rFonts w:ascii="Arial" w:hAnsi="Arial" w:cs="Arial"/>
                <w:b/>
                <w:sz w:val="20"/>
                <w:szCs w:val="20"/>
              </w:rPr>
              <w:t>V</w:t>
            </w:r>
            <w:r w:rsidRPr="00300469">
              <w:rPr>
                <w:rFonts w:ascii="Arial" w:hAnsi="Arial" w:cs="Arial"/>
                <w:b/>
                <w:sz w:val="20"/>
                <w:szCs w:val="20"/>
              </w:rPr>
              <w:t>klad záujemcu</w:t>
            </w:r>
            <w:r w:rsidRPr="006905B5">
              <w:rPr>
                <w:rFonts w:ascii="Arial" w:hAnsi="Arial" w:cs="Arial"/>
                <w:sz w:val="20"/>
                <w:szCs w:val="20"/>
              </w:rPr>
              <w:t xml:space="preserve">                    </w:t>
            </w:r>
            <w:r w:rsidRPr="00300469">
              <w:rPr>
                <w:rFonts w:ascii="Arial" w:hAnsi="Arial" w:cs="Arial"/>
                <w:bCs/>
                <w:sz w:val="20"/>
                <w:szCs w:val="20"/>
              </w:rPr>
              <w:t>pri vzniku</w:t>
            </w:r>
            <w:r w:rsidRPr="006905B5">
              <w:rPr>
                <w:rFonts w:ascii="Arial" w:hAnsi="Arial" w:cs="Arial"/>
                <w:b/>
                <w:bCs/>
                <w:sz w:val="20"/>
                <w:szCs w:val="20"/>
              </w:rPr>
              <w:t xml:space="preserve"> </w:t>
            </w:r>
          </w:p>
        </w:tc>
        <w:tc>
          <w:tcPr>
            <w:tcW w:w="1652" w:type="dxa"/>
            <w:vMerge w:val="restart"/>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6905B5">
            <w:pPr>
              <w:jc w:val="center"/>
              <w:rPr>
                <w:rFonts w:ascii="Arial" w:hAnsi="Arial" w:cs="Arial"/>
                <w:sz w:val="20"/>
                <w:szCs w:val="20"/>
              </w:rPr>
            </w:pPr>
            <w:r w:rsidRPr="006905B5">
              <w:rPr>
                <w:rFonts w:ascii="Arial" w:hAnsi="Arial" w:cs="Arial"/>
                <w:sz w:val="20"/>
                <w:szCs w:val="20"/>
              </w:rPr>
              <w:t>Percentuálny majetkový podiel spoluzakladateľa pri vzniku N.O.</w:t>
            </w:r>
          </w:p>
        </w:tc>
      </w:tr>
      <w:tr>
        <w:tblPrEx>
          <w:tblW w:w="8275" w:type="dxa"/>
          <w:jc w:val="center"/>
          <w:tblCellMar>
            <w:left w:w="70" w:type="dxa"/>
            <w:right w:w="70" w:type="dxa"/>
          </w:tblCellMar>
        </w:tblPrEx>
        <w:trPr>
          <w:trHeight w:val="630"/>
          <w:jc w:val="center"/>
        </w:trPr>
        <w:tc>
          <w:tcPr>
            <w:tcW w:w="363" w:type="dxa"/>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sz w:val="20"/>
                <w:szCs w:val="20"/>
              </w:rPr>
            </w:pPr>
          </w:p>
        </w:tc>
        <w:tc>
          <w:tcPr>
            <w:tcW w:w="4100" w:type="dxa"/>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sz w:val="20"/>
                <w:szCs w:val="20"/>
              </w:rPr>
            </w:pPr>
          </w:p>
        </w:tc>
        <w:tc>
          <w:tcPr>
            <w:tcW w:w="900" w:type="dxa"/>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sz w:val="20"/>
                <w:szCs w:val="20"/>
              </w:rPr>
            </w:pPr>
          </w:p>
        </w:tc>
        <w:tc>
          <w:tcPr>
            <w:tcW w:w="1260" w:type="dxa"/>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sz w:val="20"/>
                <w:szCs w:val="20"/>
              </w:rPr>
            </w:pPr>
          </w:p>
        </w:tc>
        <w:tc>
          <w:tcPr>
            <w:tcW w:w="1652" w:type="dxa"/>
            <w:vMerge/>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sz w:val="20"/>
                <w:szCs w:val="20"/>
              </w:rPr>
            </w:pP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1.</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NsP sv. Jakuba n. o., Bardejov</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186 096</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1 000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0,54</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2.</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Poliklinika Veľké Kapušany, n.o.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38 35</w:t>
            </w:r>
            <w:r w:rsidRPr="006905B5">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2 431</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6,34</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3.</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Všeobecná NsP n. o., VeĽký Krtíš</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118 337</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48</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0,04</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4.</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Snatórium Tatranská Kotlina,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144 614</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1 000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0,69</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5.</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6905B5" w:rsidRPr="006905B5" w:rsidP="00EB37A6">
            <w:pPr>
              <w:rPr>
                <w:rFonts w:ascii="Arial" w:hAnsi="Arial" w:cs="Arial"/>
                <w:b/>
                <w:bCs/>
                <w:sz w:val="18"/>
                <w:szCs w:val="18"/>
              </w:rPr>
            </w:pPr>
            <w:r w:rsidRPr="006905B5" w:rsidR="00C60180">
              <w:rPr>
                <w:rFonts w:ascii="Arial" w:hAnsi="Arial" w:cs="Arial"/>
                <w:b/>
                <w:bCs/>
                <w:sz w:val="18"/>
                <w:szCs w:val="18"/>
              </w:rPr>
              <w:t>Revúcka medicinsko-humanitná n.o.,</w:t>
            </w:r>
          </w:p>
          <w:p w:rsidR="00C60180" w:rsidRPr="006905B5" w:rsidP="00EB37A6">
            <w:pPr>
              <w:rPr>
                <w:rFonts w:ascii="Arial" w:hAnsi="Arial" w:cs="Arial"/>
                <w:b/>
                <w:bCs/>
                <w:sz w:val="18"/>
                <w:szCs w:val="18"/>
              </w:rPr>
            </w:pPr>
            <w:r w:rsidRPr="006905B5">
              <w:rPr>
                <w:rFonts w:ascii="Arial" w:hAnsi="Arial" w:cs="Arial"/>
                <w:b/>
                <w:bCs/>
                <w:sz w:val="18"/>
                <w:szCs w:val="18"/>
              </w:rPr>
              <w:t>NsP Revúca</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70 315</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3 210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4,57</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6.</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Nemocnica A. Wintera n.o., Piešťany</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90 410</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0,11</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7.</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 xml:space="preserve">NsP </w:t>
            </w:r>
            <w:r w:rsidRPr="006905B5">
              <w:rPr>
                <w:rFonts w:ascii="Arial" w:hAnsi="Arial" w:cs="Arial"/>
                <w:b/>
                <w:bCs/>
                <w:color w:val="FF0000"/>
                <w:sz w:val="18"/>
                <w:szCs w:val="18"/>
              </w:rPr>
              <w:t xml:space="preserve">Nové Mesto nad Váhom, n. o. </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56 939</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0,18</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8.</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NsP Nová Baňa,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61 023</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30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0,05</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9.</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Nemocnica Modra,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10 186</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370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3,63</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10.</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NsP Kráľovský Chlmec,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117 436</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260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0,22</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11.</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NsP Ilava,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84 549</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44</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0,05</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12.</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NsP Brezno,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242 678</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22 414</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9,2</w:t>
            </w:r>
            <w:r w:rsidRPr="006905B5">
              <w:rPr>
                <w:rFonts w:ascii="Arial" w:hAnsi="Arial" w:cs="Arial"/>
                <w:sz w:val="20"/>
                <w:szCs w:val="20"/>
              </w:rPr>
              <w:t>4</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13.</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VITALITA n. o., Lehnice</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39 678</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1 001</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2,52</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14.</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Sanatórium Dr. Guhra n. o., Tatranská Polanka</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103 800</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1 000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0,96</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15.</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Psychiatrická nemocnica Michalovce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221 949</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0,00</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16.</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Vysokošpecializovaný odborný ústav geriatrický sv. Lukáša Košice,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46 049</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0,22</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17.</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Šrobárov ústav detskej tuberkulózy a respir. chorôb n. o., Dolný Smokovec</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245 914</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500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0,20</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18.</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Špecializ. nemocnica pre ortopedicku protetiku Bratislava,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101 452</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1 000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0,99</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19.</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Špecializovaná nemocnica sv. Svorada          n.</w:t>
            </w:r>
            <w:r w:rsidRPr="006905B5">
              <w:rPr>
                <w:rFonts w:ascii="Arial" w:hAnsi="Arial" w:cs="Arial"/>
                <w:b/>
                <w:bCs/>
                <w:color w:val="FF0000"/>
                <w:sz w:val="18"/>
                <w:szCs w:val="18"/>
              </w:rPr>
              <w:t xml:space="preserve"> o.,  Zobor</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67 289</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35</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0,05</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20.</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C60180" w:rsidRPr="006905B5" w:rsidP="00EB37A6">
            <w:pPr>
              <w:rPr>
                <w:rFonts w:ascii="Arial" w:hAnsi="Arial" w:cs="Arial"/>
                <w:b/>
                <w:bCs/>
                <w:sz w:val="18"/>
                <w:szCs w:val="18"/>
              </w:rPr>
            </w:pPr>
            <w:r w:rsidRPr="006905B5">
              <w:rPr>
                <w:rFonts w:ascii="Arial" w:hAnsi="Arial" w:cs="Arial"/>
                <w:b/>
                <w:bCs/>
                <w:sz w:val="18"/>
                <w:szCs w:val="18"/>
              </w:rPr>
              <w:t>Špecializovaná nemocnica respiračných chorôb Poprad-Kvetnica,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148 112</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3 800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2,57</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sz w:val="16"/>
                <w:szCs w:val="16"/>
              </w:rPr>
            </w:pPr>
            <w:r w:rsidRPr="006905B5">
              <w:rPr>
                <w:rFonts w:ascii="Arial" w:hAnsi="Arial" w:cs="Arial"/>
                <w:sz w:val="16"/>
                <w:szCs w:val="16"/>
              </w:rPr>
              <w:t>21.</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C60180" w:rsidRPr="006905B5" w:rsidP="00EB37A6">
            <w:pPr>
              <w:rPr>
                <w:rFonts w:ascii="Arial" w:hAnsi="Arial" w:cs="Arial"/>
                <w:b/>
                <w:bCs/>
                <w:sz w:val="18"/>
                <w:szCs w:val="18"/>
              </w:rPr>
            </w:pPr>
            <w:r w:rsidRPr="006905B5">
              <w:rPr>
                <w:rFonts w:ascii="Arial" w:hAnsi="Arial" w:cs="Arial"/>
                <w:b/>
                <w:bCs/>
                <w:sz w:val="18"/>
                <w:szCs w:val="18"/>
              </w:rPr>
              <w:t xml:space="preserve">Národny endokrinologický a diabetologický ústav Ľubochňa, n. o. </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103 724</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5 000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sz w:val="20"/>
                <w:szCs w:val="20"/>
              </w:rPr>
            </w:pPr>
            <w:r w:rsidRPr="006905B5">
              <w:rPr>
                <w:rFonts w:ascii="Arial" w:hAnsi="Arial" w:cs="Arial"/>
                <w:sz w:val="20"/>
                <w:szCs w:val="20"/>
              </w:rPr>
              <w:t>4,82</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22.</w:t>
            </w:r>
          </w:p>
        </w:tc>
        <w:tc>
          <w:tcPr>
            <w:tcW w:w="410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Odborný liečebný ústav psychiatrický  Predn</w:t>
            </w:r>
            <w:r w:rsidRPr="006905B5">
              <w:rPr>
                <w:rFonts w:ascii="Arial" w:hAnsi="Arial" w:cs="Arial"/>
                <w:b/>
                <w:bCs/>
                <w:color w:val="FF0000"/>
                <w:sz w:val="18"/>
                <w:szCs w:val="18"/>
              </w:rPr>
              <w:t>á Hora,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67 102</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100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0,15</w:t>
            </w:r>
          </w:p>
        </w:tc>
      </w:tr>
      <w:tr>
        <w:tblPrEx>
          <w:tblW w:w="8275" w:type="dxa"/>
          <w:jc w:val="center"/>
          <w:tblCellMar>
            <w:left w:w="70" w:type="dxa"/>
            <w:right w:w="70" w:type="dxa"/>
          </w:tblCellMar>
        </w:tblPrEx>
        <w:trPr>
          <w:trHeight w:val="480"/>
          <w:jc w:val="center"/>
        </w:trPr>
        <w:tc>
          <w:tcPr>
            <w:tcW w:w="363"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jc w:val="center"/>
              <w:rPr>
                <w:rFonts w:ascii="Arial" w:hAnsi="Arial" w:cs="Arial"/>
                <w:color w:val="FF0000"/>
                <w:sz w:val="16"/>
                <w:szCs w:val="16"/>
              </w:rPr>
            </w:pPr>
            <w:r w:rsidRPr="006905B5">
              <w:rPr>
                <w:rFonts w:ascii="Arial" w:hAnsi="Arial" w:cs="Arial"/>
                <w:color w:val="FF0000"/>
                <w:sz w:val="16"/>
                <w:szCs w:val="16"/>
              </w:rPr>
              <w:t>23.</w:t>
            </w:r>
          </w:p>
        </w:tc>
        <w:tc>
          <w:tcPr>
            <w:tcW w:w="4100"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C60180" w:rsidRPr="006905B5" w:rsidP="00EB37A6">
            <w:pPr>
              <w:rPr>
                <w:rFonts w:ascii="Arial" w:hAnsi="Arial" w:cs="Arial"/>
                <w:b/>
                <w:bCs/>
                <w:color w:val="FF0000"/>
                <w:sz w:val="18"/>
                <w:szCs w:val="18"/>
              </w:rPr>
            </w:pPr>
            <w:r w:rsidRPr="006905B5">
              <w:rPr>
                <w:rFonts w:ascii="Arial" w:hAnsi="Arial" w:cs="Arial"/>
                <w:b/>
                <w:bCs/>
                <w:color w:val="FF0000"/>
                <w:sz w:val="18"/>
                <w:szCs w:val="18"/>
              </w:rPr>
              <w:t>Detská psychiatrická liečebňa Hraň, n. o.</w:t>
            </w:r>
          </w:p>
        </w:tc>
        <w:tc>
          <w:tcPr>
            <w:tcW w:w="90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208 393</w:t>
            </w:r>
          </w:p>
        </w:tc>
        <w:tc>
          <w:tcPr>
            <w:tcW w:w="1260"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500</w:t>
            </w:r>
          </w:p>
        </w:tc>
        <w:tc>
          <w:tcPr>
            <w:tcW w:w="1652" w:type="dxa"/>
            <w:tcBorders>
              <w:top w:val="single" w:sz="4" w:space="0" w:color="auto"/>
              <w:left w:val="single" w:sz="4" w:space="0" w:color="auto"/>
              <w:bottom w:val="single" w:sz="4" w:space="0" w:color="auto"/>
              <w:right w:val="single" w:sz="4" w:space="0" w:color="auto"/>
              <w:tl2br w:val="nil"/>
              <w:tr2bl w:val="nil"/>
            </w:tcBorders>
            <w:noWrap/>
            <w:textDirection w:val="lrTb"/>
            <w:vAlign w:val="bottom"/>
          </w:tcPr>
          <w:p w:rsidR="00C60180" w:rsidRPr="006905B5" w:rsidP="00EB37A6">
            <w:pPr>
              <w:jc w:val="right"/>
              <w:rPr>
                <w:rFonts w:ascii="Arial" w:hAnsi="Arial" w:cs="Arial"/>
                <w:color w:val="FF0000"/>
                <w:sz w:val="20"/>
                <w:szCs w:val="20"/>
              </w:rPr>
            </w:pPr>
            <w:r w:rsidRPr="006905B5">
              <w:rPr>
                <w:rFonts w:ascii="Arial" w:hAnsi="Arial" w:cs="Arial"/>
                <w:color w:val="FF0000"/>
                <w:sz w:val="20"/>
                <w:szCs w:val="20"/>
              </w:rPr>
              <w:t>0,24</w:t>
            </w:r>
          </w:p>
        </w:tc>
      </w:tr>
    </w:tbl>
    <w:p w:rsidR="00532C51" w:rsidRPr="006905B5" w:rsidP="00A21042">
      <w:pPr>
        <w:ind w:firstLine="709"/>
        <w:jc w:val="both"/>
        <w:rPr>
          <w:rFonts w:ascii="Times New Roman" w:hAnsi="Times New Roman" w:cs="Times New Roman"/>
        </w:rPr>
      </w:pPr>
    </w:p>
    <w:p w:rsidR="00532C51" w:rsidRPr="006905B5" w:rsidP="00FE2669">
      <w:pPr>
        <w:ind w:firstLine="708"/>
        <w:jc w:val="both"/>
        <w:rPr>
          <w:rFonts w:ascii="Times New Roman" w:hAnsi="Times New Roman" w:cs="Times New Roman"/>
        </w:rPr>
      </w:pPr>
      <w:r w:rsidRPr="006905B5">
        <w:rPr>
          <w:rFonts w:ascii="Times New Roman" w:hAnsi="Times New Roman" w:cs="Times New Roman"/>
        </w:rPr>
        <w:t>Vyššie uvedená tabuľka je ilustráciou toho, ako spoluzakladateľ neziskovej organizácie prostredníctvom minimálneho vkladu (štvrtý stĺpec tabuľky</w:t>
      </w:r>
      <w:r w:rsidR="00300469">
        <w:rPr>
          <w:rFonts w:ascii="Times New Roman" w:hAnsi="Times New Roman" w:cs="Times New Roman"/>
        </w:rPr>
        <w:t xml:space="preserve"> s označením „vk</w:t>
      </w:r>
      <w:r w:rsidR="00300469">
        <w:rPr>
          <w:rFonts w:ascii="Times New Roman" w:hAnsi="Times New Roman" w:cs="Times New Roman"/>
        </w:rPr>
        <w:t>lad záujemcu“</w:t>
      </w:r>
      <w:r w:rsidRPr="006905B5">
        <w:rPr>
          <w:rFonts w:ascii="Times New Roman" w:hAnsi="Times New Roman" w:cs="Times New Roman"/>
        </w:rPr>
        <w:t>) ovláda majetok štátu (tretí stĺpec tabuľky</w:t>
      </w:r>
      <w:r w:rsidR="00300469">
        <w:rPr>
          <w:rFonts w:ascii="Times New Roman" w:hAnsi="Times New Roman" w:cs="Times New Roman"/>
        </w:rPr>
        <w:t xml:space="preserve"> s označením „vklad štátu“</w:t>
      </w:r>
      <w:r w:rsidRPr="006905B5">
        <w:rPr>
          <w:rFonts w:ascii="Times New Roman" w:hAnsi="Times New Roman" w:cs="Times New Roman"/>
        </w:rPr>
        <w:t>) aj napriek tomu, že štát bol spoluzakladateľom s</w:t>
      </w:r>
      <w:r w:rsidR="00300469">
        <w:rPr>
          <w:rFonts w:ascii="Times New Roman" w:hAnsi="Times New Roman" w:cs="Times New Roman"/>
        </w:rPr>
        <w:t> takmer 100 %-tným</w:t>
      </w:r>
      <w:r w:rsidRPr="006905B5">
        <w:rPr>
          <w:rFonts w:ascii="Times New Roman" w:hAnsi="Times New Roman" w:cs="Times New Roman"/>
        </w:rPr>
        <w:t xml:space="preserve"> vkladom majetku.</w:t>
      </w:r>
    </w:p>
    <w:p w:rsidR="00532C51" w:rsidRPr="006905B5" w:rsidP="00FE2669">
      <w:pPr>
        <w:ind w:firstLine="709"/>
        <w:jc w:val="both"/>
        <w:rPr>
          <w:rFonts w:ascii="Times New Roman" w:hAnsi="Times New Roman" w:cs="Times New Roman"/>
        </w:rPr>
      </w:pPr>
    </w:p>
    <w:p w:rsidR="00A16CB9" w:rsidRPr="006905B5" w:rsidP="00532C51">
      <w:pPr>
        <w:ind w:firstLine="709"/>
        <w:jc w:val="both"/>
        <w:rPr>
          <w:rFonts w:ascii="Times New Roman" w:hAnsi="Times New Roman" w:cs="Times New Roman"/>
        </w:rPr>
      </w:pPr>
      <w:r w:rsidRPr="006905B5" w:rsidR="006F1773">
        <w:rPr>
          <w:rFonts w:ascii="Times New Roman" w:hAnsi="Times New Roman" w:cs="Times New Roman"/>
        </w:rPr>
        <w:t xml:space="preserve">Spomedzi uvedených transformovaných zdravotníckych zariadení </w:t>
      </w:r>
      <w:r w:rsidR="00300469">
        <w:rPr>
          <w:rFonts w:ascii="Times New Roman" w:hAnsi="Times New Roman" w:cs="Times New Roman"/>
        </w:rPr>
        <w:t xml:space="preserve">je možné poukázať </w:t>
      </w:r>
      <w:r w:rsidRPr="006905B5" w:rsidR="006F1773">
        <w:rPr>
          <w:rFonts w:ascii="Times New Roman" w:hAnsi="Times New Roman" w:cs="Times New Roman"/>
        </w:rPr>
        <w:t>napr. na Detskú psychiatrickú liečebňu</w:t>
      </w:r>
      <w:r w:rsidRPr="006905B5" w:rsidR="000A0054">
        <w:rPr>
          <w:rFonts w:ascii="Times New Roman" w:hAnsi="Times New Roman" w:cs="Times New Roman"/>
        </w:rPr>
        <w:t xml:space="preserve"> Hraň</w:t>
      </w:r>
      <w:r w:rsidRPr="006905B5" w:rsidR="006F1773">
        <w:rPr>
          <w:rFonts w:ascii="Times New Roman" w:hAnsi="Times New Roman" w:cs="Times New Roman"/>
        </w:rPr>
        <w:t>, kde MZ ešte pred transformáciou</w:t>
      </w:r>
      <w:r w:rsidRPr="006905B5" w:rsidR="000A0054">
        <w:rPr>
          <w:rFonts w:ascii="Times New Roman" w:hAnsi="Times New Roman" w:cs="Times New Roman"/>
        </w:rPr>
        <w:t xml:space="preserve"> do nej </w:t>
      </w:r>
      <w:r w:rsidRPr="006905B5" w:rsidR="00532C51">
        <w:rPr>
          <w:rFonts w:ascii="Times New Roman" w:hAnsi="Times New Roman" w:cs="Times New Roman"/>
        </w:rPr>
        <w:t>zainvesto</w:t>
      </w:r>
      <w:r w:rsidRPr="006905B5" w:rsidR="004E1CB1">
        <w:rPr>
          <w:rFonts w:ascii="Times New Roman" w:hAnsi="Times New Roman" w:cs="Times New Roman"/>
        </w:rPr>
        <w:t>va</w:t>
      </w:r>
      <w:r w:rsidRPr="006905B5" w:rsidR="006F1773">
        <w:rPr>
          <w:rFonts w:ascii="Times New Roman" w:hAnsi="Times New Roman" w:cs="Times New Roman"/>
        </w:rPr>
        <w:t>lo</w:t>
      </w:r>
      <w:r w:rsidRPr="006905B5" w:rsidR="000A0054">
        <w:rPr>
          <w:rFonts w:ascii="Times New Roman" w:hAnsi="Times New Roman" w:cs="Times New Roman"/>
        </w:rPr>
        <w:t xml:space="preserve"> zo štátneho rozpočtu </w:t>
      </w:r>
      <w:r w:rsidRPr="006905B5" w:rsidR="006F1773">
        <w:rPr>
          <w:rFonts w:ascii="Times New Roman" w:hAnsi="Times New Roman" w:cs="Times New Roman"/>
        </w:rPr>
        <w:t>tak</w:t>
      </w:r>
      <w:r w:rsidRPr="006905B5" w:rsidR="00B75ED3">
        <w:rPr>
          <w:rFonts w:ascii="Times New Roman" w:hAnsi="Times New Roman" w:cs="Times New Roman"/>
        </w:rPr>
        <w:t>mer 88</w:t>
      </w:r>
      <w:r w:rsidRPr="006905B5" w:rsidR="006F1773">
        <w:rPr>
          <w:rFonts w:ascii="Times New Roman" w:hAnsi="Times New Roman" w:cs="Times New Roman"/>
        </w:rPr>
        <w:t xml:space="preserve"> miliónov Sk</w:t>
      </w:r>
      <w:r w:rsidRPr="006905B5" w:rsidR="00FF291F">
        <w:rPr>
          <w:rFonts w:ascii="Times New Roman" w:hAnsi="Times New Roman" w:cs="Times New Roman"/>
        </w:rPr>
        <w:t xml:space="preserve"> a po transformácii ďalších 5,7</w:t>
      </w:r>
      <w:r w:rsidRPr="006905B5" w:rsidR="005D3E22">
        <w:rPr>
          <w:rFonts w:ascii="Times New Roman" w:hAnsi="Times New Roman" w:cs="Times New Roman"/>
        </w:rPr>
        <w:t xml:space="preserve"> milióna Sk</w:t>
      </w:r>
      <w:r w:rsidRPr="006905B5" w:rsidR="006F1773">
        <w:rPr>
          <w:rFonts w:ascii="Times New Roman" w:hAnsi="Times New Roman" w:cs="Times New Roman"/>
        </w:rPr>
        <w:t>, pričom p</w:t>
      </w:r>
      <w:r w:rsidRPr="006905B5" w:rsidR="001E14D8">
        <w:rPr>
          <w:rFonts w:ascii="Times New Roman" w:hAnsi="Times New Roman" w:cs="Times New Roman"/>
        </w:rPr>
        <w:t xml:space="preserve">o jej odštátnení bol do správnej rady dosadený </w:t>
      </w:r>
      <w:r w:rsidRPr="006905B5" w:rsidR="00E56360">
        <w:rPr>
          <w:rFonts w:ascii="Times New Roman" w:hAnsi="Times New Roman" w:cs="Times New Roman"/>
        </w:rPr>
        <w:t>MU</w:t>
      </w:r>
      <w:r w:rsidRPr="006905B5" w:rsidR="00BA6F37">
        <w:rPr>
          <w:rFonts w:ascii="Times New Roman" w:hAnsi="Times New Roman" w:cs="Times New Roman"/>
        </w:rPr>
        <w:t>Dr. Peter Biro</w:t>
      </w:r>
      <w:r w:rsidRPr="006905B5" w:rsidR="00E56360">
        <w:rPr>
          <w:rFonts w:ascii="Times New Roman" w:hAnsi="Times New Roman" w:cs="Times New Roman"/>
        </w:rPr>
        <w:t>š, v tom č</w:t>
      </w:r>
      <w:r w:rsidRPr="006905B5" w:rsidR="00BA6F37">
        <w:rPr>
          <w:rFonts w:ascii="Times New Roman" w:hAnsi="Times New Roman" w:cs="Times New Roman"/>
        </w:rPr>
        <w:t>ase poslanec NR SR za stranu ANO.</w:t>
      </w:r>
    </w:p>
    <w:p w:rsidR="00A16CB9" w:rsidRPr="006905B5" w:rsidP="00532C51">
      <w:pPr>
        <w:ind w:firstLine="709"/>
        <w:jc w:val="both"/>
        <w:rPr>
          <w:rFonts w:ascii="Times New Roman" w:hAnsi="Times New Roman" w:cs="Times New Roman"/>
        </w:rPr>
      </w:pPr>
      <w:r w:rsidRPr="006905B5" w:rsidR="00CB5275">
        <w:rPr>
          <w:rFonts w:ascii="Times New Roman" w:hAnsi="Times New Roman" w:cs="Times New Roman"/>
        </w:rPr>
        <w:t>Rovnakým príkladom je aj</w:t>
      </w:r>
      <w:r w:rsidRPr="006905B5" w:rsidR="007003AE">
        <w:rPr>
          <w:rFonts w:ascii="Times New Roman" w:hAnsi="Times New Roman" w:cs="Times New Roman"/>
        </w:rPr>
        <w:t xml:space="preserve"> NsP Piešťany, kde bolo pred transformáciou zo ŠR uvoľnených takmer 30 miliónov Sk a po jej odštátnení</w:t>
      </w:r>
      <w:r w:rsidRPr="006905B5" w:rsidR="006B71A4">
        <w:rPr>
          <w:rFonts w:ascii="Times New Roman" w:hAnsi="Times New Roman" w:cs="Times New Roman"/>
        </w:rPr>
        <w:t xml:space="preserve"> sa riaditeľom (štatutárnym org</w:t>
      </w:r>
      <w:r w:rsidRPr="006905B5" w:rsidR="00B16B7A">
        <w:rPr>
          <w:rFonts w:ascii="Times New Roman" w:hAnsi="Times New Roman" w:cs="Times New Roman"/>
        </w:rPr>
        <w:t>ánom) stal MUDr. Peter Ottinger, bývalý štátny tajomník MZ SR a</w:t>
      </w:r>
      <w:r w:rsidRPr="006905B5" w:rsidR="00B16B7A">
        <w:rPr>
          <w:rFonts w:ascii="Times New Roman" w:hAnsi="Times New Roman" w:cs="Times New Roman"/>
        </w:rPr>
        <w:t> poslanec NR SR za stranu SDKÚ – DS.</w:t>
      </w:r>
    </w:p>
    <w:p w:rsidR="00A16CB9" w:rsidRPr="006905B5" w:rsidP="00532C51">
      <w:pPr>
        <w:jc w:val="both"/>
        <w:rPr>
          <w:rFonts w:ascii="Times New Roman" w:hAnsi="Times New Roman" w:cs="Times New Roman"/>
        </w:rPr>
      </w:pPr>
      <w:r w:rsidRPr="006905B5" w:rsidR="008A2FD5">
        <w:rPr>
          <w:rFonts w:ascii="Times New Roman" w:hAnsi="Times New Roman" w:cs="Times New Roman"/>
        </w:rPr>
        <w:tab/>
      </w:r>
      <w:r w:rsidRPr="006905B5" w:rsidR="00E67F41">
        <w:rPr>
          <w:rFonts w:ascii="Times New Roman" w:hAnsi="Times New Roman" w:cs="Times New Roman"/>
        </w:rPr>
        <w:t>Možno najvypuklejším</w:t>
      </w:r>
      <w:r w:rsidRPr="006905B5" w:rsidR="008A2FD5">
        <w:rPr>
          <w:rFonts w:ascii="Times New Roman" w:hAnsi="Times New Roman" w:cs="Times New Roman"/>
        </w:rPr>
        <w:t xml:space="preserve"> príkladom je ŠÚDTaRCH Dolný Smokovec</w:t>
      </w:r>
      <w:r w:rsidRPr="006905B5" w:rsidR="00D50279">
        <w:rPr>
          <w:rFonts w:ascii="Times New Roman" w:hAnsi="Times New Roman" w:cs="Times New Roman"/>
        </w:rPr>
        <w:t>, kde bolo pred transformáciou zo ŠR uvoľnených takmer 108 miliónov Sk</w:t>
      </w:r>
      <w:r w:rsidRPr="006905B5" w:rsidR="009B3047">
        <w:rPr>
          <w:rFonts w:ascii="Times New Roman" w:hAnsi="Times New Roman" w:cs="Times New Roman"/>
        </w:rPr>
        <w:t xml:space="preserve">, pričom po jej odštátnení bol do správnej rady dosadený MUDr. </w:t>
      </w:r>
      <w:r w:rsidRPr="006905B5" w:rsidR="00D8617A">
        <w:rPr>
          <w:rFonts w:ascii="Times New Roman" w:hAnsi="Times New Roman" w:cs="Times New Roman"/>
        </w:rPr>
        <w:t xml:space="preserve">Karol </w:t>
      </w:r>
      <w:r w:rsidRPr="006905B5" w:rsidR="009B3047">
        <w:rPr>
          <w:rFonts w:ascii="Times New Roman" w:hAnsi="Times New Roman" w:cs="Times New Roman"/>
        </w:rPr>
        <w:t>D</w:t>
      </w:r>
      <w:r w:rsidRPr="006905B5" w:rsidR="00D8617A">
        <w:rPr>
          <w:rFonts w:ascii="Times New Roman" w:hAnsi="Times New Roman" w:cs="Times New Roman"/>
        </w:rPr>
        <w:t>župa, v tom čase posl</w:t>
      </w:r>
      <w:r w:rsidRPr="006905B5" w:rsidR="00D8617A">
        <w:rPr>
          <w:rFonts w:ascii="Times New Roman" w:hAnsi="Times New Roman" w:cs="Times New Roman"/>
        </w:rPr>
        <w:t>anec NR SR.</w:t>
      </w:r>
    </w:p>
    <w:p w:rsidR="00A16CB9" w:rsidRPr="006905B5" w:rsidP="00532C51">
      <w:pPr>
        <w:ind w:firstLine="709"/>
        <w:jc w:val="both"/>
        <w:rPr>
          <w:rFonts w:ascii="Times New Roman" w:hAnsi="Times New Roman" w:cs="Times New Roman"/>
        </w:rPr>
      </w:pPr>
    </w:p>
    <w:p w:rsidR="00300469" w:rsidP="00532C51">
      <w:pPr>
        <w:ind w:firstLine="709"/>
        <w:rPr>
          <w:rFonts w:ascii="Times New Roman" w:hAnsi="Times New Roman" w:cs="Times New Roman"/>
          <w:i/>
        </w:rPr>
      </w:pPr>
      <w:r>
        <w:rPr>
          <w:rFonts w:ascii="Times New Roman" w:hAnsi="Times New Roman" w:cs="Times New Roman"/>
          <w:i/>
        </w:rPr>
        <w:t>Príklady č</w:t>
      </w:r>
      <w:r w:rsidRPr="006905B5" w:rsidR="00532C51">
        <w:rPr>
          <w:rFonts w:ascii="Times New Roman" w:hAnsi="Times New Roman" w:cs="Times New Roman"/>
          <w:i/>
        </w:rPr>
        <w:t>erpani</w:t>
      </w:r>
      <w:r>
        <w:rPr>
          <w:rFonts w:ascii="Times New Roman" w:hAnsi="Times New Roman" w:cs="Times New Roman"/>
          <w:i/>
        </w:rPr>
        <w:t>a</w:t>
      </w:r>
      <w:r w:rsidRPr="006905B5" w:rsidR="00532C51">
        <w:rPr>
          <w:rFonts w:ascii="Times New Roman" w:hAnsi="Times New Roman" w:cs="Times New Roman"/>
          <w:i/>
        </w:rPr>
        <w:t xml:space="preserve"> kapitálových výdavkov zo ŠR </w:t>
      </w:r>
      <w:r>
        <w:rPr>
          <w:rFonts w:ascii="Times New Roman" w:hAnsi="Times New Roman" w:cs="Times New Roman"/>
          <w:i/>
        </w:rPr>
        <w:t xml:space="preserve">pred transformáciou na neziskové       </w:t>
      </w:r>
    </w:p>
    <w:p w:rsidR="00532C51" w:rsidRPr="006905B5" w:rsidP="00532C51">
      <w:pPr>
        <w:ind w:firstLine="709"/>
        <w:rPr>
          <w:rFonts w:ascii="Times New Roman" w:hAnsi="Times New Roman" w:cs="Times New Roman"/>
          <w:i/>
        </w:rPr>
      </w:pPr>
      <w:r w:rsidR="00300469">
        <w:rPr>
          <w:rFonts w:ascii="Times New Roman" w:hAnsi="Times New Roman" w:cs="Times New Roman"/>
          <w:i/>
        </w:rPr>
        <w:t xml:space="preserve">                                  organizácie </w:t>
      </w:r>
      <w:r w:rsidRPr="006905B5">
        <w:rPr>
          <w:rFonts w:ascii="Times New Roman" w:hAnsi="Times New Roman" w:cs="Times New Roman"/>
          <w:i/>
        </w:rPr>
        <w:t>(v tisícoch Sk):</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3360"/>
        <w:gridCol w:w="1690"/>
        <w:gridCol w:w="3198"/>
      </w:tblGrid>
      <w:tr>
        <w:tblPrEx>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15"/>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b/>
                <w:bCs/>
              </w:rPr>
            </w:pPr>
            <w:r w:rsidRPr="006905B5">
              <w:rPr>
                <w:rFonts w:ascii="Times New Roman" w:hAnsi="Times New Roman" w:cs="Times New Roman"/>
                <w:b/>
                <w:bCs/>
              </w:rPr>
              <w:t>organizácia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b/>
              </w:rPr>
            </w:pPr>
            <w:r w:rsidRPr="006905B5">
              <w:rPr>
                <w:rFonts w:ascii="Times New Roman" w:hAnsi="Times New Roman" w:cs="Times New Roman"/>
                <w:b/>
              </w:rPr>
              <w:t> 2002-  2006</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center"/>
          </w:tcPr>
          <w:p w:rsidR="00532C51" w:rsidRPr="006905B5" w:rsidP="00EB37A6">
            <w:pPr>
              <w:rPr>
                <w:rFonts w:ascii="Times New Roman" w:hAnsi="Times New Roman" w:cs="Times New Roman"/>
                <w:b/>
              </w:rPr>
            </w:pPr>
            <w:r w:rsidRPr="006905B5">
              <w:rPr>
                <w:rFonts w:ascii="Times New Roman" w:hAnsi="Times New Roman" w:cs="Times New Roman"/>
                <w:b/>
              </w:rPr>
              <w:t>Transform</w:t>
            </w:r>
            <w:r w:rsidRPr="006905B5" w:rsidR="002647DC">
              <w:rPr>
                <w:rFonts w:ascii="Times New Roman" w:hAnsi="Times New Roman" w:cs="Times New Roman"/>
                <w:b/>
              </w:rPr>
              <w:t>ované</w:t>
            </w:r>
            <w:r w:rsidRPr="006905B5">
              <w:rPr>
                <w:rFonts w:ascii="Times New Roman" w:hAnsi="Times New Roman" w:cs="Times New Roman"/>
                <w:b/>
              </w:rPr>
              <w:t xml:space="preserve"> ku dňu</w:t>
            </w:r>
          </w:p>
        </w:tc>
      </w:tr>
      <w:tr>
        <w:tblPrEx>
          <w:tblW w:w="8248" w:type="dxa"/>
          <w:jc w:val="center"/>
          <w:tblCellMar>
            <w:left w:w="70" w:type="dxa"/>
            <w:right w:w="70" w:type="dxa"/>
          </w:tblCellMar>
        </w:tblPrEx>
        <w:trPr>
          <w:trHeight w:val="255"/>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 </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jc w:val="center"/>
              <w:rPr>
                <w:rFonts w:ascii="Times New Roman" w:hAnsi="Times New Roman" w:cs="Times New Roman"/>
                <w:b/>
                <w:bCs/>
                <w:sz w:val="20"/>
                <w:szCs w:val="20"/>
              </w:rPr>
            </w:pPr>
            <w:r w:rsidRPr="006905B5">
              <w:rPr>
                <w:rFonts w:ascii="Times New Roman" w:hAnsi="Times New Roman" w:cs="Times New Roman"/>
                <w:b/>
                <w:bCs/>
                <w:sz w:val="20"/>
                <w:szCs w:val="20"/>
              </w:rPr>
              <w:t>KV zo ŠR</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 </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color w:val="FF0000"/>
                <w:sz w:val="20"/>
                <w:szCs w:val="20"/>
              </w:rPr>
            </w:pPr>
            <w:r w:rsidRPr="006905B5">
              <w:rPr>
                <w:rFonts w:ascii="Times New Roman" w:hAnsi="Times New Roman" w:cs="Times New Roman"/>
                <w:color w:val="FF0000"/>
                <w:sz w:val="20"/>
                <w:szCs w:val="20"/>
              </w:rPr>
              <w:t>DPL Hraň</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color w:val="FF0000"/>
                <w:sz w:val="20"/>
                <w:szCs w:val="20"/>
              </w:rPr>
            </w:pPr>
            <w:r w:rsidRPr="006905B5">
              <w:rPr>
                <w:rFonts w:ascii="Times New Roman" w:hAnsi="Times New Roman" w:cs="Times New Roman"/>
                <w:bCs/>
                <w:color w:val="FF0000"/>
                <w:sz w:val="20"/>
                <w:szCs w:val="20"/>
              </w:rPr>
              <w:t>93 641</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1F38C7" w:rsidP="001F38C7">
            <w:pPr>
              <w:jc w:val="center"/>
              <w:rPr>
                <w:rFonts w:ascii="Times New Roman" w:hAnsi="Times New Roman" w:cs="Times New Roman"/>
                <w:color w:val="FF0000"/>
                <w:sz w:val="20"/>
                <w:szCs w:val="20"/>
              </w:rPr>
            </w:pPr>
            <w:r w:rsidRPr="006905B5" w:rsidR="00532C51">
              <w:rPr>
                <w:rFonts w:ascii="Times New Roman" w:hAnsi="Times New Roman" w:cs="Times New Roman"/>
                <w:color w:val="FF0000"/>
                <w:sz w:val="20"/>
                <w:szCs w:val="20"/>
              </w:rPr>
              <w:t>1. 8. 2004</w:t>
            </w:r>
          </w:p>
          <w:p w:rsidR="00532C51" w:rsidRPr="006905B5" w:rsidP="001F38C7">
            <w:pPr>
              <w:jc w:val="center"/>
              <w:rPr>
                <w:rFonts w:ascii="Times New Roman" w:hAnsi="Times New Roman" w:cs="Times New Roman"/>
                <w:color w:val="FF0000"/>
                <w:sz w:val="20"/>
                <w:szCs w:val="20"/>
              </w:rPr>
            </w:pPr>
            <w:r w:rsidRPr="006905B5">
              <w:rPr>
                <w:rFonts w:ascii="Times New Roman" w:hAnsi="Times New Roman" w:cs="Times New Roman"/>
                <w:color w:val="FF0000"/>
                <w:sz w:val="20"/>
                <w:szCs w:val="20"/>
              </w:rPr>
              <w:t xml:space="preserve"> – po</w:t>
            </w:r>
            <w:r w:rsidRPr="006905B5">
              <w:rPr>
                <w:rFonts w:ascii="Times New Roman" w:hAnsi="Times New Roman" w:cs="Times New Roman"/>
                <w:color w:val="FF0000"/>
                <w:sz w:val="20"/>
                <w:szCs w:val="20"/>
              </w:rPr>
              <w:t xml:space="preserve"> transformácii pridelené zo ŠR 5 653 tis. Sk</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NEDÚ Lubochňa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19 551</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1. 8. 2004</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Bardejov</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9 288</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1. 7. 2002</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Brezno</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9 000</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Ilava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8 000</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Nová Baňa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8 744</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color w:val="FF0000"/>
                <w:sz w:val="20"/>
                <w:szCs w:val="20"/>
              </w:rPr>
            </w:pPr>
            <w:r w:rsidRPr="006905B5">
              <w:rPr>
                <w:rFonts w:ascii="Times New Roman" w:hAnsi="Times New Roman" w:cs="Times New Roman"/>
                <w:color w:val="FF0000"/>
                <w:sz w:val="20"/>
                <w:szCs w:val="20"/>
              </w:rPr>
              <w:t>NsP Piešťany</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color w:val="FF0000"/>
                <w:sz w:val="20"/>
                <w:szCs w:val="20"/>
              </w:rPr>
            </w:pPr>
            <w:r w:rsidRPr="006905B5">
              <w:rPr>
                <w:rFonts w:ascii="Times New Roman" w:hAnsi="Times New Roman" w:cs="Times New Roman"/>
                <w:bCs/>
                <w:color w:val="FF0000"/>
                <w:sz w:val="20"/>
                <w:szCs w:val="20"/>
              </w:rPr>
              <w:t>29 799</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color w:val="FF0000"/>
                <w:sz w:val="20"/>
                <w:szCs w:val="20"/>
              </w:rPr>
            </w:pPr>
            <w:r w:rsidRPr="006905B5">
              <w:rPr>
                <w:rFonts w:ascii="Times New Roman" w:hAnsi="Times New Roman" w:cs="Times New Roman"/>
                <w:color w:val="FF0000"/>
                <w:sz w:val="20"/>
                <w:szCs w:val="20"/>
              </w:rPr>
              <w:t>1. 1. 2003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Veľký Krtíš</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4 896</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 xml:space="preserve">1. </w:t>
            </w:r>
            <w:r w:rsidRPr="006905B5">
              <w:rPr>
                <w:rFonts w:ascii="Times New Roman" w:hAnsi="Times New Roman" w:cs="Times New Roman"/>
                <w:sz w:val="20"/>
                <w:szCs w:val="20"/>
              </w:rPr>
              <w:t>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OLÚP Predná Hora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24 057</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1. 8. 2004</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OLÚTaRCH Kvetnica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13 247</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1. 6. 2004</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color w:val="FF0000"/>
                <w:sz w:val="20"/>
                <w:szCs w:val="20"/>
              </w:rPr>
            </w:pPr>
            <w:r w:rsidRPr="006905B5">
              <w:rPr>
                <w:rFonts w:ascii="Times New Roman" w:hAnsi="Times New Roman" w:cs="Times New Roman"/>
                <w:color w:val="FF0000"/>
                <w:sz w:val="20"/>
                <w:szCs w:val="20"/>
              </w:rPr>
              <w:t>ŠÚDTaRCH Dolný Smokovec</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color w:val="FF0000"/>
                <w:sz w:val="20"/>
                <w:szCs w:val="20"/>
              </w:rPr>
            </w:pPr>
            <w:r w:rsidRPr="006905B5">
              <w:rPr>
                <w:rFonts w:ascii="Times New Roman" w:hAnsi="Times New Roman" w:cs="Times New Roman"/>
                <w:bCs/>
                <w:color w:val="FF0000"/>
                <w:sz w:val="20"/>
                <w:szCs w:val="20"/>
              </w:rPr>
              <w:t>107 874</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color w:val="FF0000"/>
                <w:sz w:val="20"/>
                <w:szCs w:val="20"/>
              </w:rPr>
            </w:pPr>
            <w:r w:rsidRPr="006905B5">
              <w:rPr>
                <w:rFonts w:ascii="Times New Roman" w:hAnsi="Times New Roman" w:cs="Times New Roman"/>
                <w:color w:val="FF0000"/>
                <w:sz w:val="20"/>
                <w:szCs w:val="20"/>
              </w:rPr>
              <w:t>1. 4. 2004</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VOÚG Košice</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16 000</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1. 4. 2004</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NsP Revúca</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4 000</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1. 1. 2003</w:t>
            </w:r>
          </w:p>
        </w:tc>
      </w:tr>
      <w:tr>
        <w:tblPrEx>
          <w:tblW w:w="8248" w:type="dxa"/>
          <w:jc w:val="center"/>
          <w:tblCellMar>
            <w:left w:w="70" w:type="dxa"/>
            <w:right w:w="70" w:type="dxa"/>
          </w:tblCellMar>
        </w:tblPrEx>
        <w:trPr>
          <w:trHeight w:val="360"/>
          <w:jc w:val="center"/>
        </w:trPr>
        <w:tc>
          <w:tcPr>
            <w:tcW w:w="336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EB37A6">
            <w:pPr>
              <w:rPr>
                <w:rFonts w:ascii="Times New Roman" w:hAnsi="Times New Roman" w:cs="Times New Roman"/>
                <w:sz w:val="20"/>
                <w:szCs w:val="20"/>
              </w:rPr>
            </w:pPr>
            <w:r w:rsidRPr="006905B5">
              <w:rPr>
                <w:rFonts w:ascii="Times New Roman" w:hAnsi="Times New Roman" w:cs="Times New Roman"/>
                <w:sz w:val="20"/>
                <w:szCs w:val="20"/>
              </w:rPr>
              <w:t>OLÚTaRCH Nitra - Zobor</w:t>
            </w:r>
          </w:p>
        </w:tc>
        <w:tc>
          <w:tcPr>
            <w:tcW w:w="1690"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532C51" w:rsidRPr="006905B5" w:rsidP="001F38C7">
            <w:pPr>
              <w:jc w:val="right"/>
              <w:rPr>
                <w:rFonts w:ascii="Times New Roman" w:hAnsi="Times New Roman" w:cs="Times New Roman"/>
                <w:bCs/>
                <w:sz w:val="20"/>
                <w:szCs w:val="20"/>
              </w:rPr>
            </w:pPr>
            <w:r w:rsidRPr="006905B5">
              <w:rPr>
                <w:rFonts w:ascii="Times New Roman" w:hAnsi="Times New Roman" w:cs="Times New Roman"/>
                <w:bCs/>
                <w:sz w:val="20"/>
                <w:szCs w:val="20"/>
              </w:rPr>
              <w:t>12 426</w:t>
            </w:r>
          </w:p>
        </w:tc>
        <w:tc>
          <w:tcPr>
            <w:tcW w:w="3198" w:type="dxa"/>
            <w:tcBorders>
              <w:top w:val="single" w:sz="4" w:space="0" w:color="auto"/>
              <w:left w:val="single" w:sz="4" w:space="0" w:color="auto"/>
              <w:bottom w:val="single" w:sz="4" w:space="0" w:color="auto"/>
              <w:right w:val="single" w:sz="4" w:space="0" w:color="auto"/>
              <w:tl2br w:val="nil"/>
              <w:tr2bl w:val="nil"/>
            </w:tcBorders>
            <w:shd w:val="clear" w:color="auto" w:fill="FFFFFF"/>
            <w:noWrap/>
            <w:textDirection w:val="lrTb"/>
            <w:vAlign w:val="bottom"/>
          </w:tcPr>
          <w:p w:rsidR="001F38C7" w:rsidP="001F38C7">
            <w:pPr>
              <w:jc w:val="center"/>
              <w:rPr>
                <w:rFonts w:ascii="Times New Roman" w:hAnsi="Times New Roman" w:cs="Times New Roman"/>
                <w:sz w:val="20"/>
                <w:szCs w:val="20"/>
              </w:rPr>
            </w:pPr>
            <w:r w:rsidRPr="006905B5" w:rsidR="00532C51">
              <w:rPr>
                <w:rFonts w:ascii="Times New Roman" w:hAnsi="Times New Roman" w:cs="Times New Roman"/>
                <w:sz w:val="20"/>
                <w:szCs w:val="20"/>
              </w:rPr>
              <w:t>1. 6. 2004</w:t>
            </w:r>
          </w:p>
          <w:p w:rsidR="00532C51" w:rsidRPr="006905B5" w:rsidP="001F38C7">
            <w:pPr>
              <w:jc w:val="center"/>
              <w:rPr>
                <w:rFonts w:ascii="Times New Roman" w:hAnsi="Times New Roman" w:cs="Times New Roman"/>
                <w:sz w:val="20"/>
                <w:szCs w:val="20"/>
              </w:rPr>
            </w:pPr>
            <w:r w:rsidRPr="006905B5">
              <w:rPr>
                <w:rFonts w:ascii="Times New Roman" w:hAnsi="Times New Roman" w:cs="Times New Roman"/>
                <w:sz w:val="20"/>
                <w:szCs w:val="20"/>
              </w:rPr>
              <w:t xml:space="preserve"> - po transformácii pridelené</w:t>
            </w:r>
            <w:r w:rsidRPr="006905B5">
              <w:rPr>
                <w:rFonts w:ascii="Times New Roman" w:hAnsi="Times New Roman" w:cs="Times New Roman"/>
                <w:sz w:val="20"/>
                <w:szCs w:val="20"/>
              </w:rPr>
              <w:t xml:space="preserve"> zo ŠR 100 tis. Sk (v roku 2006ˇ)</w:t>
            </w:r>
          </w:p>
        </w:tc>
      </w:tr>
    </w:tbl>
    <w:p w:rsidR="00532C51" w:rsidRPr="006905B5" w:rsidP="00532C51">
      <w:pPr>
        <w:rPr>
          <w:rFonts w:ascii="Times New Roman" w:hAnsi="Times New Roman" w:cs="Times New Roman"/>
        </w:rPr>
      </w:pPr>
    </w:p>
    <w:p w:rsidR="00A16CB9" w:rsidRPr="006905B5" w:rsidP="00532C51">
      <w:pPr>
        <w:ind w:firstLine="709"/>
        <w:jc w:val="both"/>
        <w:rPr>
          <w:rFonts w:ascii="Times New Roman" w:hAnsi="Times New Roman" w:cs="Times New Roman"/>
        </w:rPr>
      </w:pPr>
    </w:p>
    <w:p w:rsidR="006877B4" w:rsidRPr="006905B5" w:rsidP="00532C51">
      <w:pPr>
        <w:jc w:val="both"/>
        <w:rPr>
          <w:rFonts w:ascii="Times New Roman" w:hAnsi="Times New Roman" w:cs="Times New Roman"/>
        </w:rPr>
      </w:pPr>
      <w:r w:rsidRPr="006905B5" w:rsidR="009B224C">
        <w:rPr>
          <w:rFonts w:ascii="Times New Roman" w:hAnsi="Times New Roman" w:cs="Times New Roman"/>
        </w:rPr>
        <w:tab/>
        <w:t>Za členov správnych rád za štát boli predchádzajúcim ministrom zdravotníctva SR Rudolfom Zajacom navrhovaní predovšetkým</w:t>
      </w:r>
      <w:r w:rsidRPr="006905B5" w:rsidR="002647DC">
        <w:rPr>
          <w:rFonts w:ascii="Times New Roman" w:hAnsi="Times New Roman" w:cs="Times New Roman"/>
        </w:rPr>
        <w:t>:</w:t>
      </w:r>
      <w:r w:rsidRPr="006905B5" w:rsidR="009B224C">
        <w:rPr>
          <w:rFonts w:ascii="Times New Roman" w:hAnsi="Times New Roman" w:cs="Times New Roman"/>
        </w:rPr>
        <w:t xml:space="preserve"> </w:t>
      </w:r>
    </w:p>
    <w:p w:rsidR="006877B4" w:rsidRPr="006905B5" w:rsidP="00532C51">
      <w:pPr>
        <w:numPr>
          <w:ilvl w:val="0"/>
          <w:numId w:val="13"/>
        </w:numPr>
        <w:tabs>
          <w:tab w:val="left" w:pos="360"/>
        </w:tabs>
        <w:jc w:val="both"/>
        <w:rPr>
          <w:rFonts w:ascii="Times New Roman" w:hAnsi="Times New Roman" w:cs="Times New Roman"/>
        </w:rPr>
      </w:pPr>
      <w:r w:rsidRPr="006905B5" w:rsidR="009B224C">
        <w:rPr>
          <w:rFonts w:ascii="Times New Roman" w:hAnsi="Times New Roman" w:cs="Times New Roman"/>
        </w:rPr>
        <w:t xml:space="preserve">členovia </w:t>
      </w:r>
      <w:r w:rsidRPr="006905B5" w:rsidR="00631E7A">
        <w:rPr>
          <w:rFonts w:ascii="Times New Roman" w:hAnsi="Times New Roman" w:cs="Times New Roman"/>
        </w:rPr>
        <w:t xml:space="preserve"> tzv.</w:t>
      </w:r>
      <w:r w:rsidRPr="006905B5" w:rsidR="002647DC">
        <w:rPr>
          <w:rFonts w:ascii="Times New Roman" w:hAnsi="Times New Roman" w:cs="Times New Roman"/>
        </w:rPr>
        <w:t xml:space="preserve"> </w:t>
      </w:r>
      <w:r w:rsidRPr="006905B5" w:rsidR="009B224C">
        <w:rPr>
          <w:rFonts w:ascii="Times New Roman" w:hAnsi="Times New Roman" w:cs="Times New Roman"/>
        </w:rPr>
        <w:t>„reform</w:t>
      </w:r>
      <w:r w:rsidRPr="006905B5" w:rsidR="00305063">
        <w:rPr>
          <w:rFonts w:ascii="Times New Roman" w:hAnsi="Times New Roman" w:cs="Times New Roman"/>
        </w:rPr>
        <w:t xml:space="preserve">ného tímu“ </w:t>
      </w:r>
      <w:r w:rsidRPr="006905B5" w:rsidR="00A21042">
        <w:rPr>
          <w:rFonts w:ascii="Times New Roman" w:hAnsi="Times New Roman" w:cs="Times New Roman"/>
        </w:rPr>
        <w:t xml:space="preserve">- </w:t>
      </w:r>
      <w:r w:rsidRPr="006905B5" w:rsidR="00305063">
        <w:rPr>
          <w:rFonts w:ascii="Times New Roman" w:hAnsi="Times New Roman" w:cs="Times New Roman"/>
        </w:rPr>
        <w:t>napr. Ing. Ježíková a</w:t>
      </w:r>
      <w:r w:rsidRPr="006905B5" w:rsidR="009B224C">
        <w:rPr>
          <w:rFonts w:ascii="Times New Roman" w:hAnsi="Times New Roman" w:cs="Times New Roman"/>
        </w:rPr>
        <w:t xml:space="preserve"> Ing. Sulíková</w:t>
      </w:r>
      <w:r w:rsidRPr="006905B5" w:rsidR="00ED1B8C">
        <w:rPr>
          <w:rFonts w:ascii="Times New Roman" w:hAnsi="Times New Roman" w:cs="Times New Roman"/>
        </w:rPr>
        <w:t xml:space="preserve"> - NEDÚ Ľubochňa</w:t>
      </w:r>
      <w:r w:rsidRPr="006905B5" w:rsidR="00532C51">
        <w:rPr>
          <w:rFonts w:ascii="Times New Roman" w:hAnsi="Times New Roman" w:cs="Times New Roman"/>
        </w:rPr>
        <w:t>,</w:t>
      </w:r>
      <w:r w:rsidRPr="006905B5" w:rsidR="009B224C">
        <w:rPr>
          <w:rFonts w:ascii="Times New Roman" w:hAnsi="Times New Roman" w:cs="Times New Roman"/>
        </w:rPr>
        <w:t xml:space="preserve"> štátni </w:t>
      </w:r>
      <w:r w:rsidRPr="006905B5" w:rsidR="009B224C">
        <w:rPr>
          <w:rFonts w:ascii="Times New Roman" w:hAnsi="Times New Roman" w:cs="Times New Roman"/>
        </w:rPr>
        <w:t>tajomníci (MUDr. Novotná</w:t>
      </w:r>
      <w:r w:rsidRPr="006905B5" w:rsidR="00AA518C">
        <w:rPr>
          <w:rFonts w:ascii="Times New Roman" w:hAnsi="Times New Roman" w:cs="Times New Roman"/>
        </w:rPr>
        <w:t xml:space="preserve"> - NEDÚ Ľubochňa</w:t>
      </w:r>
      <w:r w:rsidRPr="006905B5" w:rsidR="00442A13">
        <w:rPr>
          <w:rFonts w:ascii="Times New Roman" w:hAnsi="Times New Roman" w:cs="Times New Roman"/>
        </w:rPr>
        <w:t xml:space="preserve"> a OLÚTaRCH Kvetnica,</w:t>
      </w:r>
      <w:r w:rsidRPr="006905B5" w:rsidR="009B224C">
        <w:rPr>
          <w:rFonts w:ascii="Times New Roman" w:hAnsi="Times New Roman" w:cs="Times New Roman"/>
        </w:rPr>
        <w:t xml:space="preserve"> MUDr. Gajdoš</w:t>
      </w:r>
      <w:r w:rsidRPr="006905B5" w:rsidR="00FE704F">
        <w:rPr>
          <w:rFonts w:ascii="Times New Roman" w:hAnsi="Times New Roman" w:cs="Times New Roman"/>
        </w:rPr>
        <w:t xml:space="preserve"> a MUDr. Ottinger </w:t>
      </w:r>
      <w:r w:rsidRPr="006905B5" w:rsidR="00CF4410">
        <w:rPr>
          <w:rFonts w:ascii="Times New Roman" w:hAnsi="Times New Roman" w:cs="Times New Roman"/>
        </w:rPr>
        <w:t>–</w:t>
      </w:r>
      <w:r w:rsidRPr="006905B5" w:rsidR="00FE704F">
        <w:rPr>
          <w:rFonts w:ascii="Times New Roman" w:hAnsi="Times New Roman" w:cs="Times New Roman"/>
        </w:rPr>
        <w:t xml:space="preserve"> </w:t>
      </w:r>
      <w:r w:rsidRPr="006905B5" w:rsidR="00CF4410">
        <w:rPr>
          <w:rFonts w:ascii="Times New Roman" w:hAnsi="Times New Roman" w:cs="Times New Roman"/>
        </w:rPr>
        <w:t>Sanatórium Tatranská Kotlina</w:t>
      </w:r>
      <w:r w:rsidRPr="006905B5" w:rsidR="00532C51">
        <w:rPr>
          <w:rFonts w:ascii="Times New Roman" w:hAnsi="Times New Roman" w:cs="Times New Roman"/>
        </w:rPr>
        <w:t>)</w:t>
      </w:r>
      <w:r w:rsidRPr="006905B5" w:rsidR="009B224C">
        <w:rPr>
          <w:rFonts w:ascii="Times New Roman" w:hAnsi="Times New Roman" w:cs="Times New Roman"/>
        </w:rPr>
        <w:t xml:space="preserve">, </w:t>
      </w:r>
    </w:p>
    <w:p w:rsidR="009B224C" w:rsidRPr="006905B5" w:rsidP="00532C51">
      <w:pPr>
        <w:numPr>
          <w:ilvl w:val="0"/>
          <w:numId w:val="13"/>
        </w:numPr>
        <w:tabs>
          <w:tab w:val="left" w:pos="360"/>
        </w:tabs>
        <w:jc w:val="both"/>
        <w:rPr>
          <w:rFonts w:ascii="Times New Roman" w:hAnsi="Times New Roman" w:cs="Times New Roman"/>
        </w:rPr>
      </w:pPr>
      <w:r w:rsidRPr="006905B5">
        <w:rPr>
          <w:rFonts w:ascii="Times New Roman" w:hAnsi="Times New Roman" w:cs="Times New Roman"/>
        </w:rPr>
        <w:t>poslanci a osoby blízke politick</w:t>
      </w:r>
      <w:r w:rsidRPr="006905B5" w:rsidR="004D4189">
        <w:rPr>
          <w:rFonts w:ascii="Times New Roman" w:hAnsi="Times New Roman" w:cs="Times New Roman"/>
        </w:rPr>
        <w:t xml:space="preserve">ým stranám </w:t>
      </w:r>
      <w:r w:rsidRPr="006905B5" w:rsidR="006877B4">
        <w:rPr>
          <w:rFonts w:ascii="Times New Roman" w:hAnsi="Times New Roman" w:cs="Times New Roman"/>
        </w:rPr>
        <w:t xml:space="preserve">- </w:t>
      </w:r>
      <w:r w:rsidRPr="006905B5" w:rsidR="004D4189">
        <w:rPr>
          <w:rFonts w:ascii="Times New Roman" w:hAnsi="Times New Roman" w:cs="Times New Roman"/>
        </w:rPr>
        <w:t>napr. MUDr. Novotný a</w:t>
      </w:r>
      <w:r w:rsidRPr="006905B5">
        <w:rPr>
          <w:rFonts w:ascii="Times New Roman" w:hAnsi="Times New Roman" w:cs="Times New Roman"/>
        </w:rPr>
        <w:t xml:space="preserve"> Mgr. Henzélyová</w:t>
      </w:r>
      <w:r w:rsidRPr="006905B5" w:rsidR="00067913">
        <w:rPr>
          <w:rFonts w:ascii="Times New Roman" w:hAnsi="Times New Roman" w:cs="Times New Roman"/>
        </w:rPr>
        <w:t xml:space="preserve"> - </w:t>
      </w:r>
      <w:r w:rsidRPr="006905B5">
        <w:rPr>
          <w:rFonts w:ascii="Times New Roman" w:hAnsi="Times New Roman" w:cs="Times New Roman"/>
        </w:rPr>
        <w:t xml:space="preserve"> </w:t>
      </w:r>
      <w:r w:rsidRPr="006905B5" w:rsidR="00067913">
        <w:rPr>
          <w:rFonts w:ascii="Times New Roman" w:hAnsi="Times New Roman" w:cs="Times New Roman"/>
        </w:rPr>
        <w:t>VOÚG Košice, MUDr. Džupa - ŠÚDTaRCH Dolný Sm</w:t>
      </w:r>
      <w:r w:rsidRPr="006905B5" w:rsidR="00067913">
        <w:rPr>
          <w:rFonts w:ascii="Times New Roman" w:hAnsi="Times New Roman" w:cs="Times New Roman"/>
        </w:rPr>
        <w:t xml:space="preserve">okovec, </w:t>
      </w:r>
      <w:r w:rsidRPr="006905B5">
        <w:rPr>
          <w:rFonts w:ascii="Times New Roman" w:hAnsi="Times New Roman" w:cs="Times New Roman"/>
        </w:rPr>
        <w:t>MUDr. Biroš</w:t>
      </w:r>
      <w:r w:rsidRPr="006905B5" w:rsidR="008513D1">
        <w:rPr>
          <w:rFonts w:ascii="Times New Roman" w:hAnsi="Times New Roman" w:cs="Times New Roman"/>
        </w:rPr>
        <w:t xml:space="preserve"> - DPL Hraň</w:t>
      </w:r>
      <w:r w:rsidRPr="006905B5">
        <w:rPr>
          <w:rFonts w:ascii="Times New Roman" w:hAnsi="Times New Roman" w:cs="Times New Roman"/>
        </w:rPr>
        <w:t>, doc. Rakús</w:t>
      </w:r>
      <w:r w:rsidRPr="006905B5" w:rsidR="002748CA">
        <w:rPr>
          <w:rFonts w:ascii="Times New Roman" w:hAnsi="Times New Roman" w:cs="Times New Roman"/>
        </w:rPr>
        <w:t xml:space="preserve"> a  MUDr. Džupa – Psychiatrická nemocnica Michalovce</w:t>
      </w:r>
      <w:r w:rsidRPr="006905B5">
        <w:rPr>
          <w:rFonts w:ascii="Times New Roman" w:hAnsi="Times New Roman" w:cs="Times New Roman"/>
        </w:rPr>
        <w:t>, prof. Šagát</w:t>
      </w:r>
      <w:r w:rsidRPr="006905B5" w:rsidR="00996A9A">
        <w:rPr>
          <w:rFonts w:ascii="Times New Roman" w:hAnsi="Times New Roman" w:cs="Times New Roman"/>
        </w:rPr>
        <w:t xml:space="preserve"> – NsP Kráľovský Chlmec</w:t>
      </w:r>
      <w:r w:rsidRPr="006905B5" w:rsidR="005D79C4">
        <w:rPr>
          <w:rFonts w:ascii="Times New Roman" w:hAnsi="Times New Roman" w:cs="Times New Roman"/>
        </w:rPr>
        <w:t>, JUDr. Ján Pataky - NsP Bardejov</w:t>
      </w:r>
      <w:r w:rsidRPr="006905B5" w:rsidR="00631E7A">
        <w:rPr>
          <w:rFonts w:ascii="Times New Roman" w:hAnsi="Times New Roman" w:cs="Times New Roman"/>
        </w:rPr>
        <w:t xml:space="preserve"> a pod</w:t>
      </w:r>
      <w:r w:rsidRPr="006905B5">
        <w:rPr>
          <w:rFonts w:ascii="Times New Roman" w:hAnsi="Times New Roman" w:cs="Times New Roman"/>
        </w:rPr>
        <w:t xml:space="preserve">. </w:t>
      </w:r>
    </w:p>
    <w:p w:rsidR="009B224C" w:rsidRPr="006905B5" w:rsidP="009B224C">
      <w:pPr>
        <w:rPr>
          <w:rFonts w:ascii="Times New Roman" w:hAnsi="Times New Roman" w:cs="Times New Roman"/>
        </w:rPr>
      </w:pPr>
    </w:p>
    <w:p w:rsidR="009B224C" w:rsidRPr="006905B5" w:rsidP="00760742">
      <w:pPr>
        <w:jc w:val="both"/>
        <w:rPr>
          <w:rFonts w:ascii="Times New Roman" w:hAnsi="Times New Roman" w:cs="Times New Roman"/>
        </w:rPr>
      </w:pPr>
      <w:r w:rsidRPr="006905B5">
        <w:rPr>
          <w:rFonts w:ascii="Times New Roman" w:hAnsi="Times New Roman" w:cs="Times New Roman"/>
        </w:rPr>
        <w:tab/>
        <w:t xml:space="preserve">Ministerstvo zdravotníctva SR v súčasnosti naráža na celý rad problémov, ktoré považuje za potrebné urýchlene riešiť novelou zákona </w:t>
      </w:r>
      <w:r w:rsidRPr="006905B5" w:rsidR="007E76B8">
        <w:rPr>
          <w:rFonts w:ascii="Times New Roman" w:hAnsi="Times New Roman" w:cs="Times New Roman"/>
        </w:rPr>
        <w:t>č. 35/2002 Z. z. ktorým sa mení a dopĺňa zákon č. 213/1997 Z. z. o neziskových organizáciách poskytujúcich všeobecne prospešné služby</w:t>
      </w:r>
      <w:r w:rsidRPr="006905B5">
        <w:rPr>
          <w:rFonts w:ascii="Times New Roman" w:hAnsi="Times New Roman" w:cs="Times New Roman"/>
        </w:rPr>
        <w:t>. Ide o nasledovné okruhy problémov:</w:t>
      </w:r>
    </w:p>
    <w:p w:rsidR="009B224C" w:rsidRPr="006905B5" w:rsidP="00760742">
      <w:pPr>
        <w:jc w:val="both"/>
        <w:rPr>
          <w:rFonts w:ascii="Times New Roman" w:hAnsi="Times New Roman" w:cs="Times New Roman"/>
        </w:rPr>
      </w:pP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 xml:space="preserve">Posilnenie postavenia zakladateľa pri ochrane a nakladaní  s majetkom, ktorý štát vložil </w:t>
        <w:br/>
        <w:t>do neziskových organizácií</w:t>
      </w:r>
      <w:r w:rsidRPr="006905B5" w:rsidR="002647DC">
        <w:rPr>
          <w:rFonts w:ascii="Times New Roman" w:hAnsi="Times New Roman" w:cs="Times New Roman"/>
        </w:rPr>
        <w:t>.</w:t>
      </w:r>
    </w:p>
    <w:p w:rsidR="009B224C" w:rsidRPr="006905B5" w:rsidP="009B224C">
      <w:pPr>
        <w:numPr>
          <w:ilvl w:val="0"/>
          <w:numId w:val="9"/>
        </w:numPr>
        <w:tabs>
          <w:tab w:val="clear" w:pos="360"/>
        </w:tabs>
        <w:jc w:val="both"/>
        <w:rPr>
          <w:rFonts w:ascii="Times New Roman" w:hAnsi="Times New Roman" w:cs="Times New Roman"/>
        </w:rPr>
      </w:pPr>
      <w:r w:rsidRPr="006905B5">
        <w:rPr>
          <w:rFonts w:ascii="Times New Roman" w:hAnsi="Times New Roman" w:cs="Times New Roman"/>
        </w:rPr>
        <w:t>Skončenie funkčného obdobia členov správnych rád a ustanovenie nových správnych rád, vrátane určenia maximálnej dĺžky funkčného obdobia</w:t>
      </w:r>
      <w:r w:rsidRPr="006905B5" w:rsidR="002647DC">
        <w:rPr>
          <w:rFonts w:ascii="Times New Roman" w:hAnsi="Times New Roman" w:cs="Times New Roman"/>
        </w:rPr>
        <w:t>.</w:t>
      </w:r>
      <w:r w:rsidRPr="006905B5">
        <w:rPr>
          <w:rFonts w:ascii="Times New Roman" w:hAnsi="Times New Roman" w:cs="Times New Roman"/>
          <w:i/>
        </w:rPr>
        <w:t xml:space="preserve">   </w:t>
      </w: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 xml:space="preserve">Zákonnú úpravu kompetencie štátu (Ministerstva zdravotníctva SR) nominovať - </w:t>
        <w:br/>
        <w:t>po uplynutí funkčného obdobia - zástupcov štátu do správnych a dozorných rád v pôvodných počtoch</w:t>
      </w:r>
      <w:r w:rsidRPr="006905B5" w:rsidR="002647DC">
        <w:rPr>
          <w:rFonts w:ascii="Times New Roman" w:hAnsi="Times New Roman" w:cs="Times New Roman"/>
        </w:rPr>
        <w:t>.</w:t>
      </w: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Úpravu zániku členstva v správnej rade, ako aj možnosti odvolať členov správnych a dozorných rád - zástupcov štátu a menovať nových aj v priebehu stanoveného funkčného obdobia</w:t>
      </w:r>
      <w:r w:rsidRPr="006905B5" w:rsidR="002647DC">
        <w:rPr>
          <w:rFonts w:ascii="Times New Roman" w:hAnsi="Times New Roman" w:cs="Times New Roman"/>
        </w:rPr>
        <w:t>.</w:t>
      </w: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Možnosť prípadného opakovaného ustanovenia za člena správnej rady</w:t>
      </w:r>
      <w:r w:rsidRPr="006905B5" w:rsidR="002647DC">
        <w:rPr>
          <w:rFonts w:ascii="Times New Roman" w:hAnsi="Times New Roman" w:cs="Times New Roman"/>
        </w:rPr>
        <w:t>.</w:t>
      </w: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Úpravu postupu v prípade odstúpenia</w:t>
      </w:r>
      <w:r w:rsidRPr="006905B5" w:rsidR="00760742">
        <w:rPr>
          <w:rFonts w:ascii="Times New Roman" w:hAnsi="Times New Roman" w:cs="Times New Roman"/>
        </w:rPr>
        <w:t xml:space="preserve"> </w:t>
      </w:r>
      <w:r w:rsidRPr="006905B5">
        <w:rPr>
          <w:rFonts w:ascii="Times New Roman" w:hAnsi="Times New Roman" w:cs="Times New Roman"/>
        </w:rPr>
        <w:t>/</w:t>
      </w:r>
      <w:r w:rsidRPr="006905B5" w:rsidR="00760742">
        <w:rPr>
          <w:rFonts w:ascii="Times New Roman" w:hAnsi="Times New Roman" w:cs="Times New Roman"/>
        </w:rPr>
        <w:t xml:space="preserve"> </w:t>
      </w:r>
      <w:r w:rsidRPr="006905B5">
        <w:rPr>
          <w:rFonts w:ascii="Times New Roman" w:hAnsi="Times New Roman" w:cs="Times New Roman"/>
        </w:rPr>
        <w:t>odvolania</w:t>
      </w:r>
      <w:r w:rsidRPr="006905B5" w:rsidR="00760742">
        <w:rPr>
          <w:rFonts w:ascii="Times New Roman" w:hAnsi="Times New Roman" w:cs="Times New Roman"/>
        </w:rPr>
        <w:t xml:space="preserve"> </w:t>
      </w:r>
      <w:r w:rsidRPr="006905B5">
        <w:rPr>
          <w:rFonts w:ascii="Times New Roman" w:hAnsi="Times New Roman" w:cs="Times New Roman"/>
        </w:rPr>
        <w:t>/</w:t>
      </w:r>
      <w:r w:rsidRPr="006905B5" w:rsidR="00760742">
        <w:rPr>
          <w:rFonts w:ascii="Times New Roman" w:hAnsi="Times New Roman" w:cs="Times New Roman"/>
        </w:rPr>
        <w:t xml:space="preserve"> </w:t>
      </w:r>
      <w:r w:rsidRPr="006905B5">
        <w:rPr>
          <w:rFonts w:ascii="Times New Roman" w:hAnsi="Times New Roman" w:cs="Times New Roman"/>
        </w:rPr>
        <w:t>zániku členstva viacerých členov správnej rády</w:t>
      </w:r>
      <w:r w:rsidRPr="006905B5" w:rsidR="002647DC">
        <w:rPr>
          <w:rFonts w:ascii="Times New Roman" w:hAnsi="Times New Roman" w:cs="Times New Roman"/>
        </w:rPr>
        <w:t>.</w:t>
      </w:r>
    </w:p>
    <w:p w:rsidR="009B224C" w:rsidRPr="006905B5" w:rsidP="009B224C">
      <w:pPr>
        <w:numPr>
          <w:ilvl w:val="0"/>
          <w:numId w:val="9"/>
        </w:numPr>
        <w:tabs>
          <w:tab w:val="left" w:pos="360"/>
        </w:tabs>
        <w:jc w:val="both"/>
        <w:rPr>
          <w:rFonts w:ascii="Times New Roman" w:hAnsi="Times New Roman" w:cs="Times New Roman"/>
        </w:rPr>
      </w:pPr>
      <w:r w:rsidRPr="006905B5">
        <w:rPr>
          <w:rFonts w:ascii="Times New Roman" w:hAnsi="Times New Roman" w:cs="Times New Roman"/>
        </w:rPr>
        <w:t xml:space="preserve">Povinnosť zástupcov, ktorých zakladateľ (resp. Ministerstvo zdravotníctva SR) vysiela </w:t>
        <w:br/>
        <w:t>do orgánov neziskových organizácií, informovať o záveroch zo zasadnutí zriadených orgánov neziskových organizácií a konzultovať so zakladateľom odpredaj majetku, ktorý vložil do neziskovej organizácie, ako aj zmenu počtu členov správnej rady formou žiadosti o predbežný súhlas.</w:t>
      </w:r>
    </w:p>
    <w:p w:rsidR="009B224C" w:rsidRPr="006905B5" w:rsidP="009B224C">
      <w:pPr>
        <w:rPr>
          <w:rFonts w:ascii="Times New Roman" w:hAnsi="Times New Roman" w:cs="Times New Roman"/>
        </w:rPr>
      </w:pPr>
    </w:p>
    <w:p w:rsidR="00C70CE7" w:rsidRPr="006905B5" w:rsidP="00EC6AE5">
      <w:pPr>
        <w:jc w:val="both"/>
        <w:rPr>
          <w:rFonts w:ascii="Times New Roman" w:hAnsi="Times New Roman" w:cs="Times New Roman"/>
        </w:rPr>
      </w:pPr>
      <w:r w:rsidRPr="006905B5" w:rsidR="009B224C">
        <w:rPr>
          <w:rFonts w:ascii="Times New Roman" w:hAnsi="Times New Roman" w:cs="Times New Roman"/>
        </w:rPr>
        <w:tab/>
        <w:t>Z doterajšej praxe jednoznačne vyplýva nevhodnosť tejto právnej formy pre zdravotnícke zariadenia, pretože ide o spôsob ovládnutia majetku štátu cez minimálne vklady</w:t>
      </w:r>
      <w:r w:rsidRPr="006905B5" w:rsidR="007D4785">
        <w:rPr>
          <w:rFonts w:ascii="Times New Roman" w:hAnsi="Times New Roman" w:cs="Times New Roman"/>
        </w:rPr>
        <w:t xml:space="preserve"> spoluzakladateľov</w:t>
      </w:r>
      <w:r w:rsidRPr="006905B5" w:rsidR="00EC6AE5">
        <w:rPr>
          <w:rFonts w:ascii="Times New Roman" w:hAnsi="Times New Roman" w:cs="Times New Roman"/>
        </w:rPr>
        <w:t>.</w:t>
      </w:r>
      <w:r w:rsidRPr="006905B5" w:rsidR="00754B18">
        <w:rPr>
          <w:rFonts w:ascii="Times New Roman" w:hAnsi="Times New Roman" w:cs="Times New Roman"/>
        </w:rPr>
        <w:t xml:space="preserve"> Táto právna forma</w:t>
      </w:r>
      <w:r w:rsidRPr="006905B5" w:rsidR="009B224C">
        <w:rPr>
          <w:rFonts w:ascii="Times New Roman" w:hAnsi="Times New Roman" w:cs="Times New Roman"/>
        </w:rPr>
        <w:t xml:space="preserve"> je </w:t>
      </w:r>
      <w:r w:rsidRPr="006905B5" w:rsidR="0014325B">
        <w:rPr>
          <w:rFonts w:ascii="Times New Roman" w:hAnsi="Times New Roman" w:cs="Times New Roman"/>
        </w:rPr>
        <w:t xml:space="preserve">reálne </w:t>
      </w:r>
      <w:r w:rsidRPr="006905B5" w:rsidR="009B224C">
        <w:rPr>
          <w:rFonts w:ascii="Times New Roman" w:hAnsi="Times New Roman" w:cs="Times New Roman"/>
        </w:rPr>
        <w:t>absolútne mimo kontroly</w:t>
      </w:r>
      <w:r w:rsidRPr="006905B5" w:rsidR="0074660E">
        <w:rPr>
          <w:rFonts w:ascii="Times New Roman" w:hAnsi="Times New Roman" w:cs="Times New Roman"/>
        </w:rPr>
        <w:t xml:space="preserve"> štátu a</w:t>
      </w:r>
      <w:r w:rsidRPr="006905B5" w:rsidR="009B224C">
        <w:rPr>
          <w:rFonts w:ascii="Times New Roman" w:hAnsi="Times New Roman" w:cs="Times New Roman"/>
        </w:rPr>
        <w:t xml:space="preserve"> umožňuje nekontrolovateľné transakcie s majetkom (s výnimkou prioritného), hospodárskym výsledkom a pod</w:t>
      </w:r>
      <w:r w:rsidRPr="006905B5">
        <w:rPr>
          <w:rFonts w:ascii="Times New Roman" w:hAnsi="Times New Roman" w:cs="Times New Roman"/>
        </w:rPr>
        <w:t>obne</w:t>
      </w:r>
      <w:r w:rsidRPr="006905B5" w:rsidR="009B224C">
        <w:rPr>
          <w:rFonts w:ascii="Times New Roman" w:hAnsi="Times New Roman" w:cs="Times New Roman"/>
        </w:rPr>
        <w:t xml:space="preserve">. </w:t>
      </w:r>
      <w:r w:rsidRPr="006905B5" w:rsidR="002F50F8">
        <w:rPr>
          <w:rFonts w:ascii="Times New Roman" w:hAnsi="Times New Roman" w:cs="Times New Roman"/>
        </w:rPr>
        <w:t>Štát síce má v orgánoch neziskových organizácií nominovaných svojich zástupcov, no aj napriek tejto skutočnosti dochádza k podivuhodných transakciám, ktoré najvýstižnejšie deklaruje kauza Šrobárov ústav Dolný Smokovec.</w:t>
      </w:r>
      <w:r w:rsidRPr="006905B5" w:rsidR="00B719F0">
        <w:rPr>
          <w:rFonts w:ascii="Times New Roman" w:hAnsi="Times New Roman" w:cs="Times New Roman"/>
        </w:rPr>
        <w:t xml:space="preserve"> </w:t>
      </w:r>
      <w:r w:rsidRPr="006905B5" w:rsidR="00EC6058">
        <w:rPr>
          <w:rFonts w:ascii="Times New Roman" w:hAnsi="Times New Roman" w:cs="Times New Roman"/>
        </w:rPr>
        <w:t xml:space="preserve">Ten prišiel o lukratívnu budovu, v ktorej sídlil pavilón pre matky s deťmi s dýchacími problémami. </w:t>
      </w:r>
      <w:r w:rsidRPr="006905B5" w:rsidR="002647DC">
        <w:rPr>
          <w:rFonts w:ascii="Times New Roman" w:hAnsi="Times New Roman" w:cs="Times New Roman"/>
        </w:rPr>
        <w:t>K</w:t>
      </w:r>
      <w:r w:rsidRPr="006905B5" w:rsidR="00D55396">
        <w:rPr>
          <w:rFonts w:ascii="Times New Roman" w:hAnsi="Times New Roman" w:cs="Times New Roman"/>
        </w:rPr>
        <w:t>úpou ho zís</w:t>
      </w:r>
      <w:r w:rsidRPr="006905B5" w:rsidR="00D55396">
        <w:rPr>
          <w:rFonts w:ascii="Times New Roman" w:hAnsi="Times New Roman" w:cs="Times New Roman"/>
        </w:rPr>
        <w:t>kala bratislavská firma T</w:t>
      </w:r>
      <w:r w:rsidRPr="006905B5" w:rsidR="00070A32">
        <w:rPr>
          <w:rFonts w:ascii="Times New Roman" w:hAnsi="Times New Roman" w:cs="Times New Roman"/>
        </w:rPr>
        <w:t>era Invest za 52 miliónov Sk. Účtovná hodnota pavilónu je dvakrát vyššia  ak</w:t>
      </w:r>
      <w:r w:rsidRPr="006905B5" w:rsidR="00155090">
        <w:rPr>
          <w:rFonts w:ascii="Times New Roman" w:hAnsi="Times New Roman" w:cs="Times New Roman"/>
        </w:rPr>
        <w:t xml:space="preserve">o suma, za ktorú bol odpredaný, t.j. 102 miliónov Sk. </w:t>
      </w:r>
      <w:r w:rsidRPr="006905B5" w:rsidR="009754E5">
        <w:rPr>
          <w:rFonts w:ascii="Times New Roman" w:hAnsi="Times New Roman" w:cs="Times New Roman"/>
        </w:rPr>
        <w:t>Svoju bývalú budovu si teraz ústav od Tera Invest-u prenajíma. Za nájo</w:t>
      </w:r>
      <w:r w:rsidRPr="006905B5" w:rsidR="001E2A86">
        <w:rPr>
          <w:rFonts w:ascii="Times New Roman" w:hAnsi="Times New Roman" w:cs="Times New Roman"/>
        </w:rPr>
        <w:t>m bez energií zaplatí ročne tak</w:t>
      </w:r>
      <w:r w:rsidRPr="006905B5" w:rsidR="001E2A86">
        <w:rPr>
          <w:rFonts w:ascii="Times New Roman" w:hAnsi="Times New Roman" w:cs="Times New Roman"/>
        </w:rPr>
        <w:t>mer 11 miliónov</w:t>
      </w:r>
      <w:r w:rsidRPr="006905B5" w:rsidR="009754E5">
        <w:rPr>
          <w:rFonts w:ascii="Times New Roman" w:hAnsi="Times New Roman" w:cs="Times New Roman"/>
        </w:rPr>
        <w:t xml:space="preserve"> Sk.</w:t>
      </w:r>
      <w:r w:rsidRPr="006905B5" w:rsidR="00AD0599">
        <w:rPr>
          <w:rFonts w:ascii="Times New Roman" w:hAnsi="Times New Roman" w:cs="Times New Roman"/>
        </w:rPr>
        <w:t xml:space="preserve"> </w:t>
      </w:r>
      <w:r w:rsidRPr="006905B5" w:rsidR="005A4E1D">
        <w:rPr>
          <w:rFonts w:ascii="Times New Roman" w:hAnsi="Times New Roman" w:cs="Times New Roman"/>
        </w:rPr>
        <w:t>Počas celej doby prenájmu, ktorá je zazmluvnená do konca roka 2008, zapla</w:t>
      </w:r>
      <w:r w:rsidRPr="006905B5" w:rsidR="00B64091">
        <w:rPr>
          <w:rFonts w:ascii="Times New Roman" w:hAnsi="Times New Roman" w:cs="Times New Roman"/>
        </w:rPr>
        <w:t>tí ústav takmer 28 miliónov</w:t>
      </w:r>
      <w:r w:rsidRPr="006905B5" w:rsidR="005A4E1D">
        <w:rPr>
          <w:rFonts w:ascii="Times New Roman" w:hAnsi="Times New Roman" w:cs="Times New Roman"/>
        </w:rPr>
        <w:t xml:space="preserve"> Sk. </w:t>
      </w:r>
    </w:p>
    <w:p w:rsidR="00B17849" w:rsidRPr="006905B5" w:rsidP="001E2A86">
      <w:pPr>
        <w:ind w:firstLine="708"/>
        <w:jc w:val="both"/>
        <w:rPr>
          <w:rFonts w:ascii="Times New Roman" w:hAnsi="Times New Roman" w:cs="Times New Roman"/>
        </w:rPr>
      </w:pPr>
      <w:r w:rsidRPr="006905B5" w:rsidR="009B224C">
        <w:rPr>
          <w:rFonts w:ascii="Times New Roman" w:hAnsi="Times New Roman" w:cs="Times New Roman"/>
        </w:rPr>
        <w:t xml:space="preserve">Tento stav bol účelovo navodený predchádzajúcou vládou zákonom </w:t>
        <w:br/>
        <w:t xml:space="preserve">č. 35/2002 Z. z. ktorým sa mení a dopĺňa zákon č. 213/1997 Z. z. o neziskových organizáciách poskytujúcich všeobecne prospešné služby. </w:t>
      </w:r>
    </w:p>
    <w:p w:rsidR="00CE3510" w:rsidP="00E0464B">
      <w:pPr>
        <w:spacing w:line="360" w:lineRule="auto"/>
        <w:rPr>
          <w:rFonts w:ascii="Times New Roman" w:hAnsi="Times New Roman" w:cs="Times New Roman"/>
          <w:b/>
        </w:rPr>
      </w:pPr>
    </w:p>
    <w:p w:rsidR="00A75436" w:rsidRPr="006905B5" w:rsidP="00E0464B">
      <w:pPr>
        <w:spacing w:line="360" w:lineRule="auto"/>
        <w:rPr>
          <w:rFonts w:ascii="Times New Roman" w:hAnsi="Times New Roman" w:cs="Times New Roman"/>
          <w:b/>
        </w:rPr>
      </w:pPr>
      <w:r w:rsidRPr="006905B5" w:rsidR="00A746E2">
        <w:rPr>
          <w:rFonts w:ascii="Times New Roman" w:hAnsi="Times New Roman" w:cs="Times New Roman"/>
          <w:b/>
        </w:rPr>
        <w:t xml:space="preserve">B. </w:t>
      </w:r>
      <w:r w:rsidRPr="006905B5" w:rsidR="006664BF">
        <w:rPr>
          <w:rFonts w:ascii="Times New Roman" w:hAnsi="Times New Roman" w:cs="Times New Roman"/>
          <w:b/>
        </w:rPr>
        <w:t>Akciové spoločnosti</w:t>
      </w:r>
    </w:p>
    <w:p w:rsidR="008C2AF3" w:rsidRPr="006905B5" w:rsidP="00190850">
      <w:pPr>
        <w:tabs>
          <w:tab w:val="left" w:pos="9072"/>
        </w:tabs>
        <w:ind w:right="283" w:firstLine="709"/>
        <w:jc w:val="both"/>
        <w:rPr>
          <w:rFonts w:ascii="Times New Roman" w:hAnsi="Times New Roman" w:cs="Times New Roman"/>
        </w:rPr>
      </w:pPr>
    </w:p>
    <w:p w:rsidR="008C2AF3" w:rsidRPr="006905B5" w:rsidP="00FE2669">
      <w:pPr>
        <w:tabs>
          <w:tab w:val="left" w:pos="9072"/>
        </w:tabs>
        <w:ind w:right="283" w:firstLine="709"/>
        <w:jc w:val="both"/>
        <w:rPr>
          <w:rFonts w:ascii="Times New Roman" w:hAnsi="Times New Roman" w:cs="Times New Roman"/>
        </w:rPr>
      </w:pPr>
      <w:r w:rsidRPr="006905B5">
        <w:rPr>
          <w:rFonts w:ascii="Times New Roman" w:hAnsi="Times New Roman" w:cs="Times New Roman"/>
        </w:rPr>
        <w:t xml:space="preserve">Ministerstvo zdravotníctva je v súčasnosti </w:t>
      </w:r>
      <w:r w:rsidR="00CE3510">
        <w:rPr>
          <w:rFonts w:ascii="Times New Roman" w:hAnsi="Times New Roman" w:cs="Times New Roman"/>
        </w:rPr>
        <w:t>jedi</w:t>
      </w:r>
      <w:r w:rsidRPr="006905B5">
        <w:rPr>
          <w:rFonts w:ascii="Times New Roman" w:hAnsi="Times New Roman" w:cs="Times New Roman"/>
        </w:rPr>
        <w:t>ným akcionárom</w:t>
      </w:r>
      <w:r w:rsidR="00CE3510">
        <w:rPr>
          <w:rFonts w:ascii="Times New Roman" w:hAnsi="Times New Roman" w:cs="Times New Roman"/>
        </w:rPr>
        <w:t xml:space="preserve"> v </w:t>
      </w:r>
      <w:r w:rsidRPr="006905B5">
        <w:rPr>
          <w:rFonts w:ascii="Times New Roman" w:hAnsi="Times New Roman" w:cs="Times New Roman"/>
        </w:rPr>
        <w:t>5 akciových spoločnostiach, ktoré vznikli k 1.1</w:t>
      </w:r>
      <w:r w:rsidRPr="006905B5" w:rsidR="002647DC">
        <w:rPr>
          <w:rFonts w:ascii="Times New Roman" w:hAnsi="Times New Roman" w:cs="Times New Roman"/>
        </w:rPr>
        <w:t>.</w:t>
      </w:r>
      <w:r w:rsidRPr="006905B5">
        <w:rPr>
          <w:rFonts w:ascii="Times New Roman" w:hAnsi="Times New Roman" w:cs="Times New Roman"/>
        </w:rPr>
        <w:t xml:space="preserve"> 2006 respektíve k 20.2.2006. </w:t>
      </w:r>
      <w:r w:rsidRPr="006905B5" w:rsidR="00790C14">
        <w:rPr>
          <w:rFonts w:ascii="Times New Roman" w:hAnsi="Times New Roman" w:cs="Times New Roman"/>
        </w:rPr>
        <w:t>Sú to:</w:t>
      </w:r>
    </w:p>
    <w:p w:rsidR="00B81F61" w:rsidP="00790C14">
      <w:pPr>
        <w:rPr>
          <w:rFonts w:ascii="Times New Roman" w:hAnsi="Times New Roman" w:cs="Times New Roman"/>
        </w:rPr>
      </w:pPr>
      <w:r w:rsidRPr="006905B5" w:rsidR="0097122D">
        <w:rPr>
          <w:rFonts w:ascii="Times New Roman" w:hAnsi="Times New Roman" w:cs="Times New Roman"/>
        </w:rPr>
        <w:t xml:space="preserve"> </w:t>
      </w:r>
      <w:r w:rsidRPr="006905B5" w:rsidR="002136BB">
        <w:rPr>
          <w:rFonts w:ascii="Times New Roman" w:hAnsi="Times New Roman" w:cs="Times New Roman"/>
        </w:rPr>
        <w:tab/>
      </w:r>
    </w:p>
    <w:p w:rsidR="00F27D1D" w:rsidP="00790C14">
      <w:pPr>
        <w:rPr>
          <w:rFonts w:ascii="Times New Roman" w:hAnsi="Times New Roman" w:cs="Times New Roman"/>
        </w:rPr>
      </w:pPr>
    </w:p>
    <w:tbl>
      <w:tblPr>
        <w:tblW w:w="6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005"/>
        <w:gridCol w:w="1440"/>
        <w:gridCol w:w="1260"/>
      </w:tblGrid>
      <w:tr>
        <w:tblPrEx>
          <w:tblW w:w="6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40"/>
          <w:jc w:val="center"/>
        </w:trPr>
        <w:tc>
          <w:tcPr>
            <w:tcW w:w="4005"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b/>
                <w:sz w:val="20"/>
                <w:szCs w:val="20"/>
              </w:rPr>
            </w:pPr>
            <w:r w:rsidRPr="006905B5">
              <w:rPr>
                <w:rFonts w:ascii="Arial" w:hAnsi="Arial" w:cs="Arial"/>
                <w:b/>
                <w:sz w:val="20"/>
                <w:szCs w:val="20"/>
              </w:rPr>
              <w:t>názov akciovej spoločnosti</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b/>
                <w:sz w:val="20"/>
                <w:szCs w:val="20"/>
              </w:rPr>
            </w:pPr>
            <w:r w:rsidRPr="006905B5">
              <w:rPr>
                <w:rFonts w:ascii="Arial" w:hAnsi="Arial" w:cs="Arial"/>
                <w:b/>
                <w:sz w:val="20"/>
                <w:szCs w:val="20"/>
              </w:rPr>
              <w:t>schválená ku dňu (dátum vzniku)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8F598B" w:rsidP="005D3F18">
            <w:pPr>
              <w:jc w:val="center"/>
              <w:rPr>
                <w:rFonts w:ascii="Arial" w:hAnsi="Arial" w:cs="Arial"/>
                <w:b/>
                <w:bCs/>
                <w:sz w:val="20"/>
                <w:szCs w:val="20"/>
              </w:rPr>
            </w:pPr>
            <w:r w:rsidRPr="006905B5" w:rsidR="00F27D1D">
              <w:rPr>
                <w:rFonts w:ascii="Arial" w:hAnsi="Arial" w:cs="Arial"/>
                <w:b/>
                <w:bCs/>
                <w:sz w:val="20"/>
                <w:szCs w:val="20"/>
              </w:rPr>
              <w:t>základné imanie</w:t>
            </w:r>
          </w:p>
          <w:p w:rsidR="00F27D1D" w:rsidRPr="006905B5" w:rsidP="005D3F18">
            <w:pPr>
              <w:jc w:val="center"/>
              <w:rPr>
                <w:rFonts w:ascii="Arial" w:hAnsi="Arial" w:cs="Arial"/>
                <w:b/>
                <w:bCs/>
                <w:sz w:val="20"/>
                <w:szCs w:val="20"/>
              </w:rPr>
            </w:pPr>
            <w:r w:rsidRPr="006905B5">
              <w:rPr>
                <w:rFonts w:ascii="Arial" w:hAnsi="Arial" w:cs="Arial"/>
                <w:b/>
                <w:bCs/>
                <w:sz w:val="20"/>
                <w:szCs w:val="20"/>
              </w:rPr>
              <w:t>v tis. Sk</w:t>
            </w:r>
          </w:p>
        </w:tc>
      </w:tr>
      <w:tr>
        <w:tblPrEx>
          <w:tblW w:w="6705" w:type="dxa"/>
          <w:jc w:val="center"/>
          <w:tblCellMar>
            <w:left w:w="70" w:type="dxa"/>
            <w:right w:w="70" w:type="dxa"/>
          </w:tblCellMar>
        </w:tblPrEx>
        <w:trPr>
          <w:trHeight w:val="615"/>
          <w:jc w:val="center"/>
        </w:trPr>
        <w:tc>
          <w:tcPr>
            <w:tcW w:w="4005"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rPr>
                <w:rFonts w:ascii="Arial" w:hAnsi="Arial" w:cs="Arial"/>
                <w:sz w:val="20"/>
                <w:szCs w:val="20"/>
              </w:rPr>
            </w:pPr>
            <w:r w:rsidRPr="006905B5">
              <w:rPr>
                <w:rFonts w:ascii="Arial" w:hAnsi="Arial" w:cs="Arial"/>
                <w:sz w:val="20"/>
                <w:szCs w:val="20"/>
              </w:rPr>
              <w:t xml:space="preserve">Národný ústav srdcových a cievnych chorôb, a. s. </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sz w:val="20"/>
                <w:szCs w:val="20"/>
              </w:rPr>
            </w:pPr>
            <w:r w:rsidRPr="006905B5">
              <w:rPr>
                <w:rFonts w:ascii="Arial" w:hAnsi="Arial" w:cs="Arial"/>
                <w:sz w:val="20"/>
                <w:szCs w:val="20"/>
              </w:rPr>
              <w:t>1.11.2005                      (1. 1. 2006)</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AB44B5">
            <w:pPr>
              <w:jc w:val="right"/>
              <w:rPr>
                <w:rFonts w:ascii="Arial" w:hAnsi="Arial" w:cs="Arial"/>
                <w:sz w:val="20"/>
                <w:szCs w:val="20"/>
              </w:rPr>
            </w:pPr>
            <w:r w:rsidRPr="006905B5">
              <w:rPr>
                <w:rFonts w:ascii="Arial" w:hAnsi="Arial" w:cs="Arial"/>
                <w:sz w:val="20"/>
                <w:szCs w:val="20"/>
              </w:rPr>
              <w:t>2 242 342</w:t>
            </w:r>
          </w:p>
        </w:tc>
      </w:tr>
      <w:tr>
        <w:tblPrEx>
          <w:tblW w:w="6705" w:type="dxa"/>
          <w:jc w:val="center"/>
          <w:tblCellMar>
            <w:left w:w="70" w:type="dxa"/>
            <w:right w:w="70" w:type="dxa"/>
          </w:tblCellMar>
        </w:tblPrEx>
        <w:trPr>
          <w:trHeight w:val="615"/>
          <w:jc w:val="center"/>
        </w:trPr>
        <w:tc>
          <w:tcPr>
            <w:tcW w:w="4005"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rPr>
                <w:rFonts w:ascii="Arial" w:hAnsi="Arial" w:cs="Arial"/>
                <w:sz w:val="20"/>
                <w:szCs w:val="20"/>
              </w:rPr>
            </w:pPr>
            <w:r w:rsidRPr="006905B5">
              <w:rPr>
                <w:rFonts w:ascii="Arial" w:hAnsi="Arial" w:cs="Arial"/>
                <w:sz w:val="20"/>
                <w:szCs w:val="20"/>
              </w:rPr>
              <w:t>Stredoslovenský ústav srdcových a cievnych chorôb, a. s.</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sz w:val="20"/>
                <w:szCs w:val="20"/>
              </w:rPr>
            </w:pPr>
            <w:r w:rsidRPr="006905B5">
              <w:rPr>
                <w:rFonts w:ascii="Arial" w:hAnsi="Arial" w:cs="Arial"/>
                <w:sz w:val="20"/>
                <w:szCs w:val="20"/>
              </w:rPr>
              <w:t xml:space="preserve">1.11.2005       </w:t>
            </w:r>
            <w:r w:rsidRPr="006905B5">
              <w:rPr>
                <w:rFonts w:ascii="Arial" w:hAnsi="Arial" w:cs="Arial"/>
                <w:sz w:val="20"/>
                <w:szCs w:val="20"/>
              </w:rPr>
              <w:t xml:space="preserve">               (1. 1. 2006)</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AB44B5">
            <w:pPr>
              <w:jc w:val="right"/>
              <w:rPr>
                <w:rFonts w:ascii="Arial" w:hAnsi="Arial" w:cs="Arial"/>
                <w:sz w:val="20"/>
                <w:szCs w:val="20"/>
              </w:rPr>
            </w:pPr>
            <w:r w:rsidRPr="006905B5">
              <w:rPr>
                <w:rFonts w:ascii="Arial" w:hAnsi="Arial" w:cs="Arial"/>
                <w:sz w:val="20"/>
                <w:szCs w:val="20"/>
              </w:rPr>
              <w:t>542 418</w:t>
            </w:r>
          </w:p>
        </w:tc>
      </w:tr>
      <w:tr>
        <w:tblPrEx>
          <w:tblW w:w="6705" w:type="dxa"/>
          <w:jc w:val="center"/>
          <w:tblCellMar>
            <w:left w:w="70" w:type="dxa"/>
            <w:right w:w="70" w:type="dxa"/>
          </w:tblCellMar>
        </w:tblPrEx>
        <w:trPr>
          <w:trHeight w:val="555"/>
          <w:jc w:val="center"/>
        </w:trPr>
        <w:tc>
          <w:tcPr>
            <w:tcW w:w="4005"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rPr>
                <w:rFonts w:ascii="Arial" w:hAnsi="Arial" w:cs="Arial"/>
                <w:sz w:val="20"/>
                <w:szCs w:val="20"/>
              </w:rPr>
            </w:pPr>
            <w:r w:rsidRPr="006905B5">
              <w:rPr>
                <w:rFonts w:ascii="Arial" w:hAnsi="Arial" w:cs="Arial"/>
                <w:sz w:val="20"/>
                <w:szCs w:val="20"/>
              </w:rPr>
              <w:t>Východoslovenský ústav srdcových a cievnych chorôb Košice, a. s.</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sz w:val="20"/>
                <w:szCs w:val="20"/>
              </w:rPr>
            </w:pPr>
            <w:r w:rsidRPr="006905B5">
              <w:rPr>
                <w:rFonts w:ascii="Arial" w:hAnsi="Arial" w:cs="Arial"/>
                <w:sz w:val="20"/>
                <w:szCs w:val="20"/>
              </w:rPr>
              <w:t>1.11.2005                      (1. 1. 2006)</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AB44B5">
            <w:pPr>
              <w:jc w:val="right"/>
              <w:rPr>
                <w:rFonts w:ascii="Arial" w:hAnsi="Arial" w:cs="Arial"/>
                <w:sz w:val="20"/>
                <w:szCs w:val="20"/>
              </w:rPr>
            </w:pPr>
            <w:r w:rsidRPr="006905B5">
              <w:rPr>
                <w:rFonts w:ascii="Arial" w:hAnsi="Arial" w:cs="Arial"/>
                <w:sz w:val="20"/>
                <w:szCs w:val="20"/>
              </w:rPr>
              <w:t>726 933</w:t>
            </w:r>
          </w:p>
        </w:tc>
      </w:tr>
      <w:tr>
        <w:tblPrEx>
          <w:tblW w:w="6705" w:type="dxa"/>
          <w:jc w:val="center"/>
          <w:tblCellMar>
            <w:left w:w="70" w:type="dxa"/>
            <w:right w:w="70" w:type="dxa"/>
          </w:tblCellMar>
        </w:tblPrEx>
        <w:trPr>
          <w:trHeight w:val="540"/>
          <w:jc w:val="center"/>
        </w:trPr>
        <w:tc>
          <w:tcPr>
            <w:tcW w:w="4005"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F27D1D" w:rsidRPr="006905B5" w:rsidP="005D3F18">
            <w:pPr>
              <w:rPr>
                <w:rFonts w:ascii="Arial" w:hAnsi="Arial" w:cs="Arial"/>
                <w:sz w:val="20"/>
                <w:szCs w:val="20"/>
              </w:rPr>
            </w:pPr>
            <w:r w:rsidRPr="006905B5">
              <w:rPr>
                <w:rFonts w:ascii="Arial" w:hAnsi="Arial" w:cs="Arial"/>
                <w:sz w:val="20"/>
                <w:szCs w:val="20"/>
              </w:rPr>
              <w:t>Nemocnica Poprad, a. s.</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sz w:val="20"/>
                <w:szCs w:val="20"/>
              </w:rPr>
            </w:pPr>
            <w:r w:rsidRPr="006905B5">
              <w:rPr>
                <w:rFonts w:ascii="Arial" w:hAnsi="Arial" w:cs="Arial"/>
                <w:sz w:val="20"/>
                <w:szCs w:val="20"/>
              </w:rPr>
              <w:t>15.12.2005                             (20. 2. 2006)</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AB44B5">
            <w:pPr>
              <w:jc w:val="right"/>
              <w:rPr>
                <w:rFonts w:ascii="Arial" w:hAnsi="Arial" w:cs="Arial"/>
                <w:sz w:val="20"/>
                <w:szCs w:val="20"/>
              </w:rPr>
            </w:pPr>
            <w:r w:rsidRPr="006905B5">
              <w:rPr>
                <w:rFonts w:ascii="Arial" w:hAnsi="Arial" w:cs="Arial"/>
                <w:sz w:val="20"/>
                <w:szCs w:val="20"/>
              </w:rPr>
              <w:t>677 199</w:t>
            </w:r>
          </w:p>
        </w:tc>
      </w:tr>
      <w:tr>
        <w:tblPrEx>
          <w:tblW w:w="6705" w:type="dxa"/>
          <w:jc w:val="center"/>
          <w:tblCellMar>
            <w:left w:w="70" w:type="dxa"/>
            <w:right w:w="70" w:type="dxa"/>
          </w:tblCellMar>
        </w:tblPrEx>
        <w:trPr>
          <w:trHeight w:val="510"/>
          <w:jc w:val="center"/>
        </w:trPr>
        <w:tc>
          <w:tcPr>
            <w:tcW w:w="4005" w:type="dxa"/>
            <w:tcBorders>
              <w:top w:val="single" w:sz="4" w:space="0" w:color="auto"/>
              <w:left w:val="single" w:sz="4" w:space="0" w:color="auto"/>
              <w:bottom w:val="single" w:sz="4" w:space="0" w:color="auto"/>
              <w:right w:val="single" w:sz="4" w:space="0" w:color="auto"/>
              <w:tl2br w:val="nil"/>
              <w:tr2bl w:val="nil"/>
            </w:tcBorders>
            <w:noWrap/>
            <w:textDirection w:val="lrTb"/>
            <w:vAlign w:val="center"/>
          </w:tcPr>
          <w:p w:rsidR="00F27D1D" w:rsidRPr="006905B5" w:rsidP="00AB44B5">
            <w:pPr>
              <w:rPr>
                <w:rFonts w:ascii="Arial" w:hAnsi="Arial" w:cs="Arial"/>
                <w:sz w:val="20"/>
                <w:szCs w:val="20"/>
              </w:rPr>
            </w:pPr>
            <w:r w:rsidRPr="006905B5">
              <w:rPr>
                <w:rFonts w:ascii="Arial" w:hAnsi="Arial" w:cs="Arial"/>
                <w:sz w:val="20"/>
                <w:szCs w:val="20"/>
              </w:rPr>
              <w:t>Východoslovenský onkologický ústav, a. s.</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5D3F18">
            <w:pPr>
              <w:jc w:val="center"/>
              <w:rPr>
                <w:rFonts w:ascii="Arial" w:hAnsi="Arial" w:cs="Arial"/>
                <w:sz w:val="20"/>
                <w:szCs w:val="20"/>
              </w:rPr>
            </w:pPr>
            <w:r w:rsidRPr="006905B5">
              <w:rPr>
                <w:rFonts w:ascii="Arial" w:hAnsi="Arial" w:cs="Arial"/>
                <w:sz w:val="20"/>
                <w:szCs w:val="20"/>
              </w:rPr>
              <w:t>15.12.2005                             (20. 2. 2006)</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rsidR="00F27D1D" w:rsidRPr="006905B5" w:rsidP="00AB44B5">
            <w:pPr>
              <w:jc w:val="right"/>
              <w:rPr>
                <w:rFonts w:ascii="Arial" w:hAnsi="Arial" w:cs="Arial"/>
                <w:sz w:val="20"/>
                <w:szCs w:val="20"/>
              </w:rPr>
            </w:pPr>
            <w:r w:rsidRPr="006905B5">
              <w:rPr>
                <w:rFonts w:ascii="Arial" w:hAnsi="Arial" w:cs="Arial"/>
                <w:sz w:val="20"/>
                <w:szCs w:val="20"/>
              </w:rPr>
              <w:t>297 284</w:t>
            </w:r>
          </w:p>
        </w:tc>
      </w:tr>
    </w:tbl>
    <w:p w:rsidR="00F27D1D" w:rsidP="00790C14">
      <w:pPr>
        <w:rPr>
          <w:rFonts w:ascii="Times New Roman" w:hAnsi="Times New Roman" w:cs="Times New Roman"/>
        </w:rPr>
      </w:pPr>
    </w:p>
    <w:p w:rsidR="00F27D1D" w:rsidRPr="006905B5" w:rsidP="00790C14">
      <w:pPr>
        <w:rPr>
          <w:rFonts w:ascii="Times New Roman" w:hAnsi="Times New Roman" w:cs="Times New Roman"/>
        </w:rPr>
      </w:pPr>
    </w:p>
    <w:p w:rsidR="00790C14" w:rsidRPr="006905B5" w:rsidP="00B81F61">
      <w:pPr>
        <w:ind w:firstLine="708"/>
        <w:jc w:val="both"/>
        <w:rPr>
          <w:rFonts w:ascii="Times New Roman" w:hAnsi="Times New Roman" w:cs="Times New Roman"/>
        </w:rPr>
      </w:pPr>
      <w:r w:rsidRPr="006905B5" w:rsidR="0097122D">
        <w:rPr>
          <w:rFonts w:ascii="Times New Roman" w:hAnsi="Times New Roman" w:cs="Times New Roman"/>
        </w:rPr>
        <w:t>Vyššie uvedeným zdravotníckym zariadeniam minister R. Zajac</w:t>
      </w:r>
      <w:r w:rsidRPr="006905B5" w:rsidR="005520AB">
        <w:rPr>
          <w:rFonts w:ascii="Times New Roman" w:hAnsi="Times New Roman" w:cs="Times New Roman"/>
        </w:rPr>
        <w:t xml:space="preserve"> vytvoril všetky podmienky, aby po vzniku akciových spoločností</w:t>
      </w:r>
      <w:r w:rsidRPr="006905B5" w:rsidR="00D075B5">
        <w:rPr>
          <w:rFonts w:ascii="Times New Roman" w:hAnsi="Times New Roman" w:cs="Times New Roman"/>
        </w:rPr>
        <w:t xml:space="preserve"> nemuseli riešiť finančné problémy. </w:t>
      </w:r>
      <w:r w:rsidRPr="006905B5" w:rsidR="00C453D5">
        <w:rPr>
          <w:rFonts w:ascii="Times New Roman" w:hAnsi="Times New Roman" w:cs="Times New Roman"/>
        </w:rPr>
        <w:t xml:space="preserve"> Vkladom do základného imania rezervného fondu dostali tieto akciové spoločnosti prakti</w:t>
      </w:r>
      <w:r w:rsidR="00CE3510">
        <w:rPr>
          <w:rFonts w:ascii="Times New Roman" w:hAnsi="Times New Roman" w:cs="Times New Roman"/>
        </w:rPr>
        <w:t>c</w:t>
      </w:r>
      <w:r w:rsidRPr="006905B5" w:rsidR="00C453D5">
        <w:rPr>
          <w:rFonts w:ascii="Times New Roman" w:hAnsi="Times New Roman" w:cs="Times New Roman"/>
        </w:rPr>
        <w:t>ky zadarmo všetok svoj vtedajší majetok, vznikli „na zelenej lúke“, to znamená že začali svoju činnosť bez akýchkoľvek záväzkov.</w:t>
      </w:r>
      <w:r w:rsidRPr="006905B5" w:rsidR="004E65E5">
        <w:rPr>
          <w:rFonts w:ascii="Times New Roman" w:hAnsi="Times New Roman" w:cs="Times New Roman"/>
        </w:rPr>
        <w:t xml:space="preserve"> Aby sa vyhli v budúcnosti problému s financovaním, boli im optimálne nastavené jednotkové ceny výkonov zo strany zdravotných poisťovní. </w:t>
      </w:r>
    </w:p>
    <w:p w:rsidR="002136BB" w:rsidRPr="006905B5" w:rsidP="00B81F61">
      <w:pPr>
        <w:jc w:val="both"/>
        <w:rPr>
          <w:rFonts w:ascii="Times New Roman" w:hAnsi="Times New Roman" w:cs="Times New Roman"/>
        </w:rPr>
      </w:pPr>
      <w:r w:rsidRPr="006905B5">
        <w:rPr>
          <w:rFonts w:ascii="Times New Roman" w:hAnsi="Times New Roman" w:cs="Times New Roman"/>
        </w:rPr>
        <w:t xml:space="preserve">Za vytvorených podmienok bolo prakticky nemožné, aby tieto akciové spoločnosti nehospodárili s kladným hospodárskym výsledkom. </w:t>
      </w:r>
      <w:r w:rsidRPr="006905B5" w:rsidR="007A3773">
        <w:rPr>
          <w:rFonts w:ascii="Times New Roman" w:hAnsi="Times New Roman" w:cs="Times New Roman"/>
        </w:rPr>
        <w:t xml:space="preserve">Reformátori prezentujú </w:t>
      </w:r>
      <w:r w:rsidRPr="006905B5">
        <w:rPr>
          <w:rFonts w:ascii="Times New Roman" w:hAnsi="Times New Roman" w:cs="Times New Roman"/>
        </w:rPr>
        <w:t xml:space="preserve">tieto </w:t>
      </w:r>
      <w:r w:rsidRPr="006905B5" w:rsidR="007A3773">
        <w:rPr>
          <w:rFonts w:ascii="Times New Roman" w:hAnsi="Times New Roman" w:cs="Times New Roman"/>
        </w:rPr>
        <w:t xml:space="preserve">zdravotnícke zariadenia </w:t>
      </w:r>
      <w:r w:rsidRPr="006905B5" w:rsidR="00EA249B">
        <w:rPr>
          <w:rFonts w:ascii="Times New Roman" w:hAnsi="Times New Roman" w:cs="Times New Roman"/>
        </w:rPr>
        <w:t xml:space="preserve">ako </w:t>
      </w:r>
      <w:r w:rsidRPr="006905B5" w:rsidR="002F6211">
        <w:rPr>
          <w:rFonts w:ascii="Times New Roman" w:hAnsi="Times New Roman" w:cs="Times New Roman"/>
        </w:rPr>
        <w:t xml:space="preserve">„zázrak zdravotníckej reformy“ realizovanej bývalou vládou. </w:t>
      </w:r>
    </w:p>
    <w:p w:rsidR="0097122D" w:rsidRPr="006905B5" w:rsidP="00790C14">
      <w:pPr>
        <w:rPr>
          <w:rFonts w:ascii="Times New Roman" w:hAnsi="Times New Roman" w:cs="Times New Roman"/>
        </w:rPr>
      </w:pPr>
    </w:p>
    <w:p w:rsidR="00EC3F08" w:rsidRPr="006905B5" w:rsidP="008F598B">
      <w:pPr>
        <w:ind w:firstLine="709"/>
        <w:jc w:val="both"/>
        <w:rPr>
          <w:rFonts w:ascii="Times New Roman" w:hAnsi="Times New Roman" w:cs="Times New Roman"/>
        </w:rPr>
      </w:pPr>
      <w:r w:rsidRPr="006905B5" w:rsidR="00A13710">
        <w:rPr>
          <w:rFonts w:ascii="Times New Roman" w:hAnsi="Times New Roman" w:cs="Times New Roman"/>
        </w:rPr>
        <w:t>Zvyšných 16 zdravotníckych zariadení, väčšinou fakultných</w:t>
      </w:r>
      <w:r w:rsidR="00CE3510">
        <w:rPr>
          <w:rFonts w:ascii="Times New Roman" w:hAnsi="Times New Roman" w:cs="Times New Roman"/>
        </w:rPr>
        <w:t>,</w:t>
      </w:r>
      <w:r w:rsidRPr="006905B5" w:rsidR="00A13710">
        <w:rPr>
          <w:rFonts w:ascii="Times New Roman" w:hAnsi="Times New Roman" w:cs="Times New Roman"/>
        </w:rPr>
        <w:t xml:space="preserve"> respektíve</w:t>
      </w:r>
      <w:r w:rsidRPr="006905B5" w:rsidR="00A13710">
        <w:rPr>
          <w:rFonts w:ascii="Times New Roman" w:hAnsi="Times New Roman" w:cs="Times New Roman"/>
        </w:rPr>
        <w:t xml:space="preserve"> koncových nemocníc, sa </w:t>
      </w:r>
      <w:r w:rsidRPr="006905B5" w:rsidR="00125A68">
        <w:rPr>
          <w:rFonts w:ascii="Times New Roman" w:hAnsi="Times New Roman" w:cs="Times New Roman"/>
        </w:rPr>
        <w:t xml:space="preserve">rovnako </w:t>
      </w:r>
      <w:r w:rsidRPr="006905B5" w:rsidR="00A13710">
        <w:rPr>
          <w:rFonts w:ascii="Times New Roman" w:hAnsi="Times New Roman" w:cs="Times New Roman"/>
        </w:rPr>
        <w:t>pripravovalo na transformáciu</w:t>
      </w:r>
      <w:r w:rsidRPr="006905B5" w:rsidR="00125A68">
        <w:rPr>
          <w:rFonts w:ascii="Times New Roman" w:hAnsi="Times New Roman" w:cs="Times New Roman"/>
        </w:rPr>
        <w:t xml:space="preserve"> na akciové spoločnosti, na čo boli dotknutými zd</w:t>
      </w:r>
      <w:r w:rsidRPr="006905B5" w:rsidR="00140CF9">
        <w:rPr>
          <w:rFonts w:ascii="Times New Roman" w:hAnsi="Times New Roman" w:cs="Times New Roman"/>
        </w:rPr>
        <w:t>ravotníckymi zariadeniami ako aj</w:t>
      </w:r>
      <w:r w:rsidRPr="006905B5" w:rsidR="00125A68">
        <w:rPr>
          <w:rFonts w:ascii="Times New Roman" w:hAnsi="Times New Roman" w:cs="Times New Roman"/>
        </w:rPr>
        <w:t xml:space="preserve"> ministerstvom vynakladané nemalé finančné prostriedky. </w:t>
      </w:r>
      <w:r w:rsidRPr="006905B5" w:rsidR="00B81F61">
        <w:rPr>
          <w:rFonts w:ascii="Times New Roman" w:hAnsi="Times New Roman" w:cs="Times New Roman"/>
        </w:rPr>
        <w:t>Dňa</w:t>
      </w:r>
      <w:r w:rsidRPr="006905B5" w:rsidR="006664BF">
        <w:rPr>
          <w:rFonts w:ascii="Times New Roman" w:hAnsi="Times New Roman" w:cs="Times New Roman"/>
        </w:rPr>
        <w:t xml:space="preserve"> 3. júla 2006 </w:t>
      </w:r>
      <w:r w:rsidRPr="006905B5" w:rsidR="00B81F61">
        <w:rPr>
          <w:rFonts w:ascii="Times New Roman" w:hAnsi="Times New Roman" w:cs="Times New Roman"/>
        </w:rPr>
        <w:t xml:space="preserve">minister Rudolf Zajac </w:t>
      </w:r>
      <w:r w:rsidRPr="006905B5" w:rsidR="006664BF">
        <w:rPr>
          <w:rFonts w:ascii="Times New Roman" w:hAnsi="Times New Roman" w:cs="Times New Roman"/>
        </w:rPr>
        <w:t>poskyt</w:t>
      </w:r>
      <w:r w:rsidRPr="006905B5" w:rsidR="00B81F61">
        <w:rPr>
          <w:rFonts w:ascii="Times New Roman" w:hAnsi="Times New Roman" w:cs="Times New Roman"/>
        </w:rPr>
        <w:t>ol</w:t>
      </w:r>
      <w:r w:rsidRPr="006905B5" w:rsidR="006664BF">
        <w:rPr>
          <w:rFonts w:ascii="Times New Roman" w:hAnsi="Times New Roman" w:cs="Times New Roman"/>
        </w:rPr>
        <w:t xml:space="preserve"> účelov</w:t>
      </w:r>
      <w:r w:rsidR="00CE3510">
        <w:rPr>
          <w:rFonts w:ascii="Times New Roman" w:hAnsi="Times New Roman" w:cs="Times New Roman"/>
        </w:rPr>
        <w:t>ú</w:t>
      </w:r>
      <w:r w:rsidRPr="006905B5" w:rsidR="006664BF">
        <w:rPr>
          <w:rFonts w:ascii="Times New Roman" w:hAnsi="Times New Roman" w:cs="Times New Roman"/>
        </w:rPr>
        <w:t xml:space="preserve"> do</w:t>
      </w:r>
      <w:r w:rsidRPr="006905B5" w:rsidR="006664BF">
        <w:rPr>
          <w:rFonts w:ascii="Times New Roman" w:hAnsi="Times New Roman" w:cs="Times New Roman"/>
        </w:rPr>
        <w:t>táci</w:t>
      </w:r>
      <w:r w:rsidR="00CE3510">
        <w:rPr>
          <w:rFonts w:ascii="Times New Roman" w:hAnsi="Times New Roman" w:cs="Times New Roman"/>
        </w:rPr>
        <w:t>u</w:t>
      </w:r>
      <w:r w:rsidRPr="006905B5" w:rsidR="006664BF">
        <w:rPr>
          <w:rFonts w:ascii="Times New Roman" w:hAnsi="Times New Roman" w:cs="Times New Roman"/>
        </w:rPr>
        <w:t xml:space="preserve"> </w:t>
      </w:r>
      <w:r w:rsidRPr="006905B5" w:rsidR="00B81F61">
        <w:rPr>
          <w:rFonts w:ascii="Times New Roman" w:hAnsi="Times New Roman" w:cs="Times New Roman"/>
        </w:rPr>
        <w:t xml:space="preserve">takmer 9 miliónov </w:t>
      </w:r>
      <w:r w:rsidRPr="006905B5" w:rsidR="00396E89">
        <w:rPr>
          <w:rFonts w:ascii="Times New Roman" w:hAnsi="Times New Roman" w:cs="Times New Roman"/>
        </w:rPr>
        <w:t>Sk</w:t>
      </w:r>
      <w:r w:rsidRPr="006905B5" w:rsidR="00B81F61">
        <w:rPr>
          <w:rFonts w:ascii="Times New Roman" w:hAnsi="Times New Roman" w:cs="Times New Roman"/>
        </w:rPr>
        <w:t>, ktor</w:t>
      </w:r>
      <w:r w:rsidR="00CE3510">
        <w:rPr>
          <w:rFonts w:ascii="Times New Roman" w:hAnsi="Times New Roman" w:cs="Times New Roman"/>
        </w:rPr>
        <w:t>á</w:t>
      </w:r>
      <w:r w:rsidRPr="006905B5" w:rsidR="00B81F61">
        <w:rPr>
          <w:rFonts w:ascii="Times New Roman" w:hAnsi="Times New Roman" w:cs="Times New Roman"/>
        </w:rPr>
        <w:t xml:space="preserve"> bol</w:t>
      </w:r>
      <w:r w:rsidR="00CE3510">
        <w:rPr>
          <w:rFonts w:ascii="Times New Roman" w:hAnsi="Times New Roman" w:cs="Times New Roman"/>
        </w:rPr>
        <w:t>a</w:t>
      </w:r>
      <w:r w:rsidRPr="006905B5" w:rsidR="00B81F61">
        <w:rPr>
          <w:rFonts w:ascii="Times New Roman" w:hAnsi="Times New Roman" w:cs="Times New Roman"/>
        </w:rPr>
        <w:t xml:space="preserve"> v tom čase</w:t>
      </w:r>
      <w:r w:rsidRPr="006905B5" w:rsidR="00B06824">
        <w:rPr>
          <w:rFonts w:ascii="Times New Roman" w:hAnsi="Times New Roman" w:cs="Times New Roman"/>
        </w:rPr>
        <w:t xml:space="preserve"> zbytočne vynaloženým náklad</w:t>
      </w:r>
      <w:r w:rsidR="00CE3510">
        <w:rPr>
          <w:rFonts w:ascii="Times New Roman" w:hAnsi="Times New Roman" w:cs="Times New Roman"/>
        </w:rPr>
        <w:t>o</w:t>
      </w:r>
      <w:r w:rsidRPr="006905B5" w:rsidR="00B06824">
        <w:rPr>
          <w:rFonts w:ascii="Times New Roman" w:hAnsi="Times New Roman" w:cs="Times New Roman"/>
        </w:rPr>
        <w:t>m</w:t>
      </w:r>
      <w:r w:rsidR="00CE3510">
        <w:rPr>
          <w:rFonts w:ascii="Times New Roman" w:hAnsi="Times New Roman" w:cs="Times New Roman"/>
        </w:rPr>
        <w:t>.</w:t>
      </w:r>
      <w:r w:rsidRPr="006905B5" w:rsidR="00B06824">
        <w:rPr>
          <w:rFonts w:ascii="Times New Roman" w:hAnsi="Times New Roman" w:cs="Times New Roman"/>
        </w:rPr>
        <w:t xml:space="preserve"> </w:t>
      </w:r>
      <w:r w:rsidRPr="006905B5" w:rsidR="00044AE2">
        <w:rPr>
          <w:rFonts w:ascii="Times New Roman" w:hAnsi="Times New Roman" w:cs="Times New Roman"/>
        </w:rPr>
        <w:t xml:space="preserve">Financie boli </w:t>
      </w:r>
      <w:r w:rsidRPr="006905B5" w:rsidR="00B16284">
        <w:rPr>
          <w:rFonts w:ascii="Times New Roman" w:hAnsi="Times New Roman" w:cs="Times New Roman"/>
        </w:rPr>
        <w:t xml:space="preserve">z MZ </w:t>
      </w:r>
      <w:r w:rsidRPr="006905B5" w:rsidR="00044AE2">
        <w:rPr>
          <w:rFonts w:ascii="Times New Roman" w:hAnsi="Times New Roman" w:cs="Times New Roman"/>
        </w:rPr>
        <w:t xml:space="preserve">prevedené jednotlivým </w:t>
      </w:r>
      <w:r w:rsidRPr="006905B5" w:rsidR="00B16284">
        <w:rPr>
          <w:rFonts w:ascii="Times New Roman" w:hAnsi="Times New Roman" w:cs="Times New Roman"/>
        </w:rPr>
        <w:t>zdravotníckym zaradeniam</w:t>
      </w:r>
      <w:r w:rsidRPr="006905B5" w:rsidR="00044AE2">
        <w:rPr>
          <w:rFonts w:ascii="Times New Roman" w:hAnsi="Times New Roman" w:cs="Times New Roman"/>
        </w:rPr>
        <w:t xml:space="preserve">, tie </w:t>
      </w:r>
      <w:r w:rsidRPr="006905B5" w:rsidR="00B16284">
        <w:rPr>
          <w:rFonts w:ascii="Times New Roman" w:hAnsi="Times New Roman" w:cs="Times New Roman"/>
        </w:rPr>
        <w:t xml:space="preserve">celú dotáciu </w:t>
      </w:r>
      <w:r w:rsidRPr="006905B5" w:rsidR="00052100">
        <w:rPr>
          <w:rFonts w:ascii="Times New Roman" w:hAnsi="Times New Roman" w:cs="Times New Roman"/>
        </w:rPr>
        <w:t xml:space="preserve"> previedli jednej </w:t>
      </w:r>
      <w:r w:rsidRPr="006905B5" w:rsidR="00A9584A">
        <w:rPr>
          <w:rFonts w:ascii="Times New Roman" w:hAnsi="Times New Roman" w:cs="Times New Roman"/>
        </w:rPr>
        <w:t xml:space="preserve">a tej istej </w:t>
      </w:r>
      <w:r w:rsidRPr="006905B5" w:rsidR="00052100">
        <w:rPr>
          <w:rFonts w:ascii="Times New Roman" w:hAnsi="Times New Roman" w:cs="Times New Roman"/>
        </w:rPr>
        <w:t xml:space="preserve">osobe </w:t>
      </w:r>
      <w:r w:rsidRPr="006905B5" w:rsidR="00A9584A">
        <w:rPr>
          <w:rFonts w:ascii="Times New Roman" w:hAnsi="Times New Roman" w:cs="Times New Roman"/>
        </w:rPr>
        <w:t xml:space="preserve">z titulu </w:t>
      </w:r>
      <w:r w:rsidRPr="006905B5" w:rsidR="00B16284">
        <w:rPr>
          <w:rFonts w:ascii="Times New Roman" w:hAnsi="Times New Roman" w:cs="Times New Roman"/>
        </w:rPr>
        <w:t>úhrad</w:t>
      </w:r>
      <w:r w:rsidRPr="006905B5" w:rsidR="00A9584A">
        <w:rPr>
          <w:rFonts w:ascii="Times New Roman" w:hAnsi="Times New Roman" w:cs="Times New Roman"/>
        </w:rPr>
        <w:t>y</w:t>
      </w:r>
      <w:r w:rsidRPr="006905B5" w:rsidR="00B16284">
        <w:rPr>
          <w:rFonts w:ascii="Times New Roman" w:hAnsi="Times New Roman" w:cs="Times New Roman"/>
        </w:rPr>
        <w:t xml:space="preserve"> </w:t>
      </w:r>
      <w:r w:rsidRPr="006905B5" w:rsidR="00044AE2">
        <w:rPr>
          <w:rFonts w:ascii="Times New Roman" w:hAnsi="Times New Roman" w:cs="Times New Roman"/>
        </w:rPr>
        <w:t>administrat</w:t>
      </w:r>
      <w:r w:rsidRPr="006905B5" w:rsidR="00B16284">
        <w:rPr>
          <w:rFonts w:ascii="Times New Roman" w:hAnsi="Times New Roman" w:cs="Times New Roman"/>
        </w:rPr>
        <w:t>ívnych</w:t>
      </w:r>
      <w:r w:rsidRPr="006905B5" w:rsidR="00044AE2">
        <w:rPr>
          <w:rFonts w:ascii="Times New Roman" w:hAnsi="Times New Roman" w:cs="Times New Roman"/>
        </w:rPr>
        <w:t xml:space="preserve"> nákladov príspevkových organizácií – zdravotníckych zariadení v súvislosti s transformáciou na akciové spoločnosti</w:t>
      </w:r>
      <w:r w:rsidRPr="006905B5" w:rsidR="00B16284">
        <w:rPr>
          <w:rFonts w:ascii="Times New Roman" w:hAnsi="Times New Roman" w:cs="Times New Roman"/>
        </w:rPr>
        <w:t>.</w:t>
      </w:r>
      <w:r w:rsidRPr="006905B5" w:rsidR="00A9584A">
        <w:rPr>
          <w:rFonts w:ascii="Times New Roman" w:hAnsi="Times New Roman" w:cs="Times New Roman"/>
        </w:rPr>
        <w:t xml:space="preserve"> Išlo o notárku, ktorá</w:t>
      </w:r>
      <w:r w:rsidRPr="006905B5">
        <w:rPr>
          <w:rFonts w:ascii="Times New Roman" w:hAnsi="Times New Roman" w:cs="Times New Roman"/>
        </w:rPr>
        <w:t xml:space="preserve"> </w:t>
      </w:r>
      <w:r w:rsidR="0001609A">
        <w:rPr>
          <w:rFonts w:ascii="Times New Roman" w:hAnsi="Times New Roman" w:cs="Times New Roman"/>
        </w:rPr>
        <w:t xml:space="preserve">na pokyn MZ aj </w:t>
      </w:r>
      <w:r w:rsidR="00CE3510">
        <w:rPr>
          <w:rFonts w:ascii="Times New Roman" w:hAnsi="Times New Roman" w:cs="Times New Roman"/>
        </w:rPr>
        <w:t>napriek  pozastaven</w:t>
      </w:r>
      <w:r w:rsidR="0001609A">
        <w:rPr>
          <w:rFonts w:ascii="Times New Roman" w:hAnsi="Times New Roman" w:cs="Times New Roman"/>
        </w:rPr>
        <w:t>iu</w:t>
      </w:r>
      <w:r w:rsidR="00CE3510">
        <w:rPr>
          <w:rFonts w:ascii="Times New Roman" w:hAnsi="Times New Roman" w:cs="Times New Roman"/>
        </w:rPr>
        <w:t xml:space="preserve"> procesu transformácie chystala notárske zápisnice na založenie a zapísanie poskytovateľov zdravotnej starostlivosti na právnu formu akciových spoločností</w:t>
      </w:r>
      <w:r w:rsidRPr="006905B5">
        <w:rPr>
          <w:rFonts w:ascii="Times New Roman" w:hAnsi="Times New Roman" w:cs="Times New Roman"/>
        </w:rPr>
        <w:t>.</w:t>
      </w:r>
    </w:p>
    <w:p w:rsidR="00423BFF" w:rsidRPr="006905B5" w:rsidP="006166EC">
      <w:pPr>
        <w:rPr>
          <w:rFonts w:ascii="Times New Roman" w:hAnsi="Times New Roman" w:cs="Times New Roman"/>
          <w:b/>
        </w:rPr>
      </w:pPr>
    </w:p>
    <w:p w:rsidR="007D34C7" w:rsidRPr="006905B5" w:rsidP="006166EC">
      <w:pPr>
        <w:rPr>
          <w:rFonts w:ascii="Times New Roman" w:hAnsi="Times New Roman" w:cs="Times New Roman"/>
          <w:b/>
        </w:rPr>
      </w:pPr>
    </w:p>
    <w:p w:rsidR="007D34C7" w:rsidRPr="006905B5" w:rsidP="006166EC">
      <w:pPr>
        <w:rPr>
          <w:rFonts w:ascii="Times New Roman" w:hAnsi="Times New Roman" w:cs="Times New Roman"/>
          <w:b/>
        </w:rPr>
      </w:pPr>
    </w:p>
    <w:p w:rsidR="006166EC" w:rsidRPr="006905B5" w:rsidP="006166EC">
      <w:pPr>
        <w:rPr>
          <w:rFonts w:ascii="Times New Roman" w:hAnsi="Times New Roman" w:cs="Times New Roman"/>
          <w:b/>
        </w:rPr>
      </w:pPr>
      <w:r w:rsidRPr="006905B5" w:rsidR="00344F5A">
        <w:rPr>
          <w:rFonts w:ascii="Times New Roman" w:hAnsi="Times New Roman" w:cs="Times New Roman"/>
          <w:b/>
        </w:rPr>
        <w:t xml:space="preserve">C.  </w:t>
      </w:r>
      <w:r w:rsidRPr="006905B5">
        <w:rPr>
          <w:rFonts w:ascii="Times New Roman" w:hAnsi="Times New Roman" w:cs="Times New Roman"/>
          <w:b/>
        </w:rPr>
        <w:t>Odštátnenie lukratívnych činností</w:t>
      </w:r>
      <w:r w:rsidRPr="006905B5" w:rsidR="00344F5A">
        <w:rPr>
          <w:rFonts w:ascii="Times New Roman" w:hAnsi="Times New Roman" w:cs="Times New Roman"/>
          <w:b/>
        </w:rPr>
        <w:t xml:space="preserve"> zdravotníckych zariadení</w:t>
      </w:r>
      <w:r w:rsidRPr="006905B5">
        <w:rPr>
          <w:rFonts w:ascii="Times New Roman" w:hAnsi="Times New Roman" w:cs="Times New Roman"/>
          <w:b/>
        </w:rPr>
        <w:t xml:space="preserve"> </w:t>
      </w:r>
    </w:p>
    <w:p w:rsidR="006166EC" w:rsidRPr="006905B5" w:rsidP="006166EC">
      <w:pPr>
        <w:rPr>
          <w:rFonts w:ascii="Times New Roman" w:hAnsi="Times New Roman" w:cs="Times New Roman"/>
        </w:rPr>
      </w:pPr>
    </w:p>
    <w:p w:rsidR="00B1397D" w:rsidRPr="006905B5" w:rsidP="002D663A">
      <w:pPr>
        <w:ind w:firstLine="708"/>
        <w:rPr>
          <w:rFonts w:ascii="Times New Roman" w:hAnsi="Times New Roman" w:cs="Times New Roman"/>
        </w:rPr>
      </w:pPr>
      <w:r w:rsidRPr="006905B5" w:rsidR="00CE4BE9">
        <w:rPr>
          <w:rFonts w:ascii="Times New Roman" w:hAnsi="Times New Roman" w:cs="Times New Roman"/>
        </w:rPr>
        <w:t>Lukratívnymi činnosťami zdravotníckych zariadení sa na účely tejto správy rozumejú</w:t>
      </w:r>
      <w:r w:rsidRPr="006905B5" w:rsidR="00EF6191">
        <w:rPr>
          <w:rFonts w:ascii="Times New Roman" w:hAnsi="Times New Roman" w:cs="Times New Roman"/>
        </w:rPr>
        <w:t xml:space="preserve"> </w:t>
      </w:r>
      <w:r w:rsidRPr="006905B5" w:rsidR="006166EC">
        <w:rPr>
          <w:rFonts w:ascii="Times New Roman" w:hAnsi="Times New Roman" w:cs="Times New Roman"/>
        </w:rPr>
        <w:t>ziskové časti zdravotníckych zariadení,</w:t>
      </w:r>
      <w:r w:rsidRPr="006905B5" w:rsidR="00631E7A">
        <w:rPr>
          <w:rFonts w:ascii="Times New Roman" w:hAnsi="Times New Roman" w:cs="Times New Roman"/>
        </w:rPr>
        <w:t xml:space="preserve"> </w:t>
      </w:r>
      <w:r w:rsidRPr="006905B5" w:rsidR="002D663A">
        <w:rPr>
          <w:rFonts w:ascii="Times New Roman" w:hAnsi="Times New Roman" w:cs="Times New Roman"/>
        </w:rPr>
        <w:t xml:space="preserve">ide </w:t>
      </w:r>
      <w:r w:rsidRPr="006905B5" w:rsidR="004348CA">
        <w:rPr>
          <w:rFonts w:ascii="Times New Roman" w:hAnsi="Times New Roman" w:cs="Times New Roman"/>
        </w:rPr>
        <w:t>najmä o</w:t>
      </w:r>
    </w:p>
    <w:p w:rsidR="00B1397D" w:rsidRPr="006905B5" w:rsidP="00EC5433">
      <w:pPr>
        <w:ind w:left="708"/>
        <w:rPr>
          <w:rFonts w:ascii="Times New Roman" w:hAnsi="Times New Roman" w:cs="Times New Roman"/>
        </w:rPr>
      </w:pPr>
      <w:r w:rsidRPr="006905B5" w:rsidR="00861C24">
        <w:rPr>
          <w:rFonts w:ascii="Times New Roman" w:hAnsi="Times New Roman" w:cs="Times New Roman"/>
        </w:rPr>
        <w:t>-nukleárnu a molekulárnu medicínu</w:t>
      </w:r>
      <w:r w:rsidRPr="006905B5" w:rsidR="00C26461">
        <w:rPr>
          <w:rFonts w:ascii="Times New Roman" w:hAnsi="Times New Roman" w:cs="Times New Roman"/>
        </w:rPr>
        <w:t>,</w:t>
      </w:r>
    </w:p>
    <w:p w:rsidR="00B1397D" w:rsidRPr="006905B5" w:rsidP="00EC5433">
      <w:pPr>
        <w:ind w:left="708"/>
        <w:rPr>
          <w:rFonts w:ascii="Times New Roman" w:hAnsi="Times New Roman" w:cs="Times New Roman"/>
        </w:rPr>
      </w:pPr>
      <w:r w:rsidRPr="006905B5" w:rsidR="00861C24">
        <w:rPr>
          <w:rFonts w:ascii="Times New Roman" w:hAnsi="Times New Roman" w:cs="Times New Roman"/>
        </w:rPr>
        <w:t>-patológiu</w:t>
      </w:r>
      <w:r w:rsidRPr="006905B5" w:rsidR="00C26461">
        <w:rPr>
          <w:rFonts w:ascii="Times New Roman" w:hAnsi="Times New Roman" w:cs="Times New Roman"/>
        </w:rPr>
        <w:t>,</w:t>
      </w:r>
    </w:p>
    <w:p w:rsidR="00B1397D" w:rsidRPr="006905B5" w:rsidP="00EC5433">
      <w:pPr>
        <w:ind w:left="708"/>
        <w:rPr>
          <w:rFonts w:ascii="Times New Roman" w:hAnsi="Times New Roman" w:cs="Times New Roman"/>
        </w:rPr>
      </w:pPr>
      <w:r w:rsidRPr="006905B5" w:rsidR="00861C24">
        <w:rPr>
          <w:rFonts w:ascii="Times New Roman" w:hAnsi="Times New Roman" w:cs="Times New Roman"/>
        </w:rPr>
        <w:t>-mimotelovú</w:t>
      </w:r>
      <w:r w:rsidRPr="006905B5">
        <w:rPr>
          <w:rFonts w:ascii="Times New Roman" w:hAnsi="Times New Roman" w:cs="Times New Roman"/>
        </w:rPr>
        <w:t xml:space="preserve"> </w:t>
      </w:r>
      <w:r w:rsidRPr="006905B5" w:rsidR="00861C24">
        <w:rPr>
          <w:rFonts w:ascii="Times New Roman" w:hAnsi="Times New Roman" w:cs="Times New Roman"/>
        </w:rPr>
        <w:t>a eliminačnú liečbu (</w:t>
      </w:r>
      <w:r w:rsidRPr="006905B5">
        <w:rPr>
          <w:rFonts w:ascii="Times New Roman" w:hAnsi="Times New Roman" w:cs="Times New Roman"/>
        </w:rPr>
        <w:t>dialýza)</w:t>
      </w:r>
      <w:r w:rsidRPr="006905B5" w:rsidR="00C26461">
        <w:rPr>
          <w:rFonts w:ascii="Times New Roman" w:hAnsi="Times New Roman" w:cs="Times New Roman"/>
        </w:rPr>
        <w:t>,</w:t>
      </w:r>
      <w:r w:rsidRPr="006905B5">
        <w:rPr>
          <w:rFonts w:ascii="Times New Roman" w:hAnsi="Times New Roman" w:cs="Times New Roman"/>
        </w:rPr>
        <w:t xml:space="preserve"> </w:t>
      </w:r>
    </w:p>
    <w:p w:rsidR="00B1397D" w:rsidRPr="006905B5" w:rsidP="00EC5433">
      <w:pPr>
        <w:ind w:left="708"/>
        <w:rPr>
          <w:rFonts w:ascii="Times New Roman" w:hAnsi="Times New Roman" w:cs="Times New Roman"/>
        </w:rPr>
      </w:pPr>
      <w:r w:rsidRPr="006905B5" w:rsidR="00861C24">
        <w:rPr>
          <w:rFonts w:ascii="Times New Roman" w:hAnsi="Times New Roman" w:cs="Times New Roman"/>
        </w:rPr>
        <w:t>-klinickú biochémiu, hematológiu a</w:t>
      </w:r>
      <w:r w:rsidRPr="006905B5" w:rsidR="00C26461">
        <w:rPr>
          <w:rFonts w:ascii="Times New Roman" w:hAnsi="Times New Roman" w:cs="Times New Roman"/>
        </w:rPr>
        <w:t> </w:t>
      </w:r>
      <w:r w:rsidRPr="006905B5" w:rsidR="00861C24">
        <w:rPr>
          <w:rFonts w:ascii="Times New Roman" w:hAnsi="Times New Roman" w:cs="Times New Roman"/>
        </w:rPr>
        <w:t>mikrobiológiu</w:t>
      </w:r>
      <w:r w:rsidRPr="006905B5" w:rsidR="00C26461">
        <w:rPr>
          <w:rFonts w:ascii="Times New Roman" w:hAnsi="Times New Roman" w:cs="Times New Roman"/>
        </w:rPr>
        <w:t>,</w:t>
      </w:r>
    </w:p>
    <w:p w:rsidR="00FF7B51" w:rsidRPr="006905B5" w:rsidP="00EC5433">
      <w:pPr>
        <w:ind w:left="708"/>
        <w:rPr>
          <w:rFonts w:ascii="Times New Roman" w:hAnsi="Times New Roman" w:cs="Times New Roman"/>
        </w:rPr>
      </w:pPr>
      <w:r w:rsidRPr="006905B5" w:rsidR="00861C24">
        <w:rPr>
          <w:rFonts w:ascii="Times New Roman" w:hAnsi="Times New Roman" w:cs="Times New Roman"/>
        </w:rPr>
        <w:t>-magnetickú rezonanciu</w:t>
      </w:r>
      <w:r w:rsidRPr="006905B5" w:rsidR="00B1397D">
        <w:rPr>
          <w:rFonts w:ascii="Times New Roman" w:hAnsi="Times New Roman" w:cs="Times New Roman"/>
        </w:rPr>
        <w:t>, CT, RTG</w:t>
      </w:r>
      <w:r w:rsidRPr="006905B5">
        <w:rPr>
          <w:rFonts w:ascii="Times New Roman" w:hAnsi="Times New Roman" w:cs="Times New Roman"/>
        </w:rPr>
        <w:t>,</w:t>
      </w:r>
    </w:p>
    <w:p w:rsidR="00C61869" w:rsidRPr="006905B5" w:rsidP="00EC5433">
      <w:pPr>
        <w:ind w:left="708"/>
        <w:rPr>
          <w:rFonts w:ascii="Times New Roman" w:hAnsi="Times New Roman" w:cs="Times New Roman"/>
        </w:rPr>
      </w:pPr>
      <w:r w:rsidRPr="006905B5">
        <w:rPr>
          <w:rFonts w:ascii="Times New Roman" w:hAnsi="Times New Roman" w:cs="Times New Roman"/>
        </w:rPr>
        <w:t>-vybrané špecializované ambulancie</w:t>
      </w:r>
    </w:p>
    <w:p w:rsidR="00B1397D" w:rsidRPr="006905B5" w:rsidP="00EC5433">
      <w:pPr>
        <w:ind w:left="708"/>
        <w:rPr>
          <w:rFonts w:ascii="Times New Roman" w:hAnsi="Times New Roman" w:cs="Times New Roman"/>
        </w:rPr>
      </w:pPr>
      <w:r w:rsidRPr="006905B5" w:rsidR="00FF7B51">
        <w:rPr>
          <w:rFonts w:ascii="Times New Roman" w:hAnsi="Times New Roman" w:cs="Times New Roman"/>
        </w:rPr>
        <w:t xml:space="preserve">-lekárne </w:t>
      </w:r>
      <w:r w:rsidRPr="006905B5">
        <w:rPr>
          <w:rFonts w:ascii="Times New Roman" w:hAnsi="Times New Roman" w:cs="Times New Roman"/>
        </w:rPr>
        <w:t xml:space="preserve"> a</w:t>
      </w:r>
      <w:r w:rsidRPr="006905B5" w:rsidR="003765EA">
        <w:rPr>
          <w:rFonts w:ascii="Times New Roman" w:hAnsi="Times New Roman" w:cs="Times New Roman"/>
        </w:rPr>
        <w:t> </w:t>
      </w:r>
      <w:r w:rsidRPr="006905B5" w:rsidR="00FF7B51">
        <w:rPr>
          <w:rFonts w:ascii="Times New Roman" w:hAnsi="Times New Roman" w:cs="Times New Roman"/>
        </w:rPr>
        <w:t>pod</w:t>
      </w:r>
      <w:r w:rsidRPr="006905B5" w:rsidR="003765EA">
        <w:rPr>
          <w:rFonts w:ascii="Times New Roman" w:hAnsi="Times New Roman" w:cs="Times New Roman"/>
        </w:rPr>
        <w:t>.</w:t>
      </w:r>
    </w:p>
    <w:p w:rsidR="006D3DCD" w:rsidRPr="006905B5" w:rsidP="00052E29">
      <w:pPr>
        <w:jc w:val="both"/>
        <w:rPr>
          <w:rFonts w:ascii="Times New Roman" w:hAnsi="Times New Roman" w:cs="Times New Roman"/>
        </w:rPr>
      </w:pPr>
      <w:r w:rsidRPr="006905B5" w:rsidR="006166EC">
        <w:rPr>
          <w:rFonts w:ascii="Times New Roman" w:hAnsi="Times New Roman" w:cs="Times New Roman"/>
        </w:rPr>
        <w:t xml:space="preserve"> </w:t>
      </w:r>
      <w:r w:rsidRPr="006905B5" w:rsidR="002D663A">
        <w:rPr>
          <w:rFonts w:ascii="Times New Roman" w:hAnsi="Times New Roman" w:cs="Times New Roman"/>
        </w:rPr>
        <w:tab/>
      </w:r>
    </w:p>
    <w:p w:rsidR="00B81F61" w:rsidRPr="006905B5" w:rsidP="00052E29">
      <w:pPr>
        <w:jc w:val="both"/>
        <w:rPr>
          <w:rFonts w:ascii="Times New Roman" w:hAnsi="Times New Roman" w:cs="Times New Roman"/>
        </w:rPr>
      </w:pPr>
      <w:r w:rsidRPr="006905B5" w:rsidR="006D3DCD">
        <w:rPr>
          <w:rFonts w:ascii="Times New Roman" w:hAnsi="Times New Roman" w:cs="Times New Roman"/>
        </w:rPr>
        <w:t>Odchod týchto ziskových činností a zariadení prehĺbil stratové hospodárenie štátnych zdravotníckych zariadení.</w:t>
      </w:r>
    </w:p>
    <w:p w:rsidR="002123A6" w:rsidRPr="006905B5" w:rsidP="00052E29">
      <w:pPr>
        <w:jc w:val="both"/>
        <w:rPr>
          <w:rFonts w:ascii="Times New Roman" w:hAnsi="Times New Roman" w:cs="Times New Roman"/>
        </w:rPr>
      </w:pPr>
      <w:r w:rsidRPr="006905B5">
        <w:rPr>
          <w:rFonts w:ascii="Times New Roman" w:hAnsi="Times New Roman" w:cs="Times New Roman"/>
        </w:rPr>
        <w:tab/>
        <w:t xml:space="preserve">K odštátneniu predmetných činností dochádzalo </w:t>
      </w:r>
      <w:r w:rsidRPr="006905B5" w:rsidR="00D76C9A">
        <w:rPr>
          <w:rFonts w:ascii="Times New Roman" w:hAnsi="Times New Roman" w:cs="Times New Roman"/>
        </w:rPr>
        <w:t xml:space="preserve">„sofistikovaným“ spôsobom. Zdravotnícke zariadenie v okamihu získania súhlasu MZ na odštátnenie činnosti a jeho následnej realizácie „prišlo“ zároveň o hnuteľný majetok v priestoroch, vrátane medicínskej techniky a dokonca aj o personál. To všetko, samozrejme, </w:t>
      </w:r>
      <w:r w:rsidRPr="006905B5" w:rsidR="00A6544F">
        <w:rPr>
          <w:rFonts w:ascii="Times New Roman" w:hAnsi="Times New Roman" w:cs="Times New Roman"/>
        </w:rPr>
        <w:t>za</w:t>
      </w:r>
      <w:r w:rsidRPr="006905B5" w:rsidR="00D76C9A">
        <w:rPr>
          <w:rFonts w:ascii="Times New Roman" w:hAnsi="Times New Roman" w:cs="Times New Roman"/>
        </w:rPr>
        <w:t xml:space="preserve"> nevýhodných podmienok pre zdravotnícke zariadenie.  </w:t>
      </w:r>
    </w:p>
    <w:p w:rsidR="006166EC" w:rsidRPr="006905B5" w:rsidP="00E82D93">
      <w:pPr>
        <w:ind w:firstLine="708"/>
        <w:jc w:val="both"/>
        <w:rPr>
          <w:rFonts w:ascii="Times New Roman" w:hAnsi="Times New Roman" w:cs="Times New Roman"/>
        </w:rPr>
      </w:pPr>
      <w:r w:rsidRPr="006905B5" w:rsidR="006D3DCD">
        <w:rPr>
          <w:rFonts w:ascii="Times New Roman" w:hAnsi="Times New Roman" w:cs="Times New Roman"/>
        </w:rPr>
        <w:t xml:space="preserve">Majitelia, </w:t>
      </w:r>
      <w:r w:rsidRPr="006905B5">
        <w:rPr>
          <w:rFonts w:ascii="Times New Roman" w:hAnsi="Times New Roman" w:cs="Times New Roman"/>
        </w:rPr>
        <w:t>ktor</w:t>
      </w:r>
      <w:r w:rsidRPr="006905B5" w:rsidR="006D3DCD">
        <w:rPr>
          <w:rFonts w:ascii="Times New Roman" w:hAnsi="Times New Roman" w:cs="Times New Roman"/>
        </w:rPr>
        <w:t>í</w:t>
      </w:r>
      <w:r w:rsidRPr="006905B5">
        <w:rPr>
          <w:rFonts w:ascii="Times New Roman" w:hAnsi="Times New Roman" w:cs="Times New Roman"/>
        </w:rPr>
        <w:t xml:space="preserve"> prevádzkujú odštátnené činnosti – po tom, ako došlo k zníženiu DPH na lieky a zdravotnícky materiál – mali premietnuť toto zníženie do cien, ktoré účtujú za </w:t>
      </w:r>
      <w:r w:rsidRPr="006905B5" w:rsidR="006D3DCD">
        <w:rPr>
          <w:rFonts w:ascii="Times New Roman" w:hAnsi="Times New Roman" w:cs="Times New Roman"/>
        </w:rPr>
        <w:t xml:space="preserve">zdrav. </w:t>
      </w:r>
      <w:r w:rsidRPr="006905B5">
        <w:rPr>
          <w:rFonts w:ascii="Times New Roman" w:hAnsi="Times New Roman" w:cs="Times New Roman"/>
        </w:rPr>
        <w:t>služby. Ich trhové správanie však malo a má za následok to, že zdravotnícke zariadenia</w:t>
      </w:r>
      <w:r w:rsidRPr="006905B5" w:rsidR="006D3DCD">
        <w:rPr>
          <w:rFonts w:ascii="Times New Roman" w:hAnsi="Times New Roman" w:cs="Times New Roman"/>
        </w:rPr>
        <w:t>, ktoré sú nútené ich služby využívať,</w:t>
      </w:r>
      <w:r w:rsidRPr="006905B5">
        <w:rPr>
          <w:rFonts w:ascii="Times New Roman" w:hAnsi="Times New Roman" w:cs="Times New Roman"/>
        </w:rPr>
        <w:t xml:space="preserve"> platia stále rovnako vysoké poplatky, pričom rozdiel je ziskom prevádzkovateľov</w:t>
      </w:r>
      <w:r w:rsidRPr="006905B5" w:rsidR="006D3DCD">
        <w:rPr>
          <w:rFonts w:ascii="Times New Roman" w:hAnsi="Times New Roman" w:cs="Times New Roman"/>
        </w:rPr>
        <w:t xml:space="preserve"> odštátnených činností</w:t>
      </w:r>
      <w:r w:rsidRPr="006905B5">
        <w:rPr>
          <w:rFonts w:ascii="Times New Roman" w:hAnsi="Times New Roman" w:cs="Times New Roman"/>
        </w:rPr>
        <w:t xml:space="preserve">. </w:t>
      </w:r>
    </w:p>
    <w:p w:rsidR="007E5819" w:rsidRPr="006905B5" w:rsidP="00E82D93">
      <w:pPr>
        <w:ind w:firstLine="708"/>
        <w:jc w:val="both"/>
        <w:rPr>
          <w:rFonts w:ascii="Times New Roman" w:hAnsi="Times New Roman" w:cs="Times New Roman"/>
        </w:rPr>
      </w:pPr>
      <w:r w:rsidRPr="006905B5" w:rsidR="00BA27C6">
        <w:rPr>
          <w:rFonts w:ascii="Times New Roman" w:hAnsi="Times New Roman" w:cs="Times New Roman"/>
        </w:rPr>
        <w:t xml:space="preserve">V nasledujúcej tabuľke uvádzame konkrétny príklad finančných dopadov, ktoré vo FNsP Bratislava spôsobilo odštátnenie lukratívnych činností. </w:t>
      </w:r>
      <w:r w:rsidRPr="006905B5" w:rsidR="00477023">
        <w:rPr>
          <w:rFonts w:ascii="Times New Roman" w:hAnsi="Times New Roman" w:cs="Times New Roman"/>
        </w:rPr>
        <w:t xml:space="preserve">Iba pri piatich odštátnených činnostiach </w:t>
      </w:r>
      <w:r w:rsidRPr="006905B5" w:rsidR="0007403F">
        <w:rPr>
          <w:rFonts w:ascii="Times New Roman" w:hAnsi="Times New Roman" w:cs="Times New Roman"/>
        </w:rPr>
        <w:t>činí</w:t>
      </w:r>
      <w:r w:rsidRPr="006905B5" w:rsidR="00477023">
        <w:rPr>
          <w:rFonts w:ascii="Times New Roman" w:hAnsi="Times New Roman" w:cs="Times New Roman"/>
        </w:rPr>
        <w:t xml:space="preserve"> ročná strata</w:t>
      </w:r>
      <w:r w:rsidRPr="006905B5" w:rsidR="0007403F">
        <w:rPr>
          <w:rFonts w:ascii="Times New Roman" w:hAnsi="Times New Roman" w:cs="Times New Roman"/>
        </w:rPr>
        <w:t xml:space="preserve"> takmer 36 miliónov Sk.</w:t>
      </w:r>
      <w:r w:rsidRPr="006905B5" w:rsidR="006D3DCD">
        <w:rPr>
          <w:rFonts w:ascii="Times New Roman" w:hAnsi="Times New Roman" w:cs="Times New Roman"/>
        </w:rPr>
        <w:t xml:space="preserve"> </w:t>
      </w:r>
      <w:r w:rsidRPr="006905B5">
        <w:rPr>
          <w:rFonts w:ascii="Times New Roman" w:hAnsi="Times New Roman" w:cs="Times New Roman"/>
        </w:rPr>
        <w:t>Po celú dobu platnosti nájomných vzťahov spôsobí tento pre zdravotnícke zariadenia nevýhodný krok FNsP Bratislav</w:t>
      </w:r>
      <w:r w:rsidRPr="006905B5" w:rsidR="006D3DCD">
        <w:rPr>
          <w:rFonts w:ascii="Times New Roman" w:hAnsi="Times New Roman" w:cs="Times New Roman"/>
        </w:rPr>
        <w:t>a</w:t>
      </w:r>
      <w:r w:rsidRPr="006905B5">
        <w:rPr>
          <w:rFonts w:ascii="Times New Roman" w:hAnsi="Times New Roman" w:cs="Times New Roman"/>
        </w:rPr>
        <w:t xml:space="preserve"> stratu 413,</w:t>
      </w:r>
      <w:r w:rsidRPr="006905B5" w:rsidR="006D3DCD">
        <w:rPr>
          <w:rFonts w:ascii="Times New Roman" w:hAnsi="Times New Roman" w:cs="Times New Roman"/>
        </w:rPr>
        <w:t>7</w:t>
      </w:r>
      <w:r w:rsidRPr="006905B5">
        <w:rPr>
          <w:rFonts w:ascii="Times New Roman" w:hAnsi="Times New Roman" w:cs="Times New Roman"/>
        </w:rPr>
        <w:t xml:space="preserve"> </w:t>
      </w:r>
      <w:r w:rsidRPr="006905B5" w:rsidR="00F16560">
        <w:rPr>
          <w:rFonts w:ascii="Times New Roman" w:hAnsi="Times New Roman" w:cs="Times New Roman"/>
        </w:rPr>
        <w:t>milióna</w:t>
      </w:r>
      <w:r w:rsidRPr="006905B5">
        <w:rPr>
          <w:rFonts w:ascii="Times New Roman" w:hAnsi="Times New Roman" w:cs="Times New Roman"/>
        </w:rPr>
        <w:t>. Sk čo je suma bez zhodnotenia vplyvu inflácie, medziročného rast</w:t>
      </w:r>
      <w:r w:rsidRPr="006905B5">
        <w:rPr>
          <w:rFonts w:ascii="Times New Roman" w:hAnsi="Times New Roman" w:cs="Times New Roman"/>
        </w:rPr>
        <w:t xml:space="preserve">u výkonnosti a zmeny cenovej úrovne bodov.        </w:t>
      </w:r>
    </w:p>
    <w:p w:rsidR="009E27BC" w:rsidRPr="006905B5" w:rsidP="00E82D93">
      <w:pPr>
        <w:ind w:firstLine="70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886"/>
        <w:gridCol w:w="1260"/>
        <w:gridCol w:w="1440"/>
        <w:gridCol w:w="1440"/>
        <w:gridCol w:w="12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center"/>
              <w:rPr>
                <w:rFonts w:ascii="Times New Roman" w:hAnsi="Times New Roman" w:cs="Times New Roman"/>
              </w:rPr>
            </w:pPr>
            <w:r w:rsidRPr="006905B5">
              <w:rPr>
                <w:rFonts w:ascii="Times New Roman" w:hAnsi="Times New Roman" w:cs="Times New Roman"/>
              </w:rPr>
              <w:t>Odštátnená činnosť / nájomca</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center"/>
              <w:rPr>
                <w:rFonts w:ascii="Times New Roman" w:hAnsi="Times New Roman" w:cs="Times New Roman"/>
              </w:rPr>
            </w:pPr>
            <w:r w:rsidRPr="006905B5">
              <w:rPr>
                <w:rFonts w:ascii="Times New Roman" w:hAnsi="Times New Roman" w:cs="Times New Roman"/>
              </w:rPr>
              <w:t>Dĺžka nájmu</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center"/>
              <w:rPr>
                <w:rFonts w:ascii="Times New Roman" w:hAnsi="Times New Roman" w:cs="Times New Roman"/>
              </w:rPr>
            </w:pPr>
            <w:r w:rsidRPr="006905B5">
              <w:rPr>
                <w:rFonts w:ascii="Times New Roman" w:hAnsi="Times New Roman" w:cs="Times New Roman"/>
              </w:rPr>
              <w:t>Roč. hosp. výsledok pred odštátnením činnosti v tis. Sk</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center"/>
              <w:rPr>
                <w:rFonts w:ascii="Times New Roman" w:hAnsi="Times New Roman" w:cs="Times New Roman"/>
              </w:rPr>
            </w:pPr>
            <w:r w:rsidRPr="006905B5">
              <w:rPr>
                <w:rFonts w:ascii="Times New Roman" w:hAnsi="Times New Roman" w:cs="Times New Roman"/>
              </w:rPr>
              <w:t>Roč.výnos z uzatv. prenájmu v tis. Sk</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center"/>
              <w:rPr>
                <w:rFonts w:ascii="Times New Roman" w:hAnsi="Times New Roman" w:cs="Times New Roman"/>
              </w:rPr>
            </w:pPr>
            <w:r w:rsidRPr="006905B5">
              <w:rPr>
                <w:rFonts w:ascii="Times New Roman" w:hAnsi="Times New Roman" w:cs="Times New Roman"/>
              </w:rPr>
              <w:t>Rozdiel v tis. Sk za 1 rok</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rPr>
            </w:pPr>
            <w:r w:rsidRPr="006905B5">
              <w:rPr>
                <w:rFonts w:ascii="Times New Roman" w:hAnsi="Times New Roman" w:cs="Times New Roman"/>
                <w:b/>
              </w:rPr>
              <w:t>Patológia Ružinov</w:t>
            </w:r>
            <w:r w:rsidRPr="006905B5">
              <w:rPr>
                <w:rFonts w:ascii="Times New Roman" w:hAnsi="Times New Roman" w:cs="Times New Roman"/>
              </w:rPr>
              <w:t xml:space="preserve"> – nájomca Alpha medical</w:t>
            </w:r>
            <w:r w:rsidRPr="006905B5">
              <w:rPr>
                <w:rFonts w:ascii="Times New Roman" w:hAnsi="Times New Roman" w:cs="Times New Roman"/>
              </w:rPr>
              <w:t xml:space="preserve"> patológia, s.r.o.</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10 rokov</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+ 8.306</w:t>
            </w:r>
            <w:r w:rsidR="008F598B">
              <w:rPr>
                <w:rFonts w:ascii="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+ 3.294</w:t>
            </w:r>
            <w:r w:rsidRPr="006905B5" w:rsidR="006D3DCD">
              <w:rPr>
                <w:rFonts w:ascii="Times New Roman" w:hAnsi="Times New Roman" w:cs="Times New Roman"/>
              </w:rPr>
              <w:t>,7</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5.011,3</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rPr>
            </w:pPr>
            <w:r w:rsidRPr="006905B5">
              <w:rPr>
                <w:rFonts w:ascii="Times New Roman" w:hAnsi="Times New Roman" w:cs="Times New Roman"/>
                <w:b/>
              </w:rPr>
              <w:t>Patológia Kramáre</w:t>
            </w:r>
            <w:r w:rsidRPr="006905B5">
              <w:rPr>
                <w:rFonts w:ascii="Times New Roman" w:hAnsi="Times New Roman" w:cs="Times New Roman"/>
              </w:rPr>
              <w:t xml:space="preserve"> – nájomca Cytopathos, s.r.o.</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10 rokov</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+ 5.998</w:t>
            </w:r>
            <w:r w:rsidR="008F598B">
              <w:rPr>
                <w:rFonts w:ascii="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+ 1.820,8</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4.177,2</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rPr>
            </w:pPr>
            <w:r w:rsidRPr="006905B5">
              <w:rPr>
                <w:rFonts w:ascii="Times New Roman" w:hAnsi="Times New Roman" w:cs="Times New Roman"/>
                <w:b/>
              </w:rPr>
              <w:t>CT pracovisko Petržalka</w:t>
            </w:r>
            <w:r w:rsidRPr="006905B5">
              <w:rPr>
                <w:rFonts w:ascii="Times New Roman" w:hAnsi="Times New Roman" w:cs="Times New Roman"/>
              </w:rPr>
              <w:t xml:space="preserve"> – nájomca Rádiológia , s.r.o.</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12 rokov</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+ 25.610</w:t>
            </w:r>
            <w:r w:rsidR="008F598B">
              <w:rPr>
                <w:rFonts w:ascii="Times New Roman" w:hAnsi="Times New Roman" w:cs="Times New Roman"/>
              </w:rPr>
              <w:t>,0</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w:t>
            </w:r>
            <w:r w:rsidR="008F598B">
              <w:rPr>
                <w:rFonts w:ascii="Times New Roman" w:hAnsi="Times New Roman" w:cs="Times New Roman"/>
              </w:rPr>
              <w:t xml:space="preserve"> </w:t>
            </w:r>
            <w:r w:rsidRPr="006905B5">
              <w:rPr>
                <w:rFonts w:ascii="Times New Roman" w:hAnsi="Times New Roman" w:cs="Times New Roman"/>
              </w:rPr>
              <w:t>1.447</w:t>
            </w:r>
            <w:r w:rsidR="008F598B">
              <w:rPr>
                <w:rFonts w:ascii="Times New Roman" w:hAnsi="Times New Roman" w:cs="Times New Roman"/>
              </w:rPr>
              <w:t>,0</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24.163</w:t>
            </w:r>
            <w:r w:rsidR="008F598B">
              <w:rPr>
                <w:rFonts w:ascii="Times New Roman" w:hAnsi="Times New Roman" w:cs="Times New Roman"/>
                <w:b/>
              </w:rPr>
              <w:t>,0</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rPr>
            </w:pPr>
            <w:r w:rsidRPr="006905B5">
              <w:rPr>
                <w:rFonts w:ascii="Times New Roman" w:hAnsi="Times New Roman" w:cs="Times New Roman"/>
                <w:b/>
              </w:rPr>
              <w:t>Laboratória Ružinov</w:t>
            </w:r>
            <w:r w:rsidRPr="006905B5">
              <w:rPr>
                <w:rFonts w:ascii="Times New Roman" w:hAnsi="Times New Roman" w:cs="Times New Roman"/>
              </w:rPr>
              <w:t xml:space="preserve"> – nájomca Medirex, s.r.o.</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15 rokov</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+ 3568,3</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+ 2.295,5</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1.272,8</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rPr>
            </w:pPr>
            <w:r w:rsidRPr="006905B5">
              <w:rPr>
                <w:rFonts w:ascii="Times New Roman" w:hAnsi="Times New Roman" w:cs="Times New Roman"/>
                <w:b/>
              </w:rPr>
              <w:t>Laboratória Kramáre</w:t>
            </w:r>
            <w:r w:rsidRPr="006905B5">
              <w:rPr>
                <w:rFonts w:ascii="Times New Roman" w:hAnsi="Times New Roman" w:cs="Times New Roman"/>
              </w:rPr>
              <w:t xml:space="preserve"> – nájomca Synlab, s.r.o.</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10 rokov</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Pr="006905B5">
              <w:rPr>
                <w:rFonts w:ascii="Times New Roman" w:hAnsi="Times New Roman" w:cs="Times New Roman"/>
              </w:rPr>
              <w:t>+ 5.272,8</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rPr>
            </w:pPr>
            <w:r w:rsidR="008F598B">
              <w:rPr>
                <w:rFonts w:ascii="Times New Roman" w:hAnsi="Times New Roman" w:cs="Times New Roman"/>
              </w:rPr>
              <w:t>+ 4.000,0</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1.272,8</w:t>
            </w:r>
          </w:p>
        </w:tc>
      </w:tr>
      <w:tr>
        <w:tblPrEx>
          <w:tblW w:w="0" w:type="auto"/>
        </w:tblPrEx>
        <w:trPr>
          <w:trHeight w:hRule="auto" w:val="0"/>
        </w:trPr>
        <w:tc>
          <w:tcPr>
            <w:tcW w:w="3886"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top"/>
          </w:tcPr>
          <w:p w:rsidR="009B470B" w:rsidRPr="006905B5" w:rsidP="002071E5">
            <w:pPr>
              <w:rPr>
                <w:rFonts w:ascii="Times New Roman" w:hAnsi="Times New Roman" w:cs="Times New Roman"/>
                <w:b/>
              </w:rPr>
            </w:pPr>
            <w:r w:rsidRPr="006905B5">
              <w:rPr>
                <w:rFonts w:ascii="Times New Roman" w:hAnsi="Times New Roman" w:cs="Times New Roman"/>
                <w:b/>
              </w:rPr>
              <w:t>Spolu:</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526A8C">
            <w:pPr>
              <w:jc w:val="center"/>
              <w:rPr>
                <w:rFonts w:ascii="Times New Roman" w:hAnsi="Times New Roman" w:cs="Times New Roman"/>
                <w:b/>
              </w:rPr>
            </w:pPr>
            <w:r w:rsidRPr="006905B5">
              <w:rPr>
                <w:rFonts w:ascii="Times New Roman" w:hAnsi="Times New Roman" w:cs="Times New Roman"/>
                <w:b/>
              </w:rPr>
              <w:t>-</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+ 48 755,1</w:t>
            </w:r>
          </w:p>
        </w:tc>
        <w:tc>
          <w:tcPr>
            <w:tcW w:w="144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+ 12</w:t>
            </w:r>
            <w:r w:rsidR="008F598B">
              <w:rPr>
                <w:rFonts w:ascii="Times New Roman" w:hAnsi="Times New Roman" w:cs="Times New Roman"/>
                <w:b/>
              </w:rPr>
              <w:t> </w:t>
            </w:r>
            <w:r w:rsidRPr="006905B5">
              <w:rPr>
                <w:rFonts w:ascii="Times New Roman" w:hAnsi="Times New Roman" w:cs="Times New Roman"/>
                <w:b/>
              </w:rPr>
              <w:t>858</w:t>
            </w:r>
            <w:r w:rsidR="008F598B">
              <w:rPr>
                <w:rFonts w:ascii="Times New Roman" w:hAnsi="Times New Roman" w:cs="Times New Roman"/>
                <w:b/>
              </w:rPr>
              <w:t>,0</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FFFFFF"/>
            <w:textDirection w:val="lrTb"/>
            <w:vAlign w:val="center"/>
          </w:tcPr>
          <w:p w:rsidR="009B470B" w:rsidRPr="006905B5" w:rsidP="008F598B">
            <w:pPr>
              <w:jc w:val="right"/>
              <w:rPr>
                <w:rFonts w:ascii="Times New Roman" w:hAnsi="Times New Roman" w:cs="Times New Roman"/>
                <w:b/>
              </w:rPr>
            </w:pPr>
            <w:r w:rsidRPr="006905B5">
              <w:rPr>
                <w:rFonts w:ascii="Times New Roman" w:hAnsi="Times New Roman" w:cs="Times New Roman"/>
                <w:b/>
              </w:rPr>
              <w:t>- 35.897,1</w:t>
            </w:r>
          </w:p>
        </w:tc>
      </w:tr>
    </w:tbl>
    <w:p w:rsidR="007D34C7" w:rsidRPr="006905B5" w:rsidP="00457D7F">
      <w:pPr>
        <w:ind w:firstLine="708"/>
        <w:jc w:val="both"/>
        <w:rPr>
          <w:rFonts w:ascii="Times New Roman" w:hAnsi="Times New Roman" w:cs="Times New Roman"/>
        </w:rPr>
      </w:pPr>
    </w:p>
    <w:p w:rsidR="009B470B" w:rsidRPr="006905B5" w:rsidP="00457D7F">
      <w:pPr>
        <w:ind w:firstLine="708"/>
        <w:jc w:val="both"/>
        <w:rPr>
          <w:rFonts w:ascii="Times New Roman" w:hAnsi="Times New Roman" w:cs="Times New Roman"/>
        </w:rPr>
      </w:pPr>
      <w:r w:rsidRPr="006905B5" w:rsidR="00043A13">
        <w:rPr>
          <w:rFonts w:ascii="Times New Roman" w:hAnsi="Times New Roman" w:cs="Times New Roman"/>
        </w:rPr>
        <w:t xml:space="preserve">Typickým príkladom odštátnenia bola aj </w:t>
      </w:r>
      <w:r w:rsidRPr="006905B5" w:rsidR="001F4C63">
        <w:rPr>
          <w:rFonts w:ascii="Times New Roman" w:hAnsi="Times New Roman" w:cs="Times New Roman"/>
        </w:rPr>
        <w:t xml:space="preserve">agenda súvisiaca s reformou v oblasti zdravotnej záchrannej služby. </w:t>
      </w:r>
      <w:r w:rsidRPr="006905B5" w:rsidR="00EF7D73">
        <w:rPr>
          <w:rFonts w:ascii="Times New Roman" w:hAnsi="Times New Roman" w:cs="Times New Roman"/>
        </w:rPr>
        <w:t>Prijatím príslušnej legislatívy bol systém nastavený tak, že väčšina staníc zdravotnej záchrannej služby m</w:t>
      </w:r>
      <w:r w:rsidRPr="006905B5" w:rsidR="00A27233">
        <w:rPr>
          <w:rFonts w:ascii="Times New Roman" w:hAnsi="Times New Roman" w:cs="Times New Roman"/>
        </w:rPr>
        <w:t>ohla prejsť do súkromných rúk. Ď</w:t>
      </w:r>
      <w:r w:rsidRPr="006905B5" w:rsidR="00EF7D73">
        <w:rPr>
          <w:rFonts w:ascii="Times New Roman" w:hAnsi="Times New Roman" w:cs="Times New Roman"/>
        </w:rPr>
        <w:t>alej nasledovali nekorektne vykonané verejné súťaže, v ktorých často ako víťazi skončili spoločnosti, ktoré vznikli 3 dni pre vypísaním súťaže. Vo verejných súťažiach boli</w:t>
      </w:r>
      <w:r w:rsidRPr="006905B5" w:rsidR="00737D9B">
        <w:rPr>
          <w:rFonts w:ascii="Times New Roman" w:hAnsi="Times New Roman" w:cs="Times New Roman"/>
        </w:rPr>
        <w:t xml:space="preserve"> </w:t>
      </w:r>
      <w:r w:rsidRPr="006905B5" w:rsidR="00005EB8">
        <w:rPr>
          <w:rFonts w:ascii="Times New Roman" w:hAnsi="Times New Roman" w:cs="Times New Roman"/>
        </w:rPr>
        <w:t xml:space="preserve">nadefinované pravidlá tak, aby sa pomocou rôznych zámienok </w:t>
      </w:r>
      <w:r w:rsidRPr="006905B5" w:rsidR="00777A5C">
        <w:rPr>
          <w:rFonts w:ascii="Times New Roman" w:hAnsi="Times New Roman" w:cs="Times New Roman"/>
        </w:rPr>
        <w:t>uprednostnili</w:t>
      </w:r>
      <w:r w:rsidRPr="006905B5" w:rsidR="00005EB8">
        <w:rPr>
          <w:rFonts w:ascii="Times New Roman" w:hAnsi="Times New Roman" w:cs="Times New Roman"/>
        </w:rPr>
        <w:t xml:space="preserve"> sú</w:t>
      </w:r>
      <w:r w:rsidRPr="006905B5" w:rsidR="00777A5C">
        <w:rPr>
          <w:rFonts w:ascii="Times New Roman" w:hAnsi="Times New Roman" w:cs="Times New Roman"/>
        </w:rPr>
        <w:t>kromné spoločnosti pre</w:t>
      </w:r>
      <w:r w:rsidRPr="006905B5" w:rsidR="00AC69FD">
        <w:rPr>
          <w:rFonts w:ascii="Times New Roman" w:hAnsi="Times New Roman" w:cs="Times New Roman"/>
        </w:rPr>
        <w:t>d</w:t>
      </w:r>
      <w:r w:rsidRPr="006905B5" w:rsidR="00777A5C">
        <w:rPr>
          <w:rFonts w:ascii="Times New Roman" w:hAnsi="Times New Roman" w:cs="Times New Roman"/>
        </w:rPr>
        <w:t xml:space="preserve"> štátnymi uchádzačmi, ktorí už v čase verejnej súťaže disponovali vybudovanými stanicami zdravotnej záchrannej služby, nachádzajúcimi sa v štátnych zdravotníckych zariadeniach. </w:t>
      </w:r>
      <w:r w:rsidRPr="006905B5" w:rsidR="00646D1E">
        <w:rPr>
          <w:rFonts w:ascii="Times New Roman" w:hAnsi="Times New Roman" w:cs="Times New Roman"/>
        </w:rPr>
        <w:t>Týmto spôsobom došlo k neúmernému navýšeniu počtu prevádzkovateľov zdrav</w:t>
      </w:r>
      <w:r w:rsidRPr="006905B5" w:rsidR="00EC68F7">
        <w:rPr>
          <w:rFonts w:ascii="Times New Roman" w:hAnsi="Times New Roman" w:cs="Times New Roman"/>
        </w:rPr>
        <w:t xml:space="preserve">otnej záchrannej služby. </w:t>
      </w:r>
      <w:r w:rsidRPr="006905B5" w:rsidR="00FE0778">
        <w:rPr>
          <w:rFonts w:ascii="Times New Roman" w:hAnsi="Times New Roman" w:cs="Times New Roman"/>
        </w:rPr>
        <w:t xml:space="preserve">Podľa štúdie „Minimálna sieť“ autora HPI z roku 2006, str. 58 bola optimálna potreba počtu staníc zdravotnej záchrannej služby po úprave zohľadňujúcej ľudský faktor a po odskúšaní v teréne nastavená na 207 bodov, t.j. staníc zdravotnej záchrannej služby. Nakoniec vzniklo 264 staníc, prevažne súkromných prevádzkovateľov. </w:t>
      </w:r>
      <w:r w:rsidRPr="006905B5" w:rsidR="00575C34">
        <w:rPr>
          <w:rFonts w:ascii="Times New Roman" w:hAnsi="Times New Roman" w:cs="Times New Roman"/>
        </w:rPr>
        <w:t>V oblasti cenotvorby MZ týmto prevádzkovateľom „vyšlo v ústrety“ nastavením</w:t>
      </w:r>
      <w:r w:rsidRPr="006905B5" w:rsidR="007A4177">
        <w:rPr>
          <w:rFonts w:ascii="Times New Roman" w:hAnsi="Times New Roman" w:cs="Times New Roman"/>
        </w:rPr>
        <w:t xml:space="preserve"> vysokých cien</w:t>
      </w:r>
      <w:r w:rsidRPr="006905B5" w:rsidR="006D3DCD">
        <w:rPr>
          <w:rFonts w:ascii="Times New Roman" w:hAnsi="Times New Roman" w:cs="Times New Roman"/>
        </w:rPr>
        <w:t>,</w:t>
      </w:r>
      <w:r w:rsidRPr="006905B5" w:rsidR="007A4177">
        <w:rPr>
          <w:rFonts w:ascii="Times New Roman" w:hAnsi="Times New Roman" w:cs="Times New Roman"/>
        </w:rPr>
        <w:t xml:space="preserve"> čo neúmerne zaťažuje rezort a odčerpáva zdroje z iných oblastí, ktoré sú nedofinancované. </w:t>
      </w:r>
    </w:p>
    <w:p w:rsidR="00532407" w:rsidRPr="006905B5" w:rsidP="00FE0778">
      <w:pPr>
        <w:jc w:val="both"/>
        <w:rPr>
          <w:rFonts w:ascii="Times New Roman" w:hAnsi="Times New Roman" w:cs="Times New Roman"/>
        </w:rPr>
      </w:pPr>
      <w:r w:rsidRPr="006905B5">
        <w:rPr>
          <w:rFonts w:ascii="Times New Roman" w:hAnsi="Times New Roman" w:cs="Times New Roman"/>
        </w:rPr>
        <w:tab/>
        <w:t xml:space="preserve">Celkove ide ročne do segmentu zdravotnej záchrannej služby </w:t>
      </w:r>
      <w:r w:rsidRPr="006905B5" w:rsidR="003B0683">
        <w:rPr>
          <w:rFonts w:ascii="Times New Roman" w:hAnsi="Times New Roman" w:cs="Times New Roman"/>
        </w:rPr>
        <w:t xml:space="preserve">(vynímajúc leteckú) </w:t>
      </w:r>
      <w:r w:rsidRPr="006905B5">
        <w:rPr>
          <w:rFonts w:ascii="Times New Roman" w:hAnsi="Times New Roman" w:cs="Times New Roman"/>
        </w:rPr>
        <w:t xml:space="preserve">2,1 miliardy Sk. K tejto čiastke sa ešte pripočítava úhrada za najazdené kilometre v čiastke </w:t>
      </w:r>
      <w:r w:rsidR="0001609A">
        <w:rPr>
          <w:rFonts w:ascii="Times New Roman" w:hAnsi="Times New Roman" w:cs="Times New Roman"/>
        </w:rPr>
        <w:t xml:space="preserve">     </w:t>
      </w:r>
      <w:r w:rsidRPr="006905B5">
        <w:rPr>
          <w:rFonts w:ascii="Times New Roman" w:hAnsi="Times New Roman" w:cs="Times New Roman"/>
        </w:rPr>
        <w:t>21</w:t>
      </w:r>
      <w:r w:rsidR="0001609A">
        <w:rPr>
          <w:rFonts w:ascii="Times New Roman" w:hAnsi="Times New Roman" w:cs="Times New Roman"/>
        </w:rPr>
        <w:t>,-</w:t>
      </w:r>
      <w:r w:rsidRPr="006905B5">
        <w:rPr>
          <w:rFonts w:ascii="Times New Roman" w:hAnsi="Times New Roman" w:cs="Times New Roman"/>
        </w:rPr>
        <w:t xml:space="preserve"> Sk za každý jeden kilometer jazdy.</w:t>
      </w:r>
    </w:p>
    <w:p w:rsidR="00526A8C" w:rsidP="00FE0778">
      <w:pPr>
        <w:jc w:val="both"/>
        <w:rPr>
          <w:rFonts w:ascii="Times New Roman" w:hAnsi="Times New Roman" w:cs="Times New Roman"/>
        </w:rPr>
      </w:pPr>
    </w:p>
    <w:p w:rsidR="009A2F1C" w:rsidRPr="006905B5" w:rsidP="00FE0778">
      <w:pPr>
        <w:jc w:val="both"/>
        <w:rPr>
          <w:rFonts w:ascii="Times New Roman" w:hAnsi="Times New Roman" w:cs="Times New Roman"/>
        </w:rPr>
      </w:pPr>
    </w:p>
    <w:p w:rsidR="00DD42BA" w:rsidRPr="006905B5" w:rsidP="00FE0778">
      <w:pPr>
        <w:jc w:val="both"/>
        <w:rPr>
          <w:rFonts w:ascii="Times New Roman" w:hAnsi="Times New Roman" w:cs="Times New Roman"/>
          <w:b/>
        </w:rPr>
      </w:pPr>
      <w:r w:rsidRPr="006905B5" w:rsidR="001A22CB">
        <w:rPr>
          <w:rFonts w:ascii="Times New Roman" w:hAnsi="Times New Roman" w:cs="Times New Roman"/>
          <w:b/>
        </w:rPr>
        <w:t xml:space="preserve">D. </w:t>
      </w:r>
      <w:r w:rsidRPr="006905B5" w:rsidR="007F5D6C">
        <w:rPr>
          <w:rFonts w:ascii="Times New Roman" w:hAnsi="Times New Roman" w:cs="Times New Roman"/>
          <w:b/>
        </w:rPr>
        <w:t>Sprivatizované alebo zrušené zdravotnícke zariadenia</w:t>
      </w:r>
    </w:p>
    <w:p w:rsidR="00DD42BA" w:rsidP="00FE0778">
      <w:pPr>
        <w:ind w:firstLine="708"/>
        <w:jc w:val="both"/>
        <w:rPr>
          <w:rFonts w:ascii="Times New Roman" w:hAnsi="Times New Roman" w:cs="Times New Roman"/>
          <w:b/>
        </w:rPr>
      </w:pPr>
    </w:p>
    <w:p w:rsidR="00DD42BA" w:rsidRPr="006905B5" w:rsidP="00FE0778">
      <w:pPr>
        <w:ind w:firstLine="708"/>
        <w:jc w:val="both"/>
        <w:rPr>
          <w:rFonts w:ascii="Times New Roman" w:hAnsi="Times New Roman" w:cs="Times New Roman"/>
        </w:rPr>
      </w:pPr>
      <w:r w:rsidRPr="006905B5">
        <w:rPr>
          <w:rFonts w:ascii="Times New Roman" w:hAnsi="Times New Roman" w:cs="Times New Roman"/>
        </w:rPr>
        <w:t xml:space="preserve">Zoznam zdravotníckych zariadení alebo ich častí, ktoré boli na základe žiadosti Fondu národného majetku SR zrušené alebo vyňaté - privatizované podľa zákona č. 92/1991 Z. z. o podmienkach prevodu majetku štátu na iné osoby v znení neskorších predpisov za obdobie od 1. 1. 2002 do 31. 12. 2006 uvádzame v prílohe č. </w:t>
      </w:r>
      <w:r w:rsidRPr="006905B5" w:rsidR="00B60C74">
        <w:rPr>
          <w:rFonts w:ascii="Times New Roman" w:hAnsi="Times New Roman" w:cs="Times New Roman"/>
        </w:rPr>
        <w:t>2</w:t>
      </w:r>
      <w:r w:rsidRPr="006905B5">
        <w:rPr>
          <w:rFonts w:ascii="Times New Roman" w:hAnsi="Times New Roman" w:cs="Times New Roman"/>
        </w:rPr>
        <w:t>.</w:t>
      </w:r>
    </w:p>
    <w:p w:rsidR="009A2F1C" w:rsidRPr="006905B5" w:rsidP="00FE0778">
      <w:pPr>
        <w:jc w:val="both"/>
        <w:rPr>
          <w:rFonts w:ascii="Times New Roman" w:hAnsi="Times New Roman" w:cs="Times New Roman"/>
          <w:b/>
        </w:rPr>
      </w:pPr>
    </w:p>
    <w:p w:rsidR="009A2F1C" w:rsidP="00FE0778">
      <w:pPr>
        <w:jc w:val="both"/>
        <w:rPr>
          <w:rFonts w:ascii="Times New Roman" w:hAnsi="Times New Roman" w:cs="Times New Roman"/>
          <w:b/>
        </w:rPr>
      </w:pPr>
    </w:p>
    <w:p w:rsidR="004F2B66" w:rsidRPr="006905B5" w:rsidP="00FE0778">
      <w:pPr>
        <w:jc w:val="both"/>
        <w:rPr>
          <w:rFonts w:ascii="Times New Roman" w:hAnsi="Times New Roman" w:cs="Times New Roman"/>
          <w:b/>
        </w:rPr>
      </w:pPr>
      <w:r w:rsidRPr="006905B5" w:rsidR="00F25A67">
        <w:rPr>
          <w:rFonts w:ascii="Times New Roman" w:hAnsi="Times New Roman" w:cs="Times New Roman"/>
          <w:b/>
        </w:rPr>
        <w:t xml:space="preserve">E. </w:t>
      </w:r>
      <w:r w:rsidRPr="006905B5" w:rsidR="00FE2669">
        <w:rPr>
          <w:rFonts w:ascii="Times New Roman" w:hAnsi="Times New Roman" w:cs="Times New Roman"/>
          <w:b/>
        </w:rPr>
        <w:t xml:space="preserve"> </w:t>
      </w:r>
      <w:r w:rsidRPr="006905B5" w:rsidR="00525C37">
        <w:rPr>
          <w:rFonts w:ascii="Times New Roman" w:hAnsi="Times New Roman" w:cs="Times New Roman"/>
          <w:b/>
        </w:rPr>
        <w:t>Analýza zadlžovania</w:t>
      </w:r>
      <w:r w:rsidRPr="006905B5" w:rsidR="001A22CB">
        <w:rPr>
          <w:rFonts w:ascii="Times New Roman" w:hAnsi="Times New Roman" w:cs="Times New Roman"/>
          <w:b/>
        </w:rPr>
        <w:t xml:space="preserve"> sa</w:t>
      </w:r>
      <w:r w:rsidRPr="006905B5" w:rsidR="00525C37">
        <w:rPr>
          <w:rFonts w:ascii="Times New Roman" w:hAnsi="Times New Roman" w:cs="Times New Roman"/>
          <w:b/>
        </w:rPr>
        <w:t xml:space="preserve"> zdravotníckych zariadení v pôsobnosti MZ</w:t>
      </w:r>
    </w:p>
    <w:p w:rsidR="00014195" w:rsidP="00FE0778">
      <w:pPr>
        <w:ind w:firstLine="708"/>
        <w:jc w:val="both"/>
        <w:rPr>
          <w:rFonts w:ascii="Arial Narrow" w:hAnsi="Arial Narrow" w:cs="Arial"/>
          <w:b/>
          <w:color w:val="000000"/>
        </w:rPr>
      </w:pPr>
    </w:p>
    <w:p w:rsidR="00EA1C91" w:rsidRPr="006905B5" w:rsidP="00FE0778">
      <w:pPr>
        <w:ind w:firstLine="708"/>
        <w:jc w:val="both"/>
        <w:rPr>
          <w:rFonts w:ascii="Arial Narrow" w:hAnsi="Arial Narrow" w:cs="Arial"/>
          <w:b/>
          <w:color w:val="000000"/>
        </w:rPr>
      </w:pPr>
    </w:p>
    <w:p w:rsidR="00156646" w:rsidRPr="006905B5" w:rsidP="00FE0778">
      <w:pPr>
        <w:ind w:firstLine="708"/>
        <w:jc w:val="both"/>
        <w:rPr>
          <w:rFonts w:ascii="Times New Roman" w:hAnsi="Times New Roman" w:cs="Times New Roman"/>
          <w:color w:val="000000"/>
        </w:rPr>
      </w:pPr>
      <w:r w:rsidRPr="006905B5" w:rsidR="00031BF1">
        <w:rPr>
          <w:rFonts w:ascii="Times New Roman" w:hAnsi="Times New Roman" w:cs="Times New Roman"/>
          <w:color w:val="000000"/>
        </w:rPr>
        <w:t xml:space="preserve">1. </w:t>
      </w:r>
      <w:r w:rsidRPr="006905B5">
        <w:rPr>
          <w:rFonts w:ascii="Times New Roman" w:hAnsi="Times New Roman" w:cs="Times New Roman"/>
          <w:color w:val="000000"/>
        </w:rPr>
        <w:t>Dlh v zdravotníckych zariadeniach v pôsobnosti Ministerstva zdravotníctva SR</w:t>
      </w:r>
    </w:p>
    <w:p w:rsidR="00156646" w:rsidRPr="006905B5" w:rsidP="00FE0778">
      <w:pPr>
        <w:ind w:firstLine="708"/>
        <w:jc w:val="both"/>
        <w:rPr>
          <w:rFonts w:ascii="Times New Roman" w:hAnsi="Times New Roman" w:cs="Times New Roman"/>
          <w:color w:val="000000"/>
        </w:rPr>
      </w:pPr>
    </w:p>
    <w:p w:rsidR="007D168C" w:rsidP="00EA1C91">
      <w:pPr>
        <w:ind w:firstLine="709"/>
        <w:jc w:val="both"/>
        <w:rPr>
          <w:rFonts w:ascii="Times New Roman" w:hAnsi="Times New Roman" w:cs="Times New Roman"/>
          <w:color w:val="000000"/>
        </w:rPr>
      </w:pPr>
      <w:r w:rsidRPr="006905B5" w:rsidR="00FE0778">
        <w:rPr>
          <w:rFonts w:ascii="Times New Roman" w:hAnsi="Times New Roman" w:cs="Times New Roman"/>
          <w:color w:val="000000"/>
        </w:rPr>
        <w:t>Z</w:t>
      </w:r>
      <w:r w:rsidRPr="006905B5" w:rsidR="00156646">
        <w:rPr>
          <w:rFonts w:ascii="Times New Roman" w:hAnsi="Times New Roman" w:cs="Times New Roman"/>
          <w:color w:val="000000"/>
        </w:rPr>
        <w:t>dravotnícke zariadenia, ktoré sú v pôsobnosti Ministerstva zdr</w:t>
      </w:r>
      <w:r w:rsidRPr="006905B5" w:rsidR="00156646">
        <w:rPr>
          <w:rFonts w:ascii="Times New Roman" w:hAnsi="Times New Roman" w:cs="Times New Roman"/>
          <w:color w:val="000000"/>
        </w:rPr>
        <w:t>avotníctva SR mali k 31.</w:t>
      </w:r>
      <w:r w:rsidR="009A2F1C">
        <w:rPr>
          <w:rFonts w:ascii="Times New Roman" w:hAnsi="Times New Roman" w:cs="Times New Roman"/>
          <w:color w:val="000000"/>
        </w:rPr>
        <w:t>3</w:t>
      </w:r>
      <w:r w:rsidRPr="006905B5" w:rsidR="00156646">
        <w:rPr>
          <w:rFonts w:ascii="Times New Roman" w:hAnsi="Times New Roman" w:cs="Times New Roman"/>
          <w:color w:val="000000"/>
        </w:rPr>
        <w:t>.200</w:t>
      </w:r>
      <w:r w:rsidR="009A2F1C">
        <w:rPr>
          <w:rFonts w:ascii="Times New Roman" w:hAnsi="Times New Roman" w:cs="Times New Roman"/>
          <w:color w:val="000000"/>
        </w:rPr>
        <w:t>7</w:t>
      </w:r>
      <w:r w:rsidRPr="006905B5" w:rsidR="00156646">
        <w:rPr>
          <w:rFonts w:ascii="Times New Roman" w:hAnsi="Times New Roman" w:cs="Times New Roman"/>
          <w:color w:val="000000"/>
        </w:rPr>
        <w:t xml:space="preserve"> dlh kumulatívne vo výške </w:t>
      </w:r>
      <w:r w:rsidR="009A2F1C">
        <w:rPr>
          <w:rFonts w:ascii="Times New Roman" w:hAnsi="Times New Roman" w:cs="Times New Roman"/>
          <w:color w:val="000000"/>
        </w:rPr>
        <w:t>5</w:t>
      </w:r>
      <w:r w:rsidRPr="006905B5" w:rsidR="00156646">
        <w:rPr>
          <w:rFonts w:ascii="Times New Roman" w:hAnsi="Times New Roman" w:cs="Times New Roman"/>
        </w:rPr>
        <w:t>,</w:t>
      </w:r>
      <w:r w:rsidR="009A2F1C">
        <w:rPr>
          <w:rFonts w:ascii="Times New Roman" w:hAnsi="Times New Roman" w:cs="Times New Roman"/>
        </w:rPr>
        <w:t>25</w:t>
      </w:r>
      <w:r w:rsidRPr="006905B5" w:rsidR="00156646">
        <w:rPr>
          <w:rFonts w:ascii="Times New Roman" w:hAnsi="Times New Roman" w:cs="Times New Roman"/>
        </w:rPr>
        <w:t xml:space="preserve"> mld. Sk</w:t>
      </w:r>
      <w:r w:rsidRPr="006905B5" w:rsidR="00156646">
        <w:rPr>
          <w:rFonts w:ascii="Times New Roman" w:hAnsi="Times New Roman" w:cs="Times New Roman"/>
          <w:color w:val="000000"/>
        </w:rPr>
        <w:t xml:space="preserve">.  </w:t>
      </w:r>
    </w:p>
    <w:p w:rsidR="007D168C" w:rsidP="00EA1C91">
      <w:pPr>
        <w:ind w:firstLine="709"/>
        <w:jc w:val="both"/>
        <w:rPr>
          <w:rFonts w:ascii="Times New Roman" w:hAnsi="Times New Roman" w:cs="Times New Roman"/>
          <w:color w:val="000000"/>
        </w:rPr>
      </w:pPr>
    </w:p>
    <w:p w:rsidR="00EA1C91" w:rsidRPr="006905B5" w:rsidP="00EA1C91">
      <w:pPr>
        <w:ind w:firstLine="709"/>
        <w:jc w:val="both"/>
        <w:rPr>
          <w:rFonts w:ascii="Arial Narrow" w:hAnsi="Arial Narrow" w:cs="Arial"/>
          <w:color w:val="000000"/>
        </w:rPr>
      </w:pPr>
      <w:r w:rsidRPr="006905B5" w:rsidR="009A2F1C">
        <w:rPr>
          <w:rFonts w:ascii="Times New Roman" w:hAnsi="Times New Roman" w:cs="Times New Roman"/>
          <w:color w:val="000000"/>
        </w:rPr>
        <w:t>Až 88</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celkového dlhu je dlh voči súkromnému sektoru. V tom má najvyšší podiel dlh voči dodávateľom liekov - až 57</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dlh voči ostatným dodávateľom je 12</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dlh voči sieťovým dodávateľom - t.j. dodávateľom plynu, vody a energií je 9</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 dlh voči investičným dodávateľom je 8</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a dlh voči ostatným zdravotníckym zariadeniam tvorí 2</w:t>
      </w:r>
      <w:r w:rsidR="009A2F1C">
        <w:rPr>
          <w:rFonts w:ascii="Times New Roman" w:hAnsi="Times New Roman" w:cs="Times New Roman"/>
          <w:color w:val="000000"/>
        </w:rPr>
        <w:t xml:space="preserve"> </w:t>
      </w:r>
      <w:r w:rsidRPr="006905B5" w:rsidR="009A2F1C">
        <w:rPr>
          <w:rFonts w:ascii="Times New Roman" w:hAnsi="Times New Roman" w:cs="Times New Roman"/>
          <w:color w:val="000000"/>
        </w:rPr>
        <w:t xml:space="preserve">% z celkového dlhu. </w:t>
      </w:r>
      <w:r w:rsidRPr="006905B5">
        <w:rPr>
          <w:rFonts w:ascii="Times New Roman" w:hAnsi="Times New Roman" w:cs="Times New Roman"/>
          <w:color w:val="000000"/>
        </w:rPr>
        <w:t xml:space="preserve">Percentuálny podiel dlhu znázorňuje graf č. 1: </w:t>
      </w:r>
    </w:p>
    <w:p w:rsidR="00EA1C91" w:rsidRPr="006905B5" w:rsidP="00EA1C91">
      <w:pPr>
        <w:ind w:firstLine="708"/>
        <w:rPr>
          <w:rFonts w:ascii="Arial" w:hAnsi="Arial" w:cs="Arial"/>
          <w:color w:val="000000"/>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3pt;height:179.3pt" o:preferrelative="t">
            <v:imagedata r:id="rId4" o:title=""/>
          </v:shape>
        </w:pict>
      </w:r>
    </w:p>
    <w:p w:rsidR="00EA1C91" w:rsidP="00FE0778">
      <w:pPr>
        <w:ind w:firstLine="708"/>
        <w:jc w:val="both"/>
        <w:rPr>
          <w:rFonts w:ascii="Times New Roman" w:hAnsi="Times New Roman" w:cs="Times New Roman"/>
          <w:color w:val="000000"/>
        </w:rPr>
      </w:pPr>
    </w:p>
    <w:p w:rsidR="009A2F1C" w:rsidRPr="006905B5" w:rsidP="00FE0778">
      <w:pPr>
        <w:ind w:firstLine="708"/>
        <w:jc w:val="both"/>
        <w:rPr>
          <w:rFonts w:ascii="Times New Roman" w:hAnsi="Times New Roman" w:cs="Times New Roman"/>
          <w:color w:val="000000"/>
        </w:rPr>
      </w:pPr>
      <w:r w:rsidR="00A1602D">
        <w:rPr>
          <w:rFonts w:ascii="Times New Roman" w:hAnsi="Times New Roman" w:cs="Times New Roman"/>
          <w:color w:val="000000"/>
        </w:rPr>
        <w:t xml:space="preserve">Prehľad vývoja dlhu </w:t>
      </w:r>
      <w:r w:rsidRPr="006905B5" w:rsidR="00A1602D">
        <w:rPr>
          <w:rFonts w:ascii="Times New Roman" w:hAnsi="Times New Roman" w:cs="Times New Roman"/>
          <w:color w:val="000000"/>
        </w:rPr>
        <w:t>v zdravotníckych</w:t>
      </w:r>
      <w:r w:rsidRPr="006905B5" w:rsidR="00A1602D">
        <w:rPr>
          <w:rFonts w:ascii="Times New Roman" w:hAnsi="Times New Roman" w:cs="Times New Roman"/>
          <w:color w:val="000000"/>
        </w:rPr>
        <w:t xml:space="preserve"> zariadeniach v pôsobnosti Ministerstva zdravotníctva SR</w:t>
      </w:r>
      <w:r w:rsidR="00A1602D">
        <w:rPr>
          <w:rFonts w:ascii="Times New Roman" w:hAnsi="Times New Roman" w:cs="Times New Roman"/>
          <w:color w:val="000000"/>
        </w:rPr>
        <w:t xml:space="preserve"> od roku 2004 </w:t>
      </w:r>
      <w:r w:rsidR="001C5ED2">
        <w:rPr>
          <w:rFonts w:ascii="Times New Roman" w:hAnsi="Times New Roman" w:cs="Times New Roman"/>
          <w:color w:val="000000"/>
        </w:rPr>
        <w:t>je uvedený v</w:t>
      </w:r>
      <w:r w:rsidR="00A1602D">
        <w:rPr>
          <w:rFonts w:ascii="Times New Roman" w:hAnsi="Times New Roman" w:cs="Times New Roman"/>
          <w:color w:val="000000"/>
        </w:rPr>
        <w:t xml:space="preserve"> nasledujúc</w:t>
      </w:r>
      <w:r w:rsidR="001C5ED2">
        <w:rPr>
          <w:rFonts w:ascii="Times New Roman" w:hAnsi="Times New Roman" w:cs="Times New Roman"/>
          <w:color w:val="000000"/>
        </w:rPr>
        <w:t>ej</w:t>
      </w:r>
      <w:r w:rsidR="00A1602D">
        <w:rPr>
          <w:rFonts w:ascii="Times New Roman" w:hAnsi="Times New Roman" w:cs="Times New Roman"/>
          <w:color w:val="000000"/>
        </w:rPr>
        <w:t xml:space="preserve"> tabuľk</w:t>
      </w:r>
      <w:r w:rsidR="001C5ED2">
        <w:rPr>
          <w:rFonts w:ascii="Times New Roman" w:hAnsi="Times New Roman" w:cs="Times New Roman"/>
          <w:color w:val="000000"/>
        </w:rPr>
        <w:t>e</w:t>
      </w:r>
      <w:r w:rsidR="00A1602D">
        <w:rPr>
          <w:rFonts w:ascii="Times New Roman" w:hAnsi="Times New Roman" w:cs="Times New Roman"/>
          <w:color w:val="000000"/>
        </w:rPr>
        <w:t>:</w:t>
      </w:r>
    </w:p>
    <w:tbl>
      <w:tblPr>
        <w:tblW w:w="8100" w:type="dxa"/>
        <w:tblInd w:w="610" w:type="dxa"/>
        <w:tblCellMar>
          <w:left w:w="70" w:type="dxa"/>
          <w:right w:w="70" w:type="dxa"/>
        </w:tblCellMar>
      </w:tblPr>
      <w:tblGrid>
        <w:gridCol w:w="2880"/>
        <w:gridCol w:w="5220"/>
      </w:tblGrid>
      <w:tr>
        <w:tblPrEx>
          <w:tblW w:w="8100" w:type="dxa"/>
          <w:tblInd w:w="610" w:type="dxa"/>
          <w:tblCellMar>
            <w:left w:w="70" w:type="dxa"/>
            <w:right w:w="70" w:type="dxa"/>
          </w:tblCellMar>
        </w:tblPrEx>
        <w:trPr>
          <w:trHeight w:val="255"/>
        </w:trPr>
        <w:tc>
          <w:tcPr>
            <w:tcW w:w="2880" w:type="dxa"/>
            <w:tcBorders>
              <w:top w:val="nil"/>
              <w:left w:val="nil"/>
              <w:bottom w:val="nil"/>
              <w:right w:val="nil"/>
              <w:tl2br w:val="nil"/>
              <w:tr2bl w:val="nil"/>
            </w:tcBorders>
            <w:textDirection w:val="lrTb"/>
            <w:vAlign w:val="bottom"/>
          </w:tcPr>
          <w:p w:rsidR="007D168C" w:rsidRPr="00931BA2" w:rsidP="00450A4D">
            <w:pPr>
              <w:rPr>
                <w:rFonts w:ascii="Arial" w:hAnsi="Arial" w:cs="Arial"/>
                <w:b/>
                <w:bCs/>
                <w:i/>
                <w:iCs/>
                <w:sz w:val="20"/>
                <w:szCs w:val="20"/>
                <w:lang w:val="cs-CZ"/>
              </w:rPr>
            </w:pPr>
          </w:p>
        </w:tc>
        <w:tc>
          <w:tcPr>
            <w:tcW w:w="5220" w:type="dxa"/>
            <w:tcBorders>
              <w:top w:val="nil"/>
              <w:left w:val="nil"/>
              <w:bottom w:val="nil"/>
              <w:right w:val="nil"/>
              <w:tl2br w:val="nil"/>
              <w:tr2bl w:val="nil"/>
            </w:tcBorders>
            <w:noWrap/>
            <w:textDirection w:val="lrTb"/>
            <w:vAlign w:val="bottom"/>
          </w:tcPr>
          <w:p w:rsidR="007D168C" w:rsidRPr="00931BA2" w:rsidP="00450A4D">
            <w:pPr>
              <w:jc w:val="right"/>
              <w:rPr>
                <w:rFonts w:ascii="Arial" w:hAnsi="Arial" w:cs="Arial"/>
                <w:sz w:val="16"/>
                <w:szCs w:val="16"/>
                <w:lang w:val="cs-CZ"/>
              </w:rPr>
            </w:pPr>
            <w:r w:rsidRPr="00931BA2">
              <w:rPr>
                <w:rFonts w:ascii="Arial" w:hAnsi="Arial" w:cs="Arial"/>
                <w:sz w:val="16"/>
                <w:szCs w:val="16"/>
                <w:lang w:val="cs-CZ"/>
              </w:rPr>
              <w:t>v tis. Sk</w:t>
            </w:r>
          </w:p>
        </w:tc>
      </w:tr>
      <w:tr>
        <w:tblPrEx>
          <w:tblW w:w="8100" w:type="dxa"/>
          <w:tblInd w:w="610" w:type="dxa"/>
          <w:tblCellMar>
            <w:left w:w="70" w:type="dxa"/>
            <w:right w:w="70" w:type="dxa"/>
          </w:tblCellMar>
        </w:tblPrEx>
        <w:trPr>
          <w:trHeight w:val="1185"/>
        </w:trPr>
        <w:tc>
          <w:tcPr>
            <w:tcW w:w="2880" w:type="dxa"/>
            <w:tcBorders>
              <w:top w:val="single" w:sz="4" w:space="0" w:color="auto"/>
              <w:left w:val="single" w:sz="4" w:space="0" w:color="auto"/>
              <w:bottom w:val="single" w:sz="4" w:space="0" w:color="000000"/>
              <w:right w:val="single" w:sz="4" w:space="0" w:color="auto"/>
              <w:tl2br w:val="nil"/>
              <w:tr2bl w:val="nil"/>
            </w:tcBorders>
            <w:textDirection w:val="lrTb"/>
            <w:vAlign w:val="center"/>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Dlh ZZ v pôsobnosti MZ SR</w:t>
            </w:r>
          </w:p>
        </w:tc>
        <w:tc>
          <w:tcPr>
            <w:tcW w:w="5220" w:type="dxa"/>
            <w:tcBorders>
              <w:top w:val="single" w:sz="4" w:space="0" w:color="auto"/>
              <w:left w:val="nil"/>
              <w:bottom w:val="single" w:sz="4" w:space="0" w:color="auto"/>
              <w:right w:val="single" w:sz="4" w:space="0" w:color="auto"/>
              <w:tl2br w:val="nil"/>
              <w:tr2bl w:val="nil"/>
            </w:tcBorders>
            <w:textDirection w:val="lrTb"/>
            <w:vAlign w:val="center"/>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Stav záväzkov po lehote splatnosti</w:t>
            </w:r>
          </w:p>
        </w:tc>
      </w:tr>
      <w:tr>
        <w:tblPrEx>
          <w:tblW w:w="8100" w:type="dxa"/>
          <w:tblInd w:w="610" w:type="dxa"/>
          <w:tblCellMar>
            <w:left w:w="70" w:type="dxa"/>
            <w:right w:w="70" w:type="dxa"/>
          </w:tblCellMar>
        </w:tblPrEx>
        <w:trPr>
          <w:trHeight w:val="435"/>
        </w:trPr>
        <w:tc>
          <w:tcPr>
            <w:tcW w:w="2880" w:type="dxa"/>
            <w:tcBorders>
              <w:top w:val="nil"/>
              <w:left w:val="single" w:sz="4" w:space="0" w:color="auto"/>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sz w:val="20"/>
                <w:szCs w:val="20"/>
                <w:lang w:val="cs-CZ"/>
              </w:rPr>
            </w:pPr>
            <w:r w:rsidRPr="00931BA2">
              <w:rPr>
                <w:rFonts w:ascii="Arial" w:hAnsi="Arial" w:cs="Arial"/>
                <w:sz w:val="20"/>
                <w:szCs w:val="20"/>
                <w:lang w:val="cs-CZ"/>
              </w:rPr>
              <w:t>k 31.12.2004</w:t>
            </w:r>
          </w:p>
        </w:tc>
        <w:tc>
          <w:tcPr>
            <w:tcW w:w="5220" w:type="dxa"/>
            <w:tcBorders>
              <w:top w:val="nil"/>
              <w:left w:val="nil"/>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781 000</w:t>
            </w:r>
          </w:p>
        </w:tc>
      </w:tr>
      <w:tr>
        <w:tblPrEx>
          <w:tblW w:w="8100" w:type="dxa"/>
          <w:tblInd w:w="610" w:type="dxa"/>
          <w:tblCellMar>
            <w:left w:w="70" w:type="dxa"/>
            <w:right w:w="70" w:type="dxa"/>
          </w:tblCellMar>
        </w:tblPrEx>
        <w:trPr>
          <w:trHeight w:val="390"/>
        </w:trPr>
        <w:tc>
          <w:tcPr>
            <w:tcW w:w="2880" w:type="dxa"/>
            <w:tcBorders>
              <w:top w:val="nil"/>
              <w:left w:val="single" w:sz="4" w:space="0" w:color="auto"/>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sz w:val="20"/>
                <w:szCs w:val="20"/>
                <w:lang w:val="cs-CZ"/>
              </w:rPr>
            </w:pPr>
            <w:r w:rsidRPr="00931BA2">
              <w:rPr>
                <w:rFonts w:ascii="Arial" w:hAnsi="Arial" w:cs="Arial"/>
                <w:sz w:val="20"/>
                <w:szCs w:val="20"/>
                <w:lang w:val="cs-CZ"/>
              </w:rPr>
              <w:t>k 31.12.2005</w:t>
            </w:r>
          </w:p>
        </w:tc>
        <w:tc>
          <w:tcPr>
            <w:tcW w:w="5220" w:type="dxa"/>
            <w:tcBorders>
              <w:top w:val="nil"/>
              <w:left w:val="nil"/>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2 813 889</w:t>
            </w:r>
          </w:p>
        </w:tc>
      </w:tr>
      <w:tr>
        <w:tblPrEx>
          <w:tblW w:w="8100" w:type="dxa"/>
          <w:tblInd w:w="610" w:type="dxa"/>
          <w:tblCellMar>
            <w:left w:w="70" w:type="dxa"/>
            <w:right w:w="70" w:type="dxa"/>
          </w:tblCellMar>
        </w:tblPrEx>
        <w:trPr>
          <w:trHeight w:val="390"/>
        </w:trPr>
        <w:tc>
          <w:tcPr>
            <w:tcW w:w="2880" w:type="dxa"/>
            <w:tcBorders>
              <w:top w:val="nil"/>
              <w:left w:val="single" w:sz="4" w:space="0" w:color="auto"/>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sz w:val="20"/>
                <w:szCs w:val="20"/>
                <w:lang w:val="cs-CZ"/>
              </w:rPr>
            </w:pPr>
            <w:r w:rsidRPr="00931BA2">
              <w:rPr>
                <w:rFonts w:ascii="Arial" w:hAnsi="Arial" w:cs="Arial"/>
                <w:sz w:val="20"/>
                <w:szCs w:val="20"/>
                <w:lang w:val="cs-CZ"/>
              </w:rPr>
              <w:t>k 31.12.2006</w:t>
            </w:r>
          </w:p>
        </w:tc>
        <w:tc>
          <w:tcPr>
            <w:tcW w:w="5220" w:type="dxa"/>
            <w:tcBorders>
              <w:top w:val="nil"/>
              <w:left w:val="nil"/>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4 552 403</w:t>
            </w:r>
          </w:p>
        </w:tc>
      </w:tr>
      <w:tr>
        <w:tblPrEx>
          <w:tblW w:w="8100" w:type="dxa"/>
          <w:tblInd w:w="610" w:type="dxa"/>
          <w:tblCellMar>
            <w:left w:w="70" w:type="dxa"/>
            <w:right w:w="70" w:type="dxa"/>
          </w:tblCellMar>
        </w:tblPrEx>
        <w:trPr>
          <w:trHeight w:val="390"/>
        </w:trPr>
        <w:tc>
          <w:tcPr>
            <w:tcW w:w="2880" w:type="dxa"/>
            <w:tcBorders>
              <w:top w:val="nil"/>
              <w:left w:val="single" w:sz="4" w:space="0" w:color="auto"/>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sz w:val="20"/>
                <w:szCs w:val="20"/>
                <w:lang w:val="cs-CZ"/>
              </w:rPr>
            </w:pPr>
            <w:r w:rsidRPr="00931BA2">
              <w:rPr>
                <w:rFonts w:ascii="Arial" w:hAnsi="Arial" w:cs="Arial"/>
                <w:sz w:val="20"/>
                <w:szCs w:val="20"/>
                <w:lang w:val="cs-CZ"/>
              </w:rPr>
              <w:t>k 31.3.</w:t>
            </w:r>
            <w:r w:rsidRPr="00931BA2">
              <w:rPr>
                <w:rFonts w:ascii="Arial" w:hAnsi="Arial" w:cs="Arial"/>
                <w:sz w:val="20"/>
                <w:szCs w:val="20"/>
                <w:lang w:val="cs-CZ"/>
              </w:rPr>
              <w:t>2007</w:t>
            </w:r>
          </w:p>
        </w:tc>
        <w:tc>
          <w:tcPr>
            <w:tcW w:w="5220" w:type="dxa"/>
            <w:tcBorders>
              <w:top w:val="nil"/>
              <w:left w:val="nil"/>
              <w:bottom w:val="single" w:sz="4" w:space="0" w:color="auto"/>
              <w:right w:val="single" w:sz="4" w:space="0" w:color="auto"/>
              <w:tl2br w:val="nil"/>
              <w:tr2bl w:val="nil"/>
            </w:tcBorders>
            <w:textDirection w:val="lrTb"/>
            <w:vAlign w:val="bottom"/>
          </w:tcPr>
          <w:p w:rsidR="007D168C" w:rsidRPr="00931BA2" w:rsidP="007D168C">
            <w:pPr>
              <w:jc w:val="center"/>
              <w:rPr>
                <w:rFonts w:ascii="Arial" w:hAnsi="Arial" w:cs="Arial"/>
                <w:b/>
                <w:bCs/>
                <w:sz w:val="20"/>
                <w:szCs w:val="20"/>
                <w:lang w:val="cs-CZ"/>
              </w:rPr>
            </w:pPr>
            <w:r w:rsidRPr="00931BA2">
              <w:rPr>
                <w:rFonts w:ascii="Arial" w:hAnsi="Arial" w:cs="Arial"/>
                <w:b/>
                <w:bCs/>
                <w:sz w:val="20"/>
                <w:szCs w:val="20"/>
                <w:lang w:val="cs-CZ"/>
              </w:rPr>
              <w:t>5 252 000</w:t>
            </w:r>
          </w:p>
        </w:tc>
      </w:tr>
    </w:tbl>
    <w:p w:rsidR="007D168C" w:rsidP="009A2F1C">
      <w:pPr>
        <w:ind w:firstLine="708"/>
        <w:jc w:val="both"/>
        <w:rPr>
          <w:rFonts w:ascii="Times New Roman" w:hAnsi="Times New Roman" w:cs="Times New Roman"/>
        </w:rPr>
      </w:pPr>
    </w:p>
    <w:p w:rsidR="009A2F1C" w:rsidP="009A2F1C">
      <w:pPr>
        <w:ind w:firstLine="708"/>
        <w:jc w:val="both"/>
        <w:rPr>
          <w:rFonts w:ascii="Times New Roman" w:hAnsi="Times New Roman" w:cs="Times New Roman"/>
        </w:rPr>
      </w:pPr>
      <w:r>
        <w:rPr>
          <w:rFonts w:ascii="Times New Roman" w:hAnsi="Times New Roman" w:cs="Times New Roman"/>
        </w:rPr>
        <w:t>Dô</w:t>
      </w:r>
      <w:r w:rsidRPr="006905B5">
        <w:rPr>
          <w:rFonts w:ascii="Times New Roman" w:hAnsi="Times New Roman" w:cs="Times New Roman"/>
        </w:rPr>
        <w:t xml:space="preserve">vodom nárastu dlhu  zdravotníckych zariadení v pôsobnosti MZ je aj fakt, že v minulom období sa v rámci sledovania zadlženosti uvádzal od 1.1.2005 nulový dlh. Počítalo sa s tým, že všetky staré dlhy zdravotníckych zariadení budú akciovou spoločnosťou Veriteľ definitívne vysporiadané. To sa však v plnej miere v praxi nepodarilo zrealizovať. Starý dlh u štátnych poskytovateľov zdravotnej starostlivosti zostal vo výške </w:t>
      </w:r>
      <w:r>
        <w:rPr>
          <w:rFonts w:ascii="Times New Roman" w:hAnsi="Times New Roman" w:cs="Times New Roman"/>
        </w:rPr>
        <w:t xml:space="preserve">takmer </w:t>
      </w:r>
      <w:r w:rsidRPr="006905B5">
        <w:rPr>
          <w:rFonts w:ascii="Times New Roman" w:hAnsi="Times New Roman" w:cs="Times New Roman"/>
        </w:rPr>
        <w:t xml:space="preserve">800 miliónov Sk a za rok 2005 stúpol </w:t>
      </w:r>
      <w:r w:rsidR="00A32E2E">
        <w:rPr>
          <w:rFonts w:ascii="Times New Roman" w:hAnsi="Times New Roman" w:cs="Times New Roman"/>
        </w:rPr>
        <w:t>o</w:t>
      </w:r>
      <w:r w:rsidRPr="006905B5">
        <w:rPr>
          <w:rFonts w:ascii="Times New Roman" w:hAnsi="Times New Roman" w:cs="Times New Roman"/>
        </w:rPr>
        <w:t xml:space="preserve"> viac ako 2 miliardy</w:t>
      </w:r>
      <w:r>
        <w:rPr>
          <w:rFonts w:ascii="Times New Roman" w:hAnsi="Times New Roman" w:cs="Times New Roman"/>
        </w:rPr>
        <w:t xml:space="preserve"> Sk</w:t>
      </w:r>
      <w:r w:rsidRPr="006905B5">
        <w:rPr>
          <w:rFonts w:ascii="Times New Roman" w:hAnsi="Times New Roman" w:cs="Times New Roman"/>
        </w:rPr>
        <w:t xml:space="preserve">. </w:t>
      </w:r>
      <w:r w:rsidR="001C5ED2">
        <w:rPr>
          <w:rFonts w:ascii="Times New Roman" w:hAnsi="Times New Roman" w:cs="Times New Roman"/>
        </w:rPr>
        <w:t>Pre</w:t>
      </w:r>
      <w:r w:rsidR="001C5ED2">
        <w:rPr>
          <w:rFonts w:ascii="Times New Roman" w:hAnsi="Times New Roman" w:cs="Times New Roman"/>
        </w:rPr>
        <w:t xml:space="preserve"> lepšiu ilustráciu uvádzame vývoj dlhu </w:t>
      </w:r>
      <w:r w:rsidR="00A32E2E">
        <w:rPr>
          <w:rFonts w:ascii="Times New Roman" w:hAnsi="Times New Roman" w:cs="Times New Roman"/>
        </w:rPr>
        <w:t xml:space="preserve">aj   </w:t>
      </w:r>
      <w:r w:rsidR="001C5ED2">
        <w:rPr>
          <w:rFonts w:ascii="Times New Roman" w:hAnsi="Times New Roman" w:cs="Times New Roman"/>
        </w:rPr>
        <w:t xml:space="preserve">v grafickej forme: </w:t>
      </w:r>
    </w:p>
    <w:p w:rsidR="009A2F1C" w:rsidP="009A2F1C">
      <w:pPr>
        <w:ind w:firstLine="708"/>
        <w:jc w:val="both"/>
        <w:rPr>
          <w:rFonts w:ascii="Times New Roman" w:hAnsi="Times New Roman" w:cs="Times New Roman"/>
          <w:color w:val="000000"/>
        </w:rPr>
      </w:pPr>
    </w:p>
    <w:tbl>
      <w:tblPr>
        <w:tblW w:w="11064" w:type="dxa"/>
        <w:tblInd w:w="70" w:type="dxa"/>
        <w:tblCellMar>
          <w:left w:w="70" w:type="dxa"/>
          <w:right w:w="70" w:type="dxa"/>
        </w:tblCellMar>
      </w:tblPr>
      <w:tblGrid>
        <w:gridCol w:w="4100"/>
        <w:gridCol w:w="1736"/>
        <w:gridCol w:w="1756"/>
        <w:gridCol w:w="1736"/>
        <w:gridCol w:w="1736"/>
      </w:tblGrid>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r>
              <w:rPr>
                <w:rFonts w:ascii="Arial" w:hAnsi="Arial" w:cs="Arial"/>
                <w:sz w:val="20"/>
                <w:szCs w:val="20"/>
                <w:lang w:val="cs-CZ"/>
              </w:rPr>
              <w:pict>
                <v:shape id="_x0000_s1026" type="#_x0000_t75" style="width:407.25pt;height:211.5pt;margin-top:4.4pt;margin-left:23.5pt;position:absolute;z-index:251658240" fillcolor="window">
                  <v:fill/>
                  <v:imagedata r:id="rId5" o:title="clip_image001"/>
                </v:shape>
              </w:pict>
            </w:r>
          </w:p>
          <w:tbl>
            <w:tblPr>
              <w:tblW w:w="0" w:type="auto"/>
              <w:tblCellSpacing w:w="0" w:type="dxa"/>
              <w:tblCellMar>
                <w:left w:w="0" w:type="dxa"/>
                <w:right w:w="0" w:type="dxa"/>
              </w:tblCellMar>
            </w:tblPr>
            <w:tblGrid>
              <w:gridCol w:w="3960"/>
            </w:tblGrid>
            <w:tr>
              <w:tblPrEx>
                <w:tblW w:w="0" w:type="auto"/>
                <w:tblCellSpacing w:w="0" w:type="dxa"/>
                <w:tblCellMar>
                  <w:left w:w="0" w:type="dxa"/>
                  <w:right w:w="0" w:type="dxa"/>
                </w:tblCellMar>
              </w:tblPrEx>
              <w:trPr>
                <w:trHeight w:val="255"/>
                <w:tblCellSpacing w:w="0" w:type="dxa"/>
              </w:trPr>
              <w:tc>
                <w:tcPr>
                  <w:tcW w:w="396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bl>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r>
        <w:tblPrEx>
          <w:tblW w:w="11064" w:type="dxa"/>
          <w:tblInd w:w="70" w:type="dxa"/>
          <w:tblCellMar>
            <w:left w:w="70" w:type="dxa"/>
            <w:right w:w="70" w:type="dxa"/>
          </w:tblCellMar>
        </w:tblPrEx>
        <w:trPr>
          <w:trHeight w:val="255"/>
        </w:trPr>
        <w:tc>
          <w:tcPr>
            <w:tcW w:w="4100"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5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c>
          <w:tcPr>
            <w:tcW w:w="1736" w:type="dxa"/>
            <w:tcBorders>
              <w:top w:val="nil"/>
              <w:left w:val="nil"/>
              <w:bottom w:val="nil"/>
              <w:right w:val="nil"/>
              <w:tl2br w:val="nil"/>
              <w:tr2bl w:val="nil"/>
            </w:tcBorders>
            <w:noWrap/>
            <w:textDirection w:val="lrTb"/>
            <w:vAlign w:val="bottom"/>
          </w:tcPr>
          <w:p w:rsidR="00525A2A" w:rsidRPr="007A210F" w:rsidP="00450A4D">
            <w:pPr>
              <w:rPr>
                <w:rFonts w:ascii="Arial" w:hAnsi="Arial" w:cs="Arial"/>
                <w:sz w:val="20"/>
                <w:szCs w:val="20"/>
                <w:lang w:val="cs-CZ"/>
              </w:rPr>
            </w:pPr>
          </w:p>
        </w:tc>
      </w:tr>
    </w:tbl>
    <w:p w:rsidR="00014195" w:rsidRPr="009A2F1C" w:rsidP="009A2F1C">
      <w:pPr>
        <w:ind w:left="900" w:hanging="192"/>
        <w:jc w:val="center"/>
        <w:rPr>
          <w:rFonts w:ascii="Times New Roman" w:hAnsi="Times New Roman" w:cs="Times New Roman"/>
          <w:color w:val="000000"/>
        </w:rPr>
      </w:pPr>
      <w:r w:rsidRPr="009A2F1C" w:rsidR="00807B0D">
        <w:rPr>
          <w:rFonts w:ascii="Times New Roman" w:hAnsi="Times New Roman" w:cs="Times New Roman"/>
          <w:color w:val="000000"/>
        </w:rPr>
        <w:t xml:space="preserve">2. </w:t>
      </w:r>
      <w:r w:rsidRPr="009A2F1C">
        <w:rPr>
          <w:rFonts w:ascii="Times New Roman" w:hAnsi="Times New Roman" w:cs="Times New Roman"/>
          <w:color w:val="000000"/>
        </w:rPr>
        <w:t>Dlh v zdravotníckych zariadeniach delimitovaných na obce a VÚC a transformovaných na neziskové  organizácie</w:t>
      </w:r>
    </w:p>
    <w:p w:rsidR="00014195" w:rsidRPr="006905B5" w:rsidP="00FE0778">
      <w:pPr>
        <w:ind w:firstLine="709"/>
        <w:jc w:val="both"/>
        <w:rPr>
          <w:rFonts w:ascii="Times New Roman" w:hAnsi="Times New Roman" w:cs="Times New Roman"/>
          <w:color w:val="000000"/>
        </w:rPr>
      </w:pPr>
    </w:p>
    <w:p w:rsidR="00014195" w:rsidP="00FE0778">
      <w:pPr>
        <w:ind w:firstLine="709"/>
        <w:jc w:val="both"/>
        <w:rPr>
          <w:rFonts w:ascii="Times New Roman" w:hAnsi="Times New Roman" w:cs="Times New Roman"/>
        </w:rPr>
      </w:pPr>
      <w:r w:rsidRPr="006905B5">
        <w:rPr>
          <w:rFonts w:ascii="Times New Roman" w:hAnsi="Times New Roman" w:cs="Times New Roman"/>
          <w:color w:val="000000"/>
        </w:rPr>
        <w:t>V zd</w:t>
      </w:r>
      <w:r w:rsidRPr="006905B5">
        <w:rPr>
          <w:rFonts w:ascii="Times New Roman" w:hAnsi="Times New Roman" w:cs="Times New Roman"/>
          <w:color w:val="000000"/>
        </w:rPr>
        <w:t xml:space="preserve">ravotníckych zariadeniach, ktoré boli v zmysle zákona č. </w:t>
      </w:r>
      <w:r w:rsidRPr="006905B5">
        <w:rPr>
          <w:rFonts w:ascii="Times New Roman" w:hAnsi="Times New Roman" w:cs="Times New Roman"/>
        </w:rPr>
        <w:t xml:space="preserve">416/2001 Z. z. v znení neskorších predpisov delimitované z pôsobnosti Ministerstva zdravotníctva SR pod obce a VÚC a v zdravotníckych zariadeniach, ktoré boli transformované na neziskové organizácie poskytujúce všeobecne prospešné služby podľa zákona č. 13/2002 Z. z. sa sleduje dlh od obdobia delimitácie, resp. transformácie. </w:t>
      </w:r>
    </w:p>
    <w:p w:rsidR="009A2F1C" w:rsidRPr="006905B5" w:rsidP="00FE0778">
      <w:pPr>
        <w:ind w:firstLine="709"/>
        <w:jc w:val="both"/>
        <w:rPr>
          <w:rFonts w:ascii="Times New Roman" w:hAnsi="Times New Roman" w:cs="Times New Roman"/>
        </w:rPr>
      </w:pPr>
    </w:p>
    <w:p w:rsidR="00EA1C91" w:rsidRPr="006905B5" w:rsidP="00EA1C91">
      <w:pPr>
        <w:ind w:firstLine="709"/>
        <w:jc w:val="both"/>
        <w:rPr>
          <w:rFonts w:ascii="Times New Roman" w:hAnsi="Times New Roman" w:cs="Times New Roman"/>
        </w:rPr>
      </w:pPr>
      <w:r w:rsidRPr="006905B5" w:rsidR="00014195">
        <w:rPr>
          <w:rFonts w:ascii="Times New Roman" w:hAnsi="Times New Roman" w:cs="Times New Roman"/>
        </w:rPr>
        <w:t xml:space="preserve"> K 31.12.2006 delimitované a transformované zdravotnícke zariadenia majú dlh vo výške 2,</w:t>
      </w:r>
      <w:r w:rsidR="0001609A">
        <w:rPr>
          <w:rFonts w:ascii="Times New Roman" w:hAnsi="Times New Roman" w:cs="Times New Roman"/>
        </w:rPr>
        <w:t>3</w:t>
      </w:r>
      <w:r w:rsidRPr="006905B5" w:rsidR="00014195">
        <w:rPr>
          <w:rFonts w:ascii="Times New Roman" w:hAnsi="Times New Roman" w:cs="Times New Roman"/>
        </w:rPr>
        <w:t xml:space="preserve"> mld. Sk. Na tomto dlhu až 87</w:t>
      </w:r>
      <w:r w:rsidR="0001609A">
        <w:rPr>
          <w:rFonts w:ascii="Times New Roman" w:hAnsi="Times New Roman" w:cs="Times New Roman"/>
        </w:rPr>
        <w:t xml:space="preserve"> </w:t>
      </w:r>
      <w:r w:rsidRPr="006905B5" w:rsidR="00014195">
        <w:rPr>
          <w:rFonts w:ascii="Times New Roman" w:hAnsi="Times New Roman" w:cs="Times New Roman"/>
        </w:rPr>
        <w:t>% podi</w:t>
      </w:r>
      <w:r w:rsidRPr="006905B5" w:rsidR="00014195">
        <w:rPr>
          <w:rFonts w:ascii="Times New Roman" w:hAnsi="Times New Roman" w:cs="Times New Roman"/>
        </w:rPr>
        <w:t>el majú zdravotnícke zariadenia, ktoré boli delimitované pod samosprávu VÚC (bývalé nemocnice s poliklinikou II. typu a polikliniky), zdravotnícke zariadenia delimitované na obce (bývalé nemocnice s poliklinikou I. typu) majú 6% podiel a neziskové organizácie tvoria 7</w:t>
      </w:r>
      <w:r w:rsidR="0001609A">
        <w:rPr>
          <w:rFonts w:ascii="Times New Roman" w:hAnsi="Times New Roman" w:cs="Times New Roman"/>
        </w:rPr>
        <w:t xml:space="preserve"> </w:t>
      </w:r>
      <w:r w:rsidRPr="006905B5" w:rsidR="00014195">
        <w:rPr>
          <w:rFonts w:ascii="Times New Roman" w:hAnsi="Times New Roman" w:cs="Times New Roman"/>
        </w:rPr>
        <w:t xml:space="preserve">% dlhu.  K výraznému zníženiu dlhu u týchto zdravotníckych zariadení došlo ku koncu roku 2005 vďaka </w:t>
      </w:r>
      <w:r w:rsidRPr="006905B5" w:rsidR="001C19F9">
        <w:rPr>
          <w:rFonts w:ascii="Times New Roman" w:hAnsi="Times New Roman" w:cs="Times New Roman"/>
        </w:rPr>
        <w:t>oddlženiu</w:t>
      </w:r>
      <w:r w:rsidRPr="006905B5" w:rsidR="00014195">
        <w:rPr>
          <w:rFonts w:ascii="Times New Roman" w:hAnsi="Times New Roman" w:cs="Times New Roman"/>
        </w:rPr>
        <w:t xml:space="preserve"> Sociálnej poisťovne v zmysle uznesenia vlády SR č. 956/2005, ktoré sa realizovalo prostredníctvom spoločnosti Veriteľ, a.s.. </w:t>
      </w:r>
      <w:r w:rsidRPr="006905B5">
        <w:rPr>
          <w:rFonts w:ascii="Times New Roman" w:hAnsi="Times New Roman" w:cs="Times New Roman"/>
        </w:rPr>
        <w:t xml:space="preserve">Štruktúra dlhu podľa </w:t>
      </w:r>
      <w:r w:rsidRPr="006905B5">
        <w:rPr>
          <w:rFonts w:ascii="Times New Roman" w:hAnsi="Times New Roman" w:cs="Times New Roman"/>
        </w:rPr>
        <w:t>jednotlivých subjektov v tejto skupine zdravotníckych zariadení je nasledovná:</w:t>
      </w:r>
    </w:p>
    <w:p w:rsidR="00014195" w:rsidP="00EA1C91">
      <w:pPr>
        <w:ind w:firstLine="709"/>
        <w:jc w:val="both"/>
        <w:rPr>
          <w:rFonts w:ascii="Times New Roman" w:hAnsi="Times New Roman" w:cs="Times New Roman"/>
        </w:rPr>
      </w:pPr>
      <w:r>
        <w:rPr>
          <w:rFonts w:ascii="Times New Roman" w:hAnsi="Times New Roman" w:cs="Times New Roman"/>
        </w:rPr>
        <w:pict>
          <v:shape id="_x0000_i1027" type="#_x0000_t75" style="width:331.8pt;height:217.75pt" o:preferrelative="t">
            <v:imagedata r:id="rId6" o:title=""/>
          </v:shape>
        </w:pict>
      </w:r>
    </w:p>
    <w:p w:rsidR="00014195" w:rsidRPr="006905B5" w:rsidP="00FE0778">
      <w:pPr>
        <w:ind w:firstLine="709"/>
        <w:jc w:val="both"/>
        <w:rPr>
          <w:rFonts w:ascii="Times New Roman" w:hAnsi="Times New Roman" w:cs="Times New Roman"/>
        </w:rPr>
      </w:pPr>
      <w:r w:rsidRPr="006905B5">
        <w:rPr>
          <w:rFonts w:ascii="Times New Roman" w:hAnsi="Times New Roman" w:cs="Times New Roman"/>
        </w:rPr>
        <w:t xml:space="preserve">Hoci v percentuálnom vyjadrení je dlh voči súkromnému sektoru menší ako u zdravotníckych zariadení v pôsobnosti Ministerstva zdravotníctva SR, aj tieto zariadenia najviac dĺžia tomuto sektoru (69%) a to dodávateľom liekom 29%, sieťovým dodávateľom 21%, ostatným dodávateľom 17%, investičným dodávateľom 1% a nevysporiadané záväzky voči ostatným zdravotníckym zariadeniam majú 1%-ný podiel na celkovom dlhu. </w:t>
      </w:r>
    </w:p>
    <w:p w:rsidR="00014195" w:rsidRPr="006905B5" w:rsidP="00FE0778">
      <w:pPr>
        <w:ind w:firstLine="709"/>
        <w:jc w:val="both"/>
        <w:rPr>
          <w:rFonts w:ascii="Arial Narrow" w:hAnsi="Arial Narrow" w:cs="Times New Roman"/>
        </w:rPr>
      </w:pPr>
    </w:p>
    <w:p w:rsidR="006C4A95" w:rsidRPr="006905B5" w:rsidP="00FE0778">
      <w:pPr>
        <w:ind w:firstLine="708"/>
        <w:jc w:val="both"/>
        <w:rPr>
          <w:rFonts w:ascii="Times New Roman" w:hAnsi="Times New Roman" w:cs="Times New Roman"/>
        </w:rPr>
      </w:pPr>
      <w:r w:rsidRPr="006905B5">
        <w:rPr>
          <w:rFonts w:ascii="Times New Roman" w:hAnsi="Times New Roman" w:cs="Times New Roman"/>
        </w:rPr>
        <w:t>Nedostatok zdrojov v s</w:t>
      </w:r>
      <w:r w:rsidRPr="006905B5">
        <w:rPr>
          <w:rFonts w:ascii="Times New Roman" w:hAnsi="Times New Roman" w:cs="Times New Roman"/>
        </w:rPr>
        <w:t xml:space="preserve">ystéme zdravotného poistenia najviac dopadá na ústavné zdravotnícke zariadenia, </w:t>
      </w:r>
      <w:r w:rsidRPr="006905B5" w:rsidR="00FE0778">
        <w:rPr>
          <w:rFonts w:ascii="Times New Roman" w:hAnsi="Times New Roman" w:cs="Times New Roman"/>
        </w:rPr>
        <w:t>najmä na</w:t>
      </w:r>
      <w:r w:rsidRPr="006905B5">
        <w:rPr>
          <w:rFonts w:ascii="Times New Roman" w:hAnsi="Times New Roman" w:cs="Times New Roman"/>
        </w:rPr>
        <w:t xml:space="preserve"> fakultné nemocnice. Tieto zdravotnícke zariadenia sú v oblasti prevádzky z 90% financované zo zdrojov verejného zdravotného poistenia. Nedostatok týchto zdrojov sa v konečnom dôsledku prejavuje nielen pri zabezpečovaní bežnej prevádzky, ale aj vplýva na kvalitu služieb poskytovaných týmito zdravotníckymi zariadeniami.</w:t>
      </w:r>
    </w:p>
    <w:p w:rsidR="00EA1C91" w:rsidP="00711242">
      <w:pPr>
        <w:ind w:firstLine="360"/>
        <w:rPr>
          <w:rFonts w:ascii="Times New Roman" w:hAnsi="Times New Roman" w:cs="Times New Roman"/>
        </w:rPr>
      </w:pPr>
    </w:p>
    <w:p w:rsidR="00354AFA" w:rsidRPr="006905B5" w:rsidP="00711242">
      <w:pPr>
        <w:ind w:firstLine="360"/>
        <w:rPr>
          <w:rFonts w:ascii="Times New Roman" w:hAnsi="Times New Roman" w:cs="Times New Roman"/>
        </w:rPr>
      </w:pPr>
      <w:r w:rsidRPr="006905B5" w:rsidR="00E03F72">
        <w:rPr>
          <w:rFonts w:ascii="Times New Roman" w:hAnsi="Times New Roman" w:cs="Times New Roman"/>
        </w:rPr>
        <w:t>Ako</w:t>
      </w:r>
      <w:r w:rsidRPr="006905B5">
        <w:rPr>
          <w:rFonts w:ascii="Times New Roman" w:hAnsi="Times New Roman" w:cs="Times New Roman"/>
        </w:rPr>
        <w:t xml:space="preserve"> hlavné príčiny zadlžovania </w:t>
      </w:r>
      <w:r w:rsidR="0001609A">
        <w:rPr>
          <w:rFonts w:ascii="Times New Roman" w:hAnsi="Times New Roman" w:cs="Times New Roman"/>
        </w:rPr>
        <w:t>najmä vo</w:t>
      </w:r>
      <w:r w:rsidRPr="006905B5">
        <w:rPr>
          <w:rFonts w:ascii="Times New Roman" w:hAnsi="Times New Roman" w:cs="Times New Roman"/>
        </w:rPr>
        <w:t xml:space="preserve"> fakultných nemocn</w:t>
      </w:r>
      <w:r w:rsidR="0001609A">
        <w:rPr>
          <w:rFonts w:ascii="Times New Roman" w:hAnsi="Times New Roman" w:cs="Times New Roman"/>
        </w:rPr>
        <w:t>i</w:t>
      </w:r>
      <w:r w:rsidRPr="006905B5">
        <w:rPr>
          <w:rFonts w:ascii="Times New Roman" w:hAnsi="Times New Roman" w:cs="Times New Roman"/>
        </w:rPr>
        <w:t>c</w:t>
      </w:r>
      <w:r w:rsidR="0001609A">
        <w:rPr>
          <w:rFonts w:ascii="Times New Roman" w:hAnsi="Times New Roman" w:cs="Times New Roman"/>
        </w:rPr>
        <w:t>iach</w:t>
      </w:r>
      <w:r w:rsidRPr="006905B5">
        <w:rPr>
          <w:rFonts w:ascii="Times New Roman" w:hAnsi="Times New Roman" w:cs="Times New Roman"/>
        </w:rPr>
        <w:t xml:space="preserve"> je možné uviesť:</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nedofinancovanie niektorých činností zdravotnými poisťovňami,</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 xml:space="preserve">kolektívna </w:t>
      </w:r>
      <w:r w:rsidRPr="006905B5" w:rsidR="00981AA1">
        <w:rPr>
          <w:rFonts w:ascii="Times New Roman" w:hAnsi="Times New Roman" w:cs="Times New Roman"/>
        </w:rPr>
        <w:t>zmluva</w:t>
      </w:r>
      <w:r w:rsidRPr="006905B5">
        <w:rPr>
          <w:rFonts w:ascii="Times New Roman" w:hAnsi="Times New Roman" w:cs="Times New Roman"/>
        </w:rPr>
        <w:t xml:space="preserve"> vyššieho stupňa, na základe</w:t>
      </w:r>
      <w:r w:rsidRPr="006905B5" w:rsidR="00FF29FC">
        <w:rPr>
          <w:rFonts w:ascii="Times New Roman" w:hAnsi="Times New Roman" w:cs="Times New Roman"/>
        </w:rPr>
        <w:t xml:space="preserve"> ktorej</w:t>
      </w:r>
      <w:r w:rsidRPr="006905B5">
        <w:rPr>
          <w:rFonts w:ascii="Times New Roman" w:hAnsi="Times New Roman" w:cs="Times New Roman"/>
        </w:rPr>
        <w:t xml:space="preserve"> sa zvýšili mzdové prostriedky k 1.5.2006 o 10 % </w:t>
      </w:r>
      <w:r w:rsidRPr="006905B5" w:rsidR="00FF29FC">
        <w:rPr>
          <w:rFonts w:ascii="Times New Roman" w:hAnsi="Times New Roman" w:cs="Times New Roman"/>
        </w:rPr>
        <w:t>a</w:t>
      </w:r>
      <w:r w:rsidRPr="006905B5">
        <w:rPr>
          <w:rFonts w:ascii="Times New Roman" w:hAnsi="Times New Roman" w:cs="Times New Roman"/>
        </w:rPr>
        <w:t xml:space="preserve"> k 1.12.2006 o ďalších 10 %</w:t>
      </w:r>
      <w:r w:rsidRPr="006905B5" w:rsidR="00201761">
        <w:rPr>
          <w:rFonts w:ascii="Times New Roman" w:hAnsi="Times New Roman" w:cs="Times New Roman"/>
        </w:rPr>
        <w:t xml:space="preserve"> </w:t>
      </w:r>
      <w:r w:rsidR="0001609A">
        <w:rPr>
          <w:rFonts w:ascii="Times New Roman" w:hAnsi="Times New Roman" w:cs="Times New Roman"/>
        </w:rPr>
        <w:t>bez</w:t>
      </w:r>
      <w:r w:rsidRPr="006905B5" w:rsidR="00201761">
        <w:rPr>
          <w:rFonts w:ascii="Times New Roman" w:hAnsi="Times New Roman" w:cs="Times New Roman"/>
        </w:rPr>
        <w:t xml:space="preserve"> finančné</w:t>
      </w:r>
      <w:r w:rsidR="0001609A">
        <w:rPr>
          <w:rFonts w:ascii="Times New Roman" w:hAnsi="Times New Roman" w:cs="Times New Roman"/>
        </w:rPr>
        <w:t>ho</w:t>
      </w:r>
      <w:r w:rsidRPr="006905B5" w:rsidR="00201761">
        <w:rPr>
          <w:rFonts w:ascii="Times New Roman" w:hAnsi="Times New Roman" w:cs="Times New Roman"/>
        </w:rPr>
        <w:t xml:space="preserve"> kryti</w:t>
      </w:r>
      <w:r w:rsidR="0001609A">
        <w:rPr>
          <w:rFonts w:ascii="Times New Roman" w:hAnsi="Times New Roman" w:cs="Times New Roman"/>
        </w:rPr>
        <w:t>a</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 xml:space="preserve">neuhrádzanie </w:t>
      </w:r>
      <w:r w:rsidRPr="006905B5" w:rsidR="005704D7">
        <w:rPr>
          <w:rFonts w:ascii="Times New Roman" w:hAnsi="Times New Roman" w:cs="Times New Roman"/>
        </w:rPr>
        <w:t>poskytnutej finančne náročnej zdravotnej starostlivosti</w:t>
      </w:r>
      <w:r w:rsidRPr="006905B5">
        <w:rPr>
          <w:rFonts w:ascii="Times New Roman" w:hAnsi="Times New Roman" w:cs="Times New Roman"/>
        </w:rPr>
        <w:t xml:space="preserve"> ako jedinej terapeutickej alternatívy poskytnutej pacientovi vo výnimočných prípadoch v plnej výške,</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zrušenie regulácie cien v zdravotníctve k 1.5.2006 po podpise zmlúv o posky</w:t>
      </w:r>
      <w:r w:rsidRPr="006905B5" w:rsidR="005704D7">
        <w:rPr>
          <w:rFonts w:ascii="Times New Roman" w:hAnsi="Times New Roman" w:cs="Times New Roman"/>
        </w:rPr>
        <w:t>tovaní zdravotných výkonov so zdravotnými poisťovňami</w:t>
      </w:r>
      <w:r w:rsidRPr="006905B5">
        <w:rPr>
          <w:rFonts w:ascii="Times New Roman" w:hAnsi="Times New Roman" w:cs="Times New Roman"/>
        </w:rPr>
        <w:t>.</w:t>
      </w:r>
    </w:p>
    <w:p w:rsidR="00D56A91" w:rsidRPr="006905B5" w:rsidP="00354AFA">
      <w:pPr>
        <w:rPr>
          <w:rFonts w:ascii="Times New Roman" w:hAnsi="Times New Roman" w:cs="Times New Roman"/>
        </w:rPr>
      </w:pPr>
    </w:p>
    <w:p w:rsidR="00E022F7" w:rsidRPr="006905B5" w:rsidP="00711242">
      <w:pPr>
        <w:ind w:firstLine="360"/>
        <w:rPr>
          <w:rFonts w:ascii="Times New Roman" w:hAnsi="Times New Roman" w:cs="Times New Roman"/>
        </w:rPr>
      </w:pPr>
      <w:r w:rsidRPr="006905B5">
        <w:rPr>
          <w:rFonts w:ascii="Times New Roman" w:hAnsi="Times New Roman" w:cs="Times New Roman"/>
        </w:rPr>
        <w:t>Ďalšími, špecifickými príčinami zadlžovania sú:</w:t>
      </w:r>
    </w:p>
    <w:p w:rsidR="00354AFA" w:rsidRPr="006905B5" w:rsidP="00354AFA">
      <w:pPr>
        <w:numPr>
          <w:ilvl w:val="0"/>
          <w:numId w:val="10"/>
        </w:numPr>
        <w:tabs>
          <w:tab w:val="left" w:pos="360"/>
          <w:tab w:val="left" w:pos="1080"/>
        </w:tabs>
        <w:jc w:val="both"/>
        <w:rPr>
          <w:rFonts w:ascii="Times New Roman" w:hAnsi="Times New Roman" w:cs="Times New Roman"/>
        </w:rPr>
      </w:pPr>
      <w:r w:rsidRPr="006905B5">
        <w:rPr>
          <w:rFonts w:ascii="Times New Roman" w:hAnsi="Times New Roman" w:cs="Times New Roman"/>
        </w:rPr>
        <w:t xml:space="preserve">nárast nákladov  na lieky, </w:t>
      </w:r>
      <w:r w:rsidRPr="006905B5" w:rsidR="001029DD">
        <w:rPr>
          <w:rFonts w:ascii="Times New Roman" w:hAnsi="Times New Roman" w:cs="Times New Roman"/>
        </w:rPr>
        <w:t>špeciálny zdravotnícky materiál</w:t>
      </w:r>
      <w:r w:rsidRPr="006905B5">
        <w:rPr>
          <w:rFonts w:ascii="Times New Roman" w:hAnsi="Times New Roman" w:cs="Times New Roman"/>
        </w:rPr>
        <w:t xml:space="preserve"> a krv,</w:t>
      </w:r>
    </w:p>
    <w:p w:rsidR="00354AFA" w:rsidRPr="006905B5" w:rsidP="00354AFA">
      <w:pPr>
        <w:numPr>
          <w:ilvl w:val="0"/>
          <w:numId w:val="10"/>
        </w:numPr>
        <w:tabs>
          <w:tab w:val="left" w:pos="360"/>
          <w:tab w:val="left" w:pos="1080"/>
        </w:tabs>
        <w:jc w:val="both"/>
        <w:rPr>
          <w:rFonts w:ascii="Times New Roman" w:hAnsi="Times New Roman" w:cs="Times New Roman"/>
        </w:rPr>
      </w:pPr>
      <w:r w:rsidRPr="006905B5">
        <w:rPr>
          <w:rFonts w:ascii="Times New Roman" w:hAnsi="Times New Roman" w:cs="Times New Roman"/>
        </w:rPr>
        <w:t>nárast cien energií, pohonných hmôt,</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zvýšené finančné výdavky súvisiace s exekúciami, súdnymi spormi,</w:t>
      </w:r>
    </w:p>
    <w:p w:rsidR="00354AFA" w:rsidRPr="006905B5" w:rsidP="00354AFA">
      <w:pPr>
        <w:numPr>
          <w:ilvl w:val="0"/>
          <w:numId w:val="10"/>
        </w:numPr>
        <w:tabs>
          <w:tab w:val="left" w:pos="360"/>
        </w:tabs>
        <w:jc w:val="both"/>
        <w:rPr>
          <w:rFonts w:ascii="Times New Roman" w:hAnsi="Times New Roman" w:cs="Times New Roman"/>
        </w:rPr>
      </w:pPr>
      <w:r w:rsidRPr="006905B5" w:rsidR="00CF2134">
        <w:rPr>
          <w:rFonts w:ascii="Times New Roman" w:hAnsi="Times New Roman" w:cs="Times New Roman"/>
        </w:rPr>
        <w:t xml:space="preserve">financovanie údržby a stráženia </w:t>
      </w:r>
      <w:r w:rsidRPr="006905B5">
        <w:rPr>
          <w:rFonts w:ascii="Times New Roman" w:hAnsi="Times New Roman" w:cs="Times New Roman"/>
        </w:rPr>
        <w:t>nepotrebného nehnuteľného majetku,</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 xml:space="preserve">delimitácia </w:t>
      </w:r>
      <w:r w:rsidRPr="006905B5" w:rsidR="00CF2134">
        <w:rPr>
          <w:rFonts w:ascii="Times New Roman" w:hAnsi="Times New Roman" w:cs="Times New Roman"/>
        </w:rPr>
        <w:t xml:space="preserve">(odštátnenie) </w:t>
      </w:r>
      <w:r w:rsidRPr="006905B5">
        <w:rPr>
          <w:rFonts w:ascii="Times New Roman" w:hAnsi="Times New Roman" w:cs="Times New Roman"/>
        </w:rPr>
        <w:t>ziskových činností ako napr. dialýza, patológia, záchranná služba, nukleárna medicína, verejné lekárne,</w:t>
      </w:r>
    </w:p>
    <w:p w:rsidR="00354AFA" w:rsidRPr="006905B5" w:rsidP="00354AFA">
      <w:pPr>
        <w:numPr>
          <w:ilvl w:val="0"/>
          <w:numId w:val="10"/>
        </w:numPr>
        <w:tabs>
          <w:tab w:val="left" w:pos="360"/>
        </w:tabs>
        <w:jc w:val="both"/>
        <w:rPr>
          <w:rFonts w:ascii="Times New Roman" w:hAnsi="Times New Roman" w:cs="Times New Roman"/>
        </w:rPr>
      </w:pPr>
      <w:r w:rsidRPr="006905B5">
        <w:rPr>
          <w:rFonts w:ascii="Times New Roman" w:hAnsi="Times New Roman" w:cs="Times New Roman"/>
        </w:rPr>
        <w:t>energetická náročnosť budov a technológií,</w:t>
      </w:r>
    </w:p>
    <w:p w:rsidR="00354AFA" w:rsidRPr="006905B5" w:rsidP="00354AFA">
      <w:pPr>
        <w:numPr>
          <w:ilvl w:val="0"/>
          <w:numId w:val="10"/>
        </w:numPr>
        <w:tabs>
          <w:tab w:val="left" w:pos="360"/>
        </w:tabs>
        <w:jc w:val="both"/>
        <w:rPr>
          <w:rFonts w:ascii="Times New Roman" w:hAnsi="Times New Roman" w:cs="Times New Roman"/>
        </w:rPr>
      </w:pPr>
      <w:r w:rsidRPr="006905B5" w:rsidR="00B81244">
        <w:rPr>
          <w:rFonts w:ascii="Times New Roman" w:hAnsi="Times New Roman" w:cs="Times New Roman"/>
        </w:rPr>
        <w:t>neprofesionálne</w:t>
      </w:r>
      <w:r w:rsidRPr="006905B5">
        <w:rPr>
          <w:rFonts w:ascii="Times New Roman" w:hAnsi="Times New Roman" w:cs="Times New Roman"/>
        </w:rPr>
        <w:t xml:space="preserve"> </w:t>
      </w:r>
      <w:r w:rsidRPr="006905B5" w:rsidR="005C3A34">
        <w:rPr>
          <w:rFonts w:ascii="Times New Roman" w:hAnsi="Times New Roman" w:cs="Times New Roman"/>
        </w:rPr>
        <w:t>riadenie</w:t>
      </w:r>
      <w:r w:rsidRPr="006905B5">
        <w:rPr>
          <w:rFonts w:ascii="Times New Roman" w:hAnsi="Times New Roman" w:cs="Times New Roman"/>
        </w:rPr>
        <w:t xml:space="preserve"> nemocníc.</w:t>
      </w:r>
    </w:p>
    <w:p w:rsidR="0001609A" w:rsidP="00462A55">
      <w:pPr>
        <w:ind w:firstLine="708"/>
        <w:jc w:val="both"/>
        <w:rPr>
          <w:rFonts w:ascii="Times New Roman" w:hAnsi="Times New Roman" w:cs="Times New Roman"/>
        </w:rPr>
      </w:pPr>
    </w:p>
    <w:p w:rsidR="00915CE8" w:rsidP="00462A55">
      <w:pPr>
        <w:ind w:firstLine="708"/>
        <w:jc w:val="both"/>
        <w:rPr>
          <w:rFonts w:ascii="Times New Roman" w:hAnsi="Times New Roman" w:cs="Times New Roman"/>
        </w:rPr>
      </w:pPr>
      <w:r w:rsidRPr="006905B5" w:rsidR="00354AFA">
        <w:rPr>
          <w:rFonts w:ascii="Times New Roman" w:hAnsi="Times New Roman" w:cs="Times New Roman"/>
        </w:rPr>
        <w:t>Ako ďalšie faktory, ktoré majú negatívny dopad na financovanie systému zdravotnej starostlivosti možno spomenúť penalizáciu</w:t>
      </w:r>
      <w:r w:rsidRPr="006905B5" w:rsidR="00DF5DB3">
        <w:rPr>
          <w:rFonts w:ascii="Times New Roman" w:hAnsi="Times New Roman" w:cs="Times New Roman"/>
        </w:rPr>
        <w:t>,</w:t>
      </w:r>
      <w:r w:rsidRPr="006905B5" w:rsidR="00354AFA">
        <w:rPr>
          <w:rFonts w:ascii="Times New Roman" w:hAnsi="Times New Roman" w:cs="Times New Roman"/>
        </w:rPr>
        <w:t xml:space="preserve">  súdne vymáhania pohľadávok </w:t>
      </w:r>
      <w:r w:rsidRPr="006905B5" w:rsidR="00DF5DB3">
        <w:rPr>
          <w:rFonts w:ascii="Times New Roman" w:hAnsi="Times New Roman" w:cs="Times New Roman"/>
        </w:rPr>
        <w:t xml:space="preserve">a následné výkony rozhodnutí </w:t>
      </w:r>
      <w:r w:rsidRPr="006905B5" w:rsidR="00354AFA">
        <w:rPr>
          <w:rFonts w:ascii="Times New Roman" w:hAnsi="Times New Roman" w:cs="Times New Roman"/>
        </w:rPr>
        <w:t xml:space="preserve">voči </w:t>
      </w:r>
      <w:r w:rsidRPr="006905B5" w:rsidR="00B76545">
        <w:rPr>
          <w:rFonts w:ascii="Times New Roman" w:hAnsi="Times New Roman" w:cs="Times New Roman"/>
        </w:rPr>
        <w:t xml:space="preserve">zdravotníckym zariadeniam </w:t>
      </w:r>
      <w:r w:rsidRPr="006905B5" w:rsidR="00354AFA">
        <w:rPr>
          <w:rFonts w:ascii="Times New Roman" w:hAnsi="Times New Roman" w:cs="Times New Roman"/>
        </w:rPr>
        <w:t>z</w:t>
      </w:r>
      <w:r w:rsidRPr="006905B5" w:rsidR="0051465B">
        <w:rPr>
          <w:rFonts w:ascii="Times New Roman" w:hAnsi="Times New Roman" w:cs="Times New Roman"/>
        </w:rPr>
        <w:t xml:space="preserve">o strany dodávateľov, ktoré </w:t>
      </w:r>
      <w:r w:rsidRPr="006905B5" w:rsidR="00354AFA">
        <w:rPr>
          <w:rFonts w:ascii="Times New Roman" w:hAnsi="Times New Roman" w:cs="Times New Roman"/>
        </w:rPr>
        <w:t xml:space="preserve">po nadobudnutí platnosti odčerpávajú prostriedky určené na bežnú prevádzku a zvyšujú zadlženie. </w:t>
      </w:r>
      <w:r w:rsidRPr="006905B5" w:rsidR="00FF45CA">
        <w:rPr>
          <w:rFonts w:ascii="Times New Roman" w:hAnsi="Times New Roman" w:cs="Times New Roman"/>
        </w:rPr>
        <w:t xml:space="preserve">V súčasnosti je od zdravotníckych zariadení v pôsobnosti MZ vymáhaných </w:t>
      </w:r>
      <w:r w:rsidRPr="006905B5" w:rsidR="007125FD">
        <w:rPr>
          <w:rFonts w:ascii="Times New Roman" w:hAnsi="Times New Roman" w:cs="Times New Roman"/>
        </w:rPr>
        <w:t>formou exekúcie 343,4 milióna Sk</w:t>
      </w:r>
      <w:r w:rsidR="0001609A">
        <w:rPr>
          <w:rFonts w:ascii="Times New Roman" w:hAnsi="Times New Roman" w:cs="Times New Roman"/>
        </w:rPr>
        <w:t>,</w:t>
      </w:r>
      <w:r w:rsidRPr="006905B5" w:rsidR="009F43CE">
        <w:rPr>
          <w:rFonts w:ascii="Times New Roman" w:hAnsi="Times New Roman" w:cs="Times New Roman"/>
        </w:rPr>
        <w:t xml:space="preserve"> z toho 215,5 milióna Sk je istina, 61,1 milióna Sk predstavuje príslušenstvo pohľadávky a až 56,7 milióna </w:t>
      </w:r>
      <w:r w:rsidRPr="006905B5" w:rsidR="003B07C7">
        <w:rPr>
          <w:rFonts w:ascii="Times New Roman" w:hAnsi="Times New Roman" w:cs="Times New Roman"/>
        </w:rPr>
        <w:t xml:space="preserve">tvoria trovy  exekúcie. Tento trend sa postupne zhoršuje, čím dochádza k značnému nárastu </w:t>
      </w:r>
      <w:r w:rsidR="00DB4CD5">
        <w:rPr>
          <w:rFonts w:ascii="Times New Roman" w:hAnsi="Times New Roman" w:cs="Times New Roman"/>
        </w:rPr>
        <w:t>predražovaniu úhrady existujúcich záväzkov a odčerpávaniu zdrojov zo systému</w:t>
      </w:r>
      <w:r w:rsidRPr="006905B5" w:rsidR="003B07C7">
        <w:rPr>
          <w:rFonts w:ascii="Times New Roman" w:hAnsi="Times New Roman" w:cs="Times New Roman"/>
        </w:rPr>
        <w:t xml:space="preserve">. </w:t>
      </w:r>
    </w:p>
    <w:p w:rsidR="00A1602D" w:rsidP="00A1602D">
      <w:pPr>
        <w:ind w:firstLine="708"/>
        <w:jc w:val="both"/>
        <w:rPr>
          <w:rFonts w:ascii="Times New Roman" w:hAnsi="Times New Roman" w:cs="Times New Roman"/>
        </w:rPr>
      </w:pPr>
      <w:r>
        <w:rPr>
          <w:rFonts w:ascii="Times New Roman" w:hAnsi="Times New Roman" w:cs="Times New Roman"/>
        </w:rPr>
        <w:t xml:space="preserve">Správa o činnosti  akciovej spoločnosti Veriteľ za celé obdobie jej existencie bude predložená na rokovanie vlády v súlade s plánom práce Vlády SR do 30.6.2007 pod gesciou ministra financií.  </w:t>
      </w:r>
    </w:p>
    <w:p w:rsidR="00C45397" w:rsidRPr="006905B5" w:rsidP="00462A55">
      <w:pPr>
        <w:ind w:firstLine="708"/>
        <w:jc w:val="both"/>
        <w:rPr>
          <w:rFonts w:ascii="Times New Roman" w:hAnsi="Times New Roman" w:cs="Times New Roman"/>
        </w:rPr>
      </w:pPr>
      <w:r w:rsidRPr="006905B5" w:rsidR="00FF45CA">
        <w:rPr>
          <w:rFonts w:ascii="Times New Roman" w:hAnsi="Times New Roman" w:cs="Times New Roman"/>
        </w:rPr>
        <w:t xml:space="preserve"> </w:t>
      </w:r>
    </w:p>
    <w:p w:rsidR="00526A8C" w:rsidRPr="006905B5" w:rsidP="00213985">
      <w:pPr>
        <w:rPr>
          <w:rFonts w:ascii="Times New Roman" w:hAnsi="Times New Roman" w:cs="Times New Roman"/>
        </w:rPr>
      </w:pPr>
    </w:p>
    <w:p w:rsidR="00D630F9" w:rsidRPr="006905B5" w:rsidP="00213985">
      <w:pPr>
        <w:rPr>
          <w:rFonts w:ascii="Times New Roman" w:hAnsi="Times New Roman" w:cs="Times New Roman"/>
          <w:b/>
          <w:sz w:val="28"/>
          <w:szCs w:val="28"/>
          <w:u w:val="single"/>
        </w:rPr>
      </w:pPr>
      <w:r w:rsidRPr="006905B5" w:rsidR="00EC11D6">
        <w:rPr>
          <w:rFonts w:ascii="Times New Roman" w:hAnsi="Times New Roman" w:cs="Times New Roman"/>
          <w:b/>
          <w:sz w:val="28"/>
          <w:szCs w:val="28"/>
          <w:u w:val="single"/>
        </w:rPr>
        <w:t xml:space="preserve">4. </w:t>
      </w:r>
      <w:r w:rsidRPr="006905B5">
        <w:rPr>
          <w:rFonts w:ascii="Times New Roman" w:hAnsi="Times New Roman" w:cs="Times New Roman"/>
          <w:b/>
          <w:sz w:val="28"/>
          <w:szCs w:val="28"/>
          <w:u w:val="single"/>
        </w:rPr>
        <w:t xml:space="preserve">Odmeňovanie </w:t>
      </w:r>
      <w:r w:rsidRPr="006905B5" w:rsidR="00EC11D6">
        <w:rPr>
          <w:rFonts w:ascii="Times New Roman" w:hAnsi="Times New Roman" w:cs="Times New Roman"/>
          <w:b/>
          <w:sz w:val="28"/>
          <w:szCs w:val="28"/>
          <w:u w:val="single"/>
        </w:rPr>
        <w:t>zdravotníckych pracovníkov</w:t>
      </w:r>
      <w:r w:rsidRPr="006905B5">
        <w:rPr>
          <w:rFonts w:ascii="Times New Roman" w:hAnsi="Times New Roman" w:cs="Times New Roman"/>
          <w:b/>
          <w:sz w:val="28"/>
          <w:szCs w:val="28"/>
          <w:u w:val="single"/>
        </w:rPr>
        <w:t xml:space="preserve"> v rokoch 2002 až 2007</w:t>
      </w:r>
    </w:p>
    <w:p w:rsidR="00D630F9" w:rsidRPr="006905B5" w:rsidP="00D630F9">
      <w:pPr>
        <w:rPr>
          <w:rFonts w:ascii="Times New Roman" w:hAnsi="Times New Roman" w:cs="Times New Roman"/>
          <w:b/>
        </w:rPr>
      </w:pPr>
    </w:p>
    <w:p w:rsidR="00D630F9" w:rsidP="00711242">
      <w:pPr>
        <w:ind w:firstLine="708"/>
        <w:jc w:val="both"/>
        <w:rPr>
          <w:rFonts w:ascii="Times New Roman" w:hAnsi="Times New Roman" w:cs="Times New Roman"/>
        </w:rPr>
      </w:pPr>
      <w:r w:rsidRPr="006905B5">
        <w:rPr>
          <w:rFonts w:ascii="Times New Roman" w:hAnsi="Times New Roman" w:cs="Times New Roman"/>
        </w:rPr>
        <w:t>Odmeňovanie zamestnancov rozpočtovej sféry (a teda aj zamestnancov zdravotníckych zariadení) s účinnosťou od 1. mája 1992 upravoval zákon č. 143/1992 Zb. o plate a odmene za pracovnú pohotovosť v rozpočtových a v niektorých ďalších organizáciách a orgánoch v znení neskorších predpisov a nariadenie vlády SR č. 249/1992 Zb. o platových pomeroch zamestnancov v rozpočtových a v niektorých ďalších organizáciách a orgánoch v znení neskorších predpisov.</w:t>
      </w:r>
    </w:p>
    <w:p w:rsidR="007D168C" w:rsidRPr="006905B5" w:rsidP="00711242">
      <w:pPr>
        <w:ind w:firstLine="708"/>
        <w:jc w:val="both"/>
        <w:rPr>
          <w:rFonts w:ascii="Times New Roman" w:hAnsi="Times New Roman" w:cs="Times New Roman"/>
        </w:rPr>
      </w:pPr>
    </w:p>
    <w:p w:rsidR="00D630F9" w:rsidP="00711242">
      <w:pPr>
        <w:jc w:val="both"/>
        <w:rPr>
          <w:rFonts w:ascii="Times New Roman" w:hAnsi="Times New Roman" w:cs="Times New Roman"/>
        </w:rPr>
      </w:pPr>
      <w:r w:rsidRPr="006905B5">
        <w:rPr>
          <w:rFonts w:ascii="Times New Roman" w:hAnsi="Times New Roman" w:cs="Times New Roman"/>
        </w:rPr>
        <w:tab/>
        <w:t>V roku 1996 bol vypracovaný materiál „Dlhodobá stratégia</w:t>
      </w:r>
      <w:r w:rsidRPr="006905B5">
        <w:rPr>
          <w:rFonts w:ascii="Times New Roman" w:hAnsi="Times New Roman" w:cs="Times New Roman"/>
          <w:color w:val="000000"/>
        </w:rPr>
        <w:t xml:space="preserve"> </w:t>
      </w:r>
      <w:r w:rsidRPr="006905B5">
        <w:rPr>
          <w:rFonts w:ascii="Times New Roman" w:hAnsi="Times New Roman" w:cs="Times New Roman"/>
        </w:rPr>
        <w:t xml:space="preserve">stability lekárov a zdravotníckych pracovníkov, stav privatizácie zdravotníckych zariadení vrátane koncepcie na roky 1996 až </w:t>
      </w:r>
      <w:smartTag w:uri="urn:schemas-microsoft-com:office:smarttags" w:element="metricconverter">
        <w:smartTagPr>
          <w:attr w:name="ProductID" w:val="1998 a"/>
        </w:smartTagPr>
        <w:r w:rsidRPr="006905B5">
          <w:rPr>
            <w:rFonts w:ascii="Times New Roman" w:hAnsi="Times New Roman" w:cs="Times New Roman"/>
          </w:rPr>
          <w:t>1998 a</w:t>
        </w:r>
      </w:smartTag>
      <w:r w:rsidRPr="006905B5">
        <w:rPr>
          <w:rFonts w:ascii="Times New Roman" w:hAnsi="Times New Roman" w:cs="Times New Roman"/>
        </w:rPr>
        <w:t xml:space="preserve"> návrh na zefektívnenie činnosti zdravotníckych zariadení". Nárast tarifných platov bol rozložený do 3 etáp. I. aj II. etapa nárastu tarifných platov bola realizovaná  </w:t>
      </w:r>
      <w:r w:rsidRPr="006905B5">
        <w:rPr>
          <w:rFonts w:ascii="Times New Roman" w:hAnsi="Times New Roman" w:cs="Times New Roman"/>
          <w:b/>
        </w:rPr>
        <w:t>bez finančného krytia</w:t>
      </w:r>
      <w:r w:rsidRPr="006905B5">
        <w:rPr>
          <w:rFonts w:ascii="Times New Roman" w:hAnsi="Times New Roman" w:cs="Times New Roman"/>
        </w:rPr>
        <w:t>. Z dôvodu platobnej neschopnosti zdravotníckych zariadení v systéme zdravotného poistenia sa III. etapa v stanovenom termíne nerealizovala. Pristúpilo sa k nej až v júni 2001.</w:t>
      </w:r>
    </w:p>
    <w:p w:rsidR="007D168C" w:rsidRPr="006905B5" w:rsidP="00711242">
      <w:pPr>
        <w:jc w:val="both"/>
        <w:rPr>
          <w:rFonts w:ascii="Times New Roman" w:hAnsi="Times New Roman" w:cs="Times New Roman"/>
        </w:rPr>
      </w:pPr>
    </w:p>
    <w:p w:rsidR="00D630F9" w:rsidP="00711242">
      <w:pPr>
        <w:pStyle w:val="Footer"/>
        <w:tabs>
          <w:tab w:val="clear" w:pos="4536"/>
          <w:tab w:val="clear" w:pos="9072"/>
        </w:tabs>
        <w:ind w:firstLine="708"/>
        <w:jc w:val="both"/>
        <w:rPr>
          <w:rFonts w:ascii="Times New Roman" w:hAnsi="Times New Roman" w:cs="Times New Roman"/>
        </w:rPr>
      </w:pPr>
      <w:r w:rsidRPr="006905B5">
        <w:rPr>
          <w:rFonts w:ascii="Times New Roman" w:hAnsi="Times New Roman" w:cs="Times New Roman"/>
        </w:rPr>
        <w:t xml:space="preserve">Od 1. apríla 2002 nadobudol účinnosť  zákon č. 312/2001 Z. z. o štátnej službe a o zmene a doplnení niektorých zákonov a zákon č. 313/2001 Z. z. o verejnej službe. Počet platových tried v stupnici platových taríf sa v zákone o verejnej službe rozšíril z 12  na 14 a počet stupňov z 10 na 12 (od 1.4.2002 plat v 12. stupni 14. platovej triedy v osobitnej stupnici určenej pre zdravotníckych pracovníkov predstavoval 26.250 Sk).  </w:t>
      </w:r>
    </w:p>
    <w:p w:rsidR="007D168C" w:rsidRPr="006905B5" w:rsidP="00711242">
      <w:pPr>
        <w:pStyle w:val="Footer"/>
        <w:tabs>
          <w:tab w:val="clear" w:pos="4536"/>
          <w:tab w:val="clear" w:pos="9072"/>
        </w:tabs>
        <w:ind w:firstLine="708"/>
        <w:jc w:val="both"/>
        <w:rPr>
          <w:rFonts w:ascii="Times New Roman" w:hAnsi="Times New Roman" w:cs="Times New Roman"/>
        </w:rPr>
      </w:pPr>
    </w:p>
    <w:p w:rsidR="00D630F9" w:rsidP="00711242">
      <w:pPr>
        <w:pStyle w:val="Footer"/>
        <w:tabs>
          <w:tab w:val="clear" w:pos="4536"/>
          <w:tab w:val="clear" w:pos="9072"/>
        </w:tabs>
        <w:ind w:firstLine="708"/>
        <w:jc w:val="both"/>
        <w:rPr>
          <w:rFonts w:ascii="Times New Roman" w:hAnsi="Times New Roman" w:cs="Times New Roman"/>
        </w:rPr>
      </w:pPr>
      <w:r w:rsidRPr="006905B5">
        <w:rPr>
          <w:rFonts w:ascii="Times New Roman" w:hAnsi="Times New Roman" w:cs="Times New Roman"/>
        </w:rPr>
        <w:t>Od 1. januára 2004 nadobudol účinnosť zákon č. 553/2003 Z. z. o odmeňovaní niektorých zamestnancov pri výkone práce vo verejnom záujme, ktorý riešil na začiatku aj odmeňovanie zdravotníckych pracovníkov.</w:t>
      </w:r>
    </w:p>
    <w:p w:rsidR="007D168C" w:rsidRPr="006905B5" w:rsidP="00711242">
      <w:pPr>
        <w:pStyle w:val="Footer"/>
        <w:tabs>
          <w:tab w:val="clear" w:pos="4536"/>
          <w:tab w:val="clear" w:pos="9072"/>
        </w:tabs>
        <w:ind w:firstLine="708"/>
        <w:jc w:val="both"/>
        <w:rPr>
          <w:rFonts w:ascii="Times New Roman" w:hAnsi="Times New Roman" w:cs="Times New Roman"/>
        </w:rPr>
      </w:pPr>
    </w:p>
    <w:p w:rsidR="00D630F9" w:rsidRPr="006905B5" w:rsidP="00711242">
      <w:pPr>
        <w:pStyle w:val="Footer"/>
        <w:tabs>
          <w:tab w:val="clear" w:pos="4536"/>
          <w:tab w:val="clear" w:pos="9072"/>
        </w:tabs>
        <w:ind w:firstLine="708"/>
        <w:jc w:val="both"/>
        <w:rPr>
          <w:rFonts w:ascii="Times New Roman" w:hAnsi="Times New Roman" w:cs="Times New Roman"/>
        </w:rPr>
      </w:pPr>
      <w:r w:rsidRPr="006905B5">
        <w:rPr>
          <w:rFonts w:ascii="Times New Roman" w:hAnsi="Times New Roman" w:cs="Times New Roman"/>
        </w:rPr>
        <w:t>Od. 1. januára 2005 zdravotnícke zariadenia v pôsobnosti Ministerstva zdravotníctva SR, ktorých príjem zo zdrojov mimo štátneho rozpočtu /od zdravotných poisťovní/ bol vyšší ako 50%, prestali uplatňovať systém odmeňovania upravený zákonom č. 553/2003  Z. z. o odmeňovaní niektorých zamestnancov pri výkone práce vo verejnom záujme v znení neskorších predpisov a odmeňovanie zamestnancov týchto zdravotníckych zariadení sa riadi Zákonníkom práce. V súlade s § 43 Zákonníka práce má zamestnávateľ možnosť dojednať mzdové podmienky za všetkých zamestnancov v kolektívnej zmluve.</w:t>
      </w:r>
    </w:p>
    <w:p w:rsidR="00D630F9" w:rsidRPr="006905B5" w:rsidP="00711242">
      <w:pPr>
        <w:ind w:firstLine="708"/>
        <w:jc w:val="both"/>
        <w:rPr>
          <w:rFonts w:ascii="Times New Roman" w:hAnsi="Times New Roman" w:cs="Times New Roman"/>
        </w:rPr>
      </w:pPr>
    </w:p>
    <w:p w:rsidR="00D630F9" w:rsidRPr="006905B5" w:rsidP="00711242">
      <w:pPr>
        <w:ind w:firstLine="708"/>
        <w:jc w:val="both"/>
        <w:rPr>
          <w:rFonts w:ascii="Times New Roman" w:hAnsi="Times New Roman" w:cs="Times New Roman"/>
        </w:rPr>
      </w:pPr>
      <w:r w:rsidRPr="006905B5">
        <w:rPr>
          <w:rFonts w:ascii="Times New Roman" w:hAnsi="Times New Roman" w:cs="Times New Roman"/>
        </w:rPr>
        <w:t xml:space="preserve">V súlade s kolektívnou zmluvou vyššieho stupňa, uzatvorenou medzi Asociáciou fakultných nemocníc a SOZ zdravotníctva a sociálnych služieb, boli  v roku 2006 vo fakultných nemocniciach  zvýšené mzdy o 10 % od 1.5.2006 a o ďalších 10 % od 1.12.2006. </w:t>
      </w:r>
    </w:p>
    <w:p w:rsidR="00D630F9" w:rsidP="00711242">
      <w:pPr>
        <w:jc w:val="both"/>
        <w:rPr>
          <w:rFonts w:ascii="Times New Roman" w:hAnsi="Times New Roman" w:cs="Times New Roman"/>
        </w:rPr>
      </w:pPr>
      <w:r w:rsidRPr="006905B5">
        <w:rPr>
          <w:rFonts w:ascii="Times New Roman" w:hAnsi="Times New Roman" w:cs="Times New Roman"/>
        </w:rPr>
        <w:t xml:space="preserve">Toto zvýšenie bolo výsledkom štrajku zdravotníckych pracovníkov v apríli 2006, ktorý vznikol  na základe dlhodobého neriešenia mzdovej oblasti zdravotníckych pracovníkov počas pôsobenia predchádzajúcej vlády. Išlo o krok v rámci začínajúcej predvolebnej kampane, ktorý však tak isto nemal zabezpečené finančné krytie. </w:t>
      </w:r>
    </w:p>
    <w:p w:rsidR="007D168C" w:rsidRPr="006905B5" w:rsidP="00711242">
      <w:pPr>
        <w:jc w:val="both"/>
        <w:rPr>
          <w:rFonts w:ascii="Times New Roman" w:hAnsi="Times New Roman" w:cs="Times New Roman"/>
        </w:rPr>
      </w:pPr>
    </w:p>
    <w:p w:rsidR="00D630F9" w:rsidRPr="006905B5" w:rsidP="00711242">
      <w:pPr>
        <w:ind w:firstLine="708"/>
        <w:jc w:val="both"/>
        <w:rPr>
          <w:rFonts w:ascii="Times New Roman" w:hAnsi="Times New Roman" w:cs="Times New Roman"/>
        </w:rPr>
      </w:pPr>
      <w:r w:rsidRPr="006905B5">
        <w:rPr>
          <w:rFonts w:ascii="Times New Roman" w:hAnsi="Times New Roman" w:cs="Times New Roman"/>
        </w:rPr>
        <w:t xml:space="preserve">S ohľadom na záväzok deklarovaný v programovom vyhlásení vlády navrhlo MZ SR uplatniť zvýšenie miezd v zdravotníckych zariadeniach financovaných zo zdrojov zdravotných poisťovní vo svojej pôsobnosti v čo možno najkratšom čase. Na rokovaní Odvetvovej RHSD v rezorte zdravotníctva, ktoré sa uskutočnilo dňa 24. apríla 2007, predniesla Asociácia fakultných nemocníc návrh na zvýšenie základných miezd od 1.6.2007 o 10 % a od 1.11.2007 o ďalších 10 % v porovnaní so stavom k 31.12.2006. </w:t>
      </w:r>
    </w:p>
    <w:p w:rsidR="008E49C6" w:rsidP="00D630F9">
      <w:pPr>
        <w:ind w:firstLine="708"/>
        <w:rPr>
          <w:rFonts w:ascii="Times New Roman" w:hAnsi="Times New Roman" w:cs="Times New Roman"/>
        </w:rPr>
      </w:pPr>
    </w:p>
    <w:p w:rsidR="00D630F9" w:rsidRPr="006905B5" w:rsidP="00D630F9">
      <w:pPr>
        <w:rPr>
          <w:rFonts w:ascii="Times New Roman" w:hAnsi="Times New Roman" w:cs="Times New Roman"/>
          <w:i/>
        </w:rPr>
      </w:pPr>
      <w:r w:rsidRPr="006905B5" w:rsidR="0046632D">
        <w:rPr>
          <w:rFonts w:ascii="Times New Roman" w:hAnsi="Times New Roman" w:cs="Times New Roman"/>
          <w:i/>
        </w:rPr>
        <w:t xml:space="preserve">1. </w:t>
      </w:r>
      <w:r w:rsidRPr="006905B5">
        <w:rPr>
          <w:rFonts w:ascii="Times New Roman" w:hAnsi="Times New Roman" w:cs="Times New Roman"/>
          <w:i/>
        </w:rPr>
        <w:t>Tab</w:t>
      </w:r>
      <w:r w:rsidRPr="006905B5" w:rsidR="006130A9">
        <w:rPr>
          <w:rFonts w:ascii="Times New Roman" w:hAnsi="Times New Roman" w:cs="Times New Roman"/>
          <w:i/>
        </w:rPr>
        <w:t>uľka v</w:t>
      </w:r>
      <w:r w:rsidRPr="006905B5">
        <w:rPr>
          <w:rFonts w:ascii="Times New Roman" w:hAnsi="Times New Roman" w:cs="Times New Roman"/>
          <w:i/>
        </w:rPr>
        <w:t>ývoj</w:t>
      </w:r>
      <w:r w:rsidRPr="006905B5" w:rsidR="006130A9">
        <w:rPr>
          <w:rFonts w:ascii="Times New Roman" w:hAnsi="Times New Roman" w:cs="Times New Roman"/>
          <w:i/>
        </w:rPr>
        <w:t>a</w:t>
      </w:r>
      <w:r w:rsidRPr="006905B5">
        <w:rPr>
          <w:rFonts w:ascii="Times New Roman" w:hAnsi="Times New Roman" w:cs="Times New Roman"/>
          <w:i/>
        </w:rPr>
        <w:t xml:space="preserve"> priemerného zárobku lekárov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842"/>
        <w:gridCol w:w="1842"/>
        <w:gridCol w:w="1842"/>
        <w:gridCol w:w="1843"/>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Rok</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Ø zárobok</w:t>
            </w:r>
          </w:p>
          <w:p w:rsidR="00D630F9" w:rsidRPr="006905B5" w:rsidP="00D630F9">
            <w:pPr>
              <w:jc w:val="center"/>
              <w:rPr>
                <w:rFonts w:ascii="Times New Roman" w:hAnsi="Times New Roman" w:cs="Times New Roman"/>
                <w:b/>
              </w:rPr>
            </w:pPr>
            <w:r w:rsidRPr="006905B5">
              <w:rPr>
                <w:rFonts w:ascii="Times New Roman" w:hAnsi="Times New Roman" w:cs="Times New Roman"/>
                <w:b/>
              </w:rPr>
              <w:t>lekárov</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Ø zárobku</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sidR="00A22B74">
              <w:rPr>
                <w:rFonts w:ascii="Times New Roman" w:hAnsi="Times New Roman" w:cs="Times New Roman"/>
                <w:b/>
              </w:rPr>
              <w:t>Index miery inflácie</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Rozdiel</w:t>
            </w:r>
          </w:p>
          <w:p w:rsidR="00D630F9" w:rsidRPr="006905B5" w:rsidP="00D630F9">
            <w:pPr>
              <w:jc w:val="center"/>
              <w:rPr>
                <w:rFonts w:ascii="Times New Roman" w:hAnsi="Times New Roman" w:cs="Times New Roman"/>
                <w:b/>
              </w:rPr>
            </w:pPr>
            <w:r w:rsidRPr="006905B5">
              <w:rPr>
                <w:rFonts w:ascii="Times New Roman" w:hAnsi="Times New Roman" w:cs="Times New Roman"/>
                <w:b/>
              </w:rPr>
              <w:t>%</w:t>
            </w:r>
          </w:p>
          <w:p w:rsidR="00D630F9" w:rsidRPr="006905B5" w:rsidP="00D630F9">
            <w:pPr>
              <w:jc w:val="center"/>
              <w:rPr>
                <w:rFonts w:ascii="Times New Roman" w:hAnsi="Times New Roman" w:cs="Times New Roman"/>
              </w:rPr>
            </w:pPr>
            <w:r w:rsidR="00526A8C">
              <w:rPr>
                <w:rFonts w:ascii="Times New Roman" w:hAnsi="Times New Roman" w:cs="Times New Roman"/>
              </w:rPr>
              <w:t>stĺ</w:t>
            </w:r>
            <w:r w:rsidRPr="006905B5">
              <w:rPr>
                <w:rFonts w:ascii="Times New Roman" w:hAnsi="Times New Roman" w:cs="Times New Roman"/>
              </w:rPr>
              <w:t>. 2 – st</w:t>
            </w:r>
            <w:r w:rsidR="00526A8C">
              <w:rPr>
                <w:rFonts w:ascii="Times New Roman" w:hAnsi="Times New Roman" w:cs="Times New Roman"/>
              </w:rPr>
              <w:t>ĺ</w:t>
            </w:r>
            <w:r w:rsidRPr="006905B5">
              <w:rPr>
                <w:rFonts w:ascii="Times New Roman" w:hAnsi="Times New Roman" w:cs="Times New Roman"/>
              </w:rPr>
              <w:t>. 3</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526A8C" w:rsidP="00D630F9">
            <w:pPr>
              <w:jc w:val="center"/>
              <w:rPr>
                <w:rFonts w:ascii="Times New Roman" w:hAnsi="Times New Roman" w:cs="Times New Roman"/>
              </w:rPr>
            </w:pPr>
            <w:r w:rsidRPr="00526A8C">
              <w:rPr>
                <w:rFonts w:ascii="Times New Roman" w:hAnsi="Times New Roman" w:cs="Times New Roman"/>
              </w:rPr>
              <w:t>stĺpec</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526A8C" w:rsidP="00D630F9">
            <w:pPr>
              <w:jc w:val="center"/>
              <w:rPr>
                <w:rFonts w:ascii="Times New Roman" w:hAnsi="Times New Roman" w:cs="Times New Roman"/>
              </w:rPr>
            </w:pPr>
            <w:r w:rsidRPr="00526A8C">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526A8C" w:rsidP="00D630F9">
            <w:pPr>
              <w:jc w:val="center"/>
              <w:rPr>
                <w:rFonts w:ascii="Times New Roman" w:hAnsi="Times New Roman" w:cs="Times New Roman"/>
              </w:rPr>
            </w:pPr>
            <w:r w:rsidRPr="00526A8C">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526A8C" w:rsidP="00D630F9">
            <w:pPr>
              <w:jc w:val="center"/>
              <w:rPr>
                <w:rFonts w:ascii="Times New Roman" w:hAnsi="Times New Roman" w:cs="Times New Roman"/>
              </w:rPr>
            </w:pPr>
            <w:r w:rsidRPr="00526A8C">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526A8C" w:rsidP="00D630F9">
            <w:pPr>
              <w:jc w:val="center"/>
              <w:rPr>
                <w:rFonts w:ascii="Times New Roman" w:hAnsi="Times New Roman" w:cs="Times New Roman"/>
              </w:rPr>
            </w:pPr>
            <w:r w:rsidRPr="00526A8C">
              <w:rPr>
                <w:rFonts w:ascii="Times New Roman" w:hAnsi="Times New Roman" w:cs="Times New Roman"/>
              </w:rPr>
              <w:t>4</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2001</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23.837</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2002</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28.311</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1,188</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1,085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+10,3</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2003</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28.973</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1,023</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1,036</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-1,3</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2004</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29.794</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1,028</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1,085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-5,7</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2005</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31.275</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1,050</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1,075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-2,5</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2006</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34.519</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1,104</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1,027</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+7,7</w:t>
            </w:r>
          </w:p>
        </w:tc>
      </w:tr>
    </w:tbl>
    <w:p w:rsidR="00D630F9" w:rsidRPr="006905B5" w:rsidP="00D630F9">
      <w:pPr>
        <w:rPr>
          <w:rFonts w:ascii="Times New Roman" w:hAnsi="Times New Roman" w:cs="Times New Roman"/>
        </w:rPr>
      </w:pPr>
    </w:p>
    <w:p w:rsidR="007D168C" w:rsidP="00D630F9">
      <w:pPr>
        <w:rPr>
          <w:rFonts w:ascii="Times New Roman" w:hAnsi="Times New Roman" w:cs="Times New Roman"/>
          <w:i/>
        </w:rPr>
      </w:pPr>
    </w:p>
    <w:p w:rsidR="007D168C" w:rsidP="00D630F9">
      <w:pPr>
        <w:rPr>
          <w:rFonts w:ascii="Times New Roman" w:hAnsi="Times New Roman" w:cs="Times New Roman"/>
          <w:i/>
        </w:rPr>
      </w:pPr>
    </w:p>
    <w:p w:rsidR="007D168C" w:rsidP="00D630F9">
      <w:pPr>
        <w:rPr>
          <w:rFonts w:ascii="Times New Roman" w:hAnsi="Times New Roman" w:cs="Times New Roman"/>
          <w:i/>
        </w:rPr>
      </w:pPr>
    </w:p>
    <w:p w:rsidR="007D168C" w:rsidP="00D630F9">
      <w:pPr>
        <w:rPr>
          <w:rFonts w:ascii="Times New Roman" w:hAnsi="Times New Roman" w:cs="Times New Roman"/>
          <w:i/>
        </w:rPr>
      </w:pPr>
    </w:p>
    <w:p w:rsidR="007D168C" w:rsidP="00D630F9">
      <w:pPr>
        <w:rPr>
          <w:rFonts w:ascii="Times New Roman" w:hAnsi="Times New Roman" w:cs="Times New Roman"/>
          <w:i/>
        </w:rPr>
      </w:pPr>
    </w:p>
    <w:p w:rsidR="00D630F9" w:rsidRPr="006905B5" w:rsidP="00D630F9">
      <w:pPr>
        <w:rPr>
          <w:rFonts w:ascii="Times New Roman" w:hAnsi="Times New Roman" w:cs="Times New Roman"/>
          <w:i/>
        </w:rPr>
      </w:pPr>
      <w:r w:rsidRPr="006905B5" w:rsidR="0046632D">
        <w:rPr>
          <w:rFonts w:ascii="Times New Roman" w:hAnsi="Times New Roman" w:cs="Times New Roman"/>
          <w:i/>
        </w:rPr>
        <w:t xml:space="preserve">2. </w:t>
      </w:r>
      <w:r w:rsidRPr="006905B5">
        <w:rPr>
          <w:rFonts w:ascii="Times New Roman" w:hAnsi="Times New Roman" w:cs="Times New Roman"/>
          <w:i/>
        </w:rPr>
        <w:t>Tab</w:t>
      </w:r>
      <w:r w:rsidRPr="006905B5" w:rsidR="006130A9">
        <w:rPr>
          <w:rFonts w:ascii="Times New Roman" w:hAnsi="Times New Roman" w:cs="Times New Roman"/>
          <w:i/>
        </w:rPr>
        <w:t>uľka v</w:t>
      </w:r>
      <w:r w:rsidRPr="006905B5">
        <w:rPr>
          <w:rFonts w:ascii="Times New Roman" w:hAnsi="Times New Roman" w:cs="Times New Roman"/>
          <w:i/>
        </w:rPr>
        <w:t>ývoj</w:t>
      </w:r>
      <w:r w:rsidRPr="006905B5" w:rsidR="006130A9">
        <w:rPr>
          <w:rFonts w:ascii="Times New Roman" w:hAnsi="Times New Roman" w:cs="Times New Roman"/>
          <w:i/>
        </w:rPr>
        <w:t>a</w:t>
      </w:r>
      <w:r w:rsidRPr="006905B5">
        <w:rPr>
          <w:rFonts w:ascii="Times New Roman" w:hAnsi="Times New Roman" w:cs="Times New Roman"/>
          <w:i/>
        </w:rPr>
        <w:t xml:space="preserve"> priemerného zárobku sestier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842"/>
        <w:gridCol w:w="1842"/>
        <w:gridCol w:w="1842"/>
        <w:gridCol w:w="1843"/>
        <w:gridCol w:w="184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Rok</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Ø zárobok</w:t>
            </w:r>
          </w:p>
          <w:p w:rsidR="00D630F9" w:rsidRPr="006905B5" w:rsidP="00D630F9">
            <w:pPr>
              <w:jc w:val="center"/>
              <w:rPr>
                <w:rFonts w:ascii="Times New Roman" w:hAnsi="Times New Roman" w:cs="Times New Roman"/>
              </w:rPr>
            </w:pPr>
            <w:r w:rsidRPr="006905B5">
              <w:rPr>
                <w:rFonts w:ascii="Times New Roman" w:hAnsi="Times New Roman" w:cs="Times New Roman"/>
                <w:b/>
              </w:rPr>
              <w:t>sestier</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Ø zárobku</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sidR="00A22B74">
              <w:rPr>
                <w:rFonts w:ascii="Times New Roman" w:hAnsi="Times New Roman" w:cs="Times New Roman"/>
                <w:b/>
              </w:rPr>
              <w:t>Index miery inflácie</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Rozdiel</w:t>
            </w:r>
          </w:p>
          <w:p w:rsidR="00D630F9" w:rsidRPr="006905B5" w:rsidP="00D630F9">
            <w:pPr>
              <w:jc w:val="center"/>
              <w:rPr>
                <w:rFonts w:ascii="Times New Roman" w:hAnsi="Times New Roman" w:cs="Times New Roman"/>
                <w:b/>
              </w:rPr>
            </w:pPr>
            <w:r w:rsidRPr="006905B5">
              <w:rPr>
                <w:rFonts w:ascii="Times New Roman" w:hAnsi="Times New Roman" w:cs="Times New Roman"/>
                <w:b/>
              </w:rPr>
              <w:t>%</w:t>
            </w:r>
          </w:p>
          <w:p w:rsidR="00D630F9" w:rsidRPr="006905B5" w:rsidP="00D630F9">
            <w:pPr>
              <w:jc w:val="center"/>
              <w:rPr>
                <w:rFonts w:ascii="Times New Roman" w:hAnsi="Times New Roman" w:cs="Times New Roman"/>
                <w:b/>
              </w:rPr>
            </w:pPr>
            <w:r w:rsidR="00526A8C">
              <w:rPr>
                <w:rFonts w:ascii="Times New Roman" w:hAnsi="Times New Roman" w:cs="Times New Roman"/>
              </w:rPr>
              <w:t>stĺ</w:t>
            </w:r>
            <w:r w:rsidRPr="006905B5">
              <w:rPr>
                <w:rFonts w:ascii="Times New Roman" w:hAnsi="Times New Roman" w:cs="Times New Roman"/>
              </w:rPr>
              <w:t>. 2 – st</w:t>
            </w:r>
            <w:r w:rsidR="00526A8C">
              <w:rPr>
                <w:rFonts w:ascii="Times New Roman" w:hAnsi="Times New Roman" w:cs="Times New Roman"/>
              </w:rPr>
              <w:t>ĺ</w:t>
            </w:r>
            <w:r w:rsidRPr="006905B5">
              <w:rPr>
                <w:rFonts w:ascii="Times New Roman" w:hAnsi="Times New Roman" w:cs="Times New Roman"/>
              </w:rPr>
              <w:t>. 3</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stĺpec</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4</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2001</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11.360</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2002</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13.437</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1,183</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1,085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+9,8</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2003</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13.635</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1,015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1,036</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-2,1</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2004</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14.030</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1,029</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1,085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-5,6</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2005</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14.609</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1,041</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1,075</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-3,4</w:t>
            </w:r>
          </w:p>
        </w:tc>
      </w:tr>
      <w:tr>
        <w:tblPrEx>
          <w:tblW w:w="0" w:type="auto"/>
        </w:tblPrEx>
        <w:trPr>
          <w:trHeight w:hRule="auto" w:val="0"/>
        </w:trPr>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2006</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16.382</w:t>
            </w:r>
          </w:p>
        </w:tc>
        <w:tc>
          <w:tcPr>
            <w:tcW w:w="184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1,121</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1,027</w:t>
            </w:r>
          </w:p>
        </w:tc>
        <w:tc>
          <w:tcPr>
            <w:tcW w:w="184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+9,4</w:t>
            </w:r>
          </w:p>
        </w:tc>
      </w:tr>
    </w:tbl>
    <w:p w:rsidR="00D630F9" w:rsidRPr="006905B5" w:rsidP="00D630F9">
      <w:pPr>
        <w:rPr>
          <w:rFonts w:ascii="Times New Roman" w:hAnsi="Times New Roman" w:cs="Times New Roman"/>
          <w:i/>
        </w:rPr>
      </w:pPr>
      <w:r w:rsidRPr="006905B5">
        <w:rPr>
          <w:rFonts w:ascii="Times New Roman" w:hAnsi="Times New Roman" w:cs="Times New Roman"/>
          <w:i/>
        </w:rPr>
        <w:t xml:space="preserve">Zdroj: </w:t>
      </w:r>
    </w:p>
    <w:p w:rsidR="006130A9" w:rsidRPr="006905B5" w:rsidP="00D630F9">
      <w:pPr>
        <w:rPr>
          <w:rFonts w:ascii="Times New Roman" w:hAnsi="Times New Roman" w:cs="Times New Roman"/>
          <w:i/>
        </w:rPr>
      </w:pPr>
      <w:r w:rsidRPr="006905B5" w:rsidR="00D630F9">
        <w:rPr>
          <w:rFonts w:ascii="Times New Roman" w:hAnsi="Times New Roman" w:cs="Times New Roman"/>
          <w:i/>
        </w:rPr>
        <w:t>Štatistický úrad SR</w:t>
      </w:r>
      <w:r w:rsidRPr="006905B5">
        <w:rPr>
          <w:rFonts w:ascii="Times New Roman" w:hAnsi="Times New Roman" w:cs="Times New Roman"/>
          <w:i/>
        </w:rPr>
        <w:t xml:space="preserve">, </w:t>
      </w:r>
      <w:r w:rsidRPr="006905B5" w:rsidR="00D630F9">
        <w:rPr>
          <w:rFonts w:ascii="Times New Roman" w:hAnsi="Times New Roman" w:cs="Times New Roman"/>
          <w:i/>
        </w:rPr>
        <w:t xml:space="preserve">NCZI Bratislava. </w:t>
      </w:r>
    </w:p>
    <w:p w:rsidR="00D630F9" w:rsidRPr="006905B5" w:rsidP="00D630F9">
      <w:pPr>
        <w:rPr>
          <w:rFonts w:ascii="Times New Roman" w:hAnsi="Times New Roman" w:cs="Times New Roman"/>
          <w:i/>
        </w:rPr>
      </w:pPr>
      <w:r w:rsidRPr="006905B5">
        <w:rPr>
          <w:rFonts w:ascii="Times New Roman" w:hAnsi="Times New Roman" w:cs="Times New Roman"/>
          <w:i/>
        </w:rPr>
        <w:t>Do sledovania sú zahrnuté vybrané organizácie v zriaďovateľskej a zakladateľskej pôsobnosti MZ SR, VÚC, miest a obcí (rok 2000 - 189 organizácii, rok  2005 - 177 organizácií).</w:t>
      </w:r>
    </w:p>
    <w:p w:rsidR="00D630F9" w:rsidRPr="006905B5" w:rsidP="00D630F9">
      <w:pPr>
        <w:rPr>
          <w:rFonts w:ascii="Times New Roman" w:hAnsi="Times New Roman" w:cs="Times New Roman"/>
        </w:rPr>
      </w:pPr>
    </w:p>
    <w:p w:rsidR="00D630F9" w:rsidRPr="006905B5" w:rsidP="006130A9">
      <w:pPr>
        <w:ind w:firstLine="708"/>
        <w:jc w:val="both"/>
        <w:rPr>
          <w:rFonts w:ascii="Times New Roman" w:hAnsi="Times New Roman" w:cs="Times New Roman"/>
        </w:rPr>
      </w:pPr>
      <w:r w:rsidRPr="006905B5">
        <w:rPr>
          <w:rFonts w:ascii="Times New Roman" w:hAnsi="Times New Roman" w:cs="Times New Roman"/>
        </w:rPr>
        <w:t>Z tabuliek č. 1 a 2 vyplýva,  že po skokovitom raste priemerného zárobku lekárov a sestier medzi rokmi 2002 a 2001 došlo počas pôsobenia bývalej vlády k zníženiu reálnych miezd lekárov a sestier, pretože medziročná miera inflácie bola vyššia ako rast priemerného zárobku.  K zlomu došlo až v roku 2006 po vyhlásení štrajku a zvyšovaní miezd od 1.5.2006. Najvyšší prepad reálnych miezd bol zaznamenaný v roku 2004, v ktorom rozdiel medzi mierou inflácie a </w:t>
      </w:r>
      <w:r w:rsidR="00DB4CD5">
        <w:rPr>
          <w:rFonts w:ascii="Times New Roman" w:hAnsi="Times New Roman" w:cs="Times New Roman"/>
        </w:rPr>
        <w:t>ras</w:t>
      </w:r>
      <w:r w:rsidRPr="006905B5">
        <w:rPr>
          <w:rFonts w:ascii="Times New Roman" w:hAnsi="Times New Roman" w:cs="Times New Roman"/>
        </w:rPr>
        <w:t>t</w:t>
      </w:r>
      <w:r w:rsidR="00DB4CD5">
        <w:rPr>
          <w:rFonts w:ascii="Times New Roman" w:hAnsi="Times New Roman" w:cs="Times New Roman"/>
        </w:rPr>
        <w:t>om</w:t>
      </w:r>
      <w:r w:rsidRPr="006905B5">
        <w:rPr>
          <w:rFonts w:ascii="Times New Roman" w:hAnsi="Times New Roman" w:cs="Times New Roman"/>
        </w:rPr>
        <w:t xml:space="preserve"> priemerného zárobku predstavoval až 5,7</w:t>
      </w:r>
      <w:r w:rsidR="00DB4CD5">
        <w:rPr>
          <w:rFonts w:ascii="Times New Roman" w:hAnsi="Times New Roman" w:cs="Times New Roman"/>
        </w:rPr>
        <w:t xml:space="preserve"> %</w:t>
      </w:r>
      <w:r w:rsidRPr="006905B5">
        <w:rPr>
          <w:rFonts w:ascii="Times New Roman" w:hAnsi="Times New Roman" w:cs="Times New Roman"/>
        </w:rPr>
        <w:t xml:space="preserve"> u lekárov a 5,6</w:t>
      </w:r>
      <w:r w:rsidR="00DB4CD5">
        <w:rPr>
          <w:rFonts w:ascii="Times New Roman" w:hAnsi="Times New Roman" w:cs="Times New Roman"/>
        </w:rPr>
        <w:t xml:space="preserve"> %</w:t>
      </w:r>
      <w:r w:rsidRPr="006905B5">
        <w:rPr>
          <w:rFonts w:ascii="Times New Roman" w:hAnsi="Times New Roman" w:cs="Times New Roman"/>
        </w:rPr>
        <w:t xml:space="preserve"> u sestier.</w:t>
      </w:r>
    </w:p>
    <w:p w:rsidR="00D630F9" w:rsidRPr="006905B5" w:rsidP="00D630F9">
      <w:pPr>
        <w:rPr>
          <w:rFonts w:ascii="Times New Roman" w:hAnsi="Times New Roman" w:cs="Times New Roman"/>
        </w:rPr>
      </w:pPr>
    </w:p>
    <w:p w:rsidR="00D630F9" w:rsidRPr="006905B5" w:rsidP="00D630F9">
      <w:pPr>
        <w:rPr>
          <w:rFonts w:ascii="Times New Roman" w:hAnsi="Times New Roman" w:cs="Times New Roman"/>
          <w:i/>
        </w:rPr>
      </w:pPr>
      <w:r w:rsidRPr="006905B5" w:rsidR="0046632D">
        <w:rPr>
          <w:rFonts w:ascii="Times New Roman" w:hAnsi="Times New Roman" w:cs="Times New Roman"/>
          <w:i/>
        </w:rPr>
        <w:t xml:space="preserve">3. </w:t>
      </w:r>
      <w:r w:rsidRPr="006905B5">
        <w:rPr>
          <w:rFonts w:ascii="Times New Roman" w:hAnsi="Times New Roman" w:cs="Times New Roman"/>
          <w:i/>
        </w:rPr>
        <w:t>Tab</w:t>
      </w:r>
      <w:r w:rsidRPr="006905B5" w:rsidR="006130A9">
        <w:rPr>
          <w:rFonts w:ascii="Times New Roman" w:hAnsi="Times New Roman" w:cs="Times New Roman"/>
          <w:i/>
        </w:rPr>
        <w:t>uľka p</w:t>
      </w:r>
      <w:r w:rsidRPr="006905B5">
        <w:rPr>
          <w:rFonts w:ascii="Times New Roman" w:hAnsi="Times New Roman" w:cs="Times New Roman"/>
          <w:i/>
        </w:rPr>
        <w:t>orovnani</w:t>
      </w:r>
      <w:r w:rsidRPr="006905B5" w:rsidR="006130A9">
        <w:rPr>
          <w:rFonts w:ascii="Times New Roman" w:hAnsi="Times New Roman" w:cs="Times New Roman"/>
          <w:i/>
        </w:rPr>
        <w:t>a</w:t>
      </w:r>
      <w:r w:rsidRPr="006905B5">
        <w:rPr>
          <w:rFonts w:ascii="Times New Roman" w:hAnsi="Times New Roman" w:cs="Times New Roman"/>
          <w:i/>
        </w:rPr>
        <w:t xml:space="preserve"> priemerného zárobku v národnom hospodárstve a lekárov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535"/>
        <w:gridCol w:w="1633"/>
        <w:gridCol w:w="1475"/>
        <w:gridCol w:w="1535"/>
        <w:gridCol w:w="1536"/>
        <w:gridCol w:w="15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Rok</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sz w:val="22"/>
                <w:szCs w:val="22"/>
              </w:rPr>
            </w:pPr>
          </w:p>
          <w:p w:rsidR="00D630F9" w:rsidRPr="006905B5" w:rsidP="00D630F9">
            <w:pPr>
              <w:jc w:val="center"/>
              <w:rPr>
                <w:rFonts w:ascii="Times New Roman" w:hAnsi="Times New Roman" w:cs="Times New Roman"/>
                <w:b/>
                <w:sz w:val="22"/>
                <w:szCs w:val="22"/>
              </w:rPr>
            </w:pPr>
            <w:r w:rsidRPr="006905B5">
              <w:rPr>
                <w:rFonts w:ascii="Times New Roman" w:hAnsi="Times New Roman" w:cs="Times New Roman"/>
                <w:b/>
                <w:sz w:val="22"/>
                <w:szCs w:val="22"/>
              </w:rPr>
              <w:t>Ø zárobok</w:t>
            </w:r>
          </w:p>
          <w:p w:rsidR="00D630F9" w:rsidRPr="006905B5" w:rsidP="00D630F9">
            <w:pPr>
              <w:jc w:val="center"/>
              <w:rPr>
                <w:rFonts w:ascii="Times New Roman" w:hAnsi="Times New Roman" w:cs="Times New Roman"/>
                <w:b/>
              </w:rPr>
            </w:pPr>
            <w:r w:rsidRPr="006905B5">
              <w:rPr>
                <w:rFonts w:ascii="Times New Roman" w:hAnsi="Times New Roman" w:cs="Times New Roman"/>
                <w:b/>
                <w:sz w:val="22"/>
                <w:szCs w:val="22"/>
              </w:rPr>
              <w:t>v hospodárstve</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Ø zárobku v hospod.</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Ø zárobok</w:t>
            </w:r>
          </w:p>
          <w:p w:rsidR="00D630F9" w:rsidRPr="006905B5" w:rsidP="00D630F9">
            <w:pPr>
              <w:jc w:val="center"/>
              <w:rPr>
                <w:rFonts w:ascii="Times New Roman" w:hAnsi="Times New Roman" w:cs="Times New Roman"/>
                <w:b/>
              </w:rPr>
            </w:pPr>
            <w:r w:rsidRPr="006905B5">
              <w:rPr>
                <w:rFonts w:ascii="Times New Roman" w:hAnsi="Times New Roman" w:cs="Times New Roman"/>
                <w:b/>
              </w:rPr>
              <w:t>lekárov</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o zárobku</w:t>
            </w:r>
          </w:p>
          <w:p w:rsidR="00D630F9" w:rsidRPr="006905B5" w:rsidP="00D630F9">
            <w:pPr>
              <w:jc w:val="center"/>
              <w:rPr>
                <w:rFonts w:ascii="Times New Roman" w:hAnsi="Times New Roman" w:cs="Times New Roman"/>
                <w:b/>
              </w:rPr>
            </w:pPr>
            <w:r w:rsidRPr="006905B5">
              <w:rPr>
                <w:rFonts w:ascii="Times New Roman" w:hAnsi="Times New Roman" w:cs="Times New Roman"/>
                <w:b/>
              </w:rPr>
              <w:t>lekárov</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Rozdiel</w:t>
            </w:r>
          </w:p>
          <w:p w:rsidR="00D630F9" w:rsidRPr="006905B5" w:rsidP="00D630F9">
            <w:pPr>
              <w:jc w:val="center"/>
              <w:rPr>
                <w:rFonts w:ascii="Times New Roman" w:hAnsi="Times New Roman" w:cs="Times New Roman"/>
                <w:b/>
                <w:vertAlign w:val="subscript"/>
              </w:rPr>
            </w:pPr>
            <w:r w:rsidRPr="006905B5">
              <w:rPr>
                <w:rFonts w:ascii="Times New Roman" w:hAnsi="Times New Roman" w:cs="Times New Roman"/>
                <w:b/>
                <w:vertAlign w:val="subscript"/>
              </w:rPr>
              <w:t>%</w:t>
            </w:r>
          </w:p>
          <w:p w:rsidR="00D630F9" w:rsidRPr="006905B5" w:rsidP="00D630F9">
            <w:pPr>
              <w:jc w:val="center"/>
              <w:rPr>
                <w:rFonts w:ascii="Times New Roman" w:hAnsi="Times New Roman" w:cs="Times New Roman"/>
                <w:vertAlign w:val="subscript"/>
              </w:rPr>
            </w:pPr>
            <w:r w:rsidRPr="006905B5">
              <w:rPr>
                <w:rFonts w:ascii="Times New Roman" w:hAnsi="Times New Roman" w:cs="Times New Roman"/>
              </w:rPr>
              <w:t>st</w:t>
            </w:r>
            <w:r w:rsidR="00526A8C">
              <w:rPr>
                <w:rFonts w:ascii="Times New Roman" w:hAnsi="Times New Roman" w:cs="Times New Roman"/>
              </w:rPr>
              <w:t>ĺ</w:t>
            </w:r>
            <w:r w:rsidRPr="006905B5">
              <w:rPr>
                <w:rFonts w:ascii="Times New Roman" w:hAnsi="Times New Roman" w:cs="Times New Roman"/>
              </w:rPr>
              <w:t>. 4 – st</w:t>
            </w:r>
            <w:r w:rsidR="00526A8C">
              <w:rPr>
                <w:rFonts w:ascii="Times New Roman" w:hAnsi="Times New Roman" w:cs="Times New Roman"/>
              </w:rPr>
              <w:t>ĺ</w:t>
            </w:r>
            <w:r w:rsidRPr="006905B5">
              <w:rPr>
                <w:rFonts w:ascii="Times New Roman" w:hAnsi="Times New Roman" w:cs="Times New Roman"/>
              </w:rPr>
              <w:t>. 2</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stĺpec</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1</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3</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4</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5</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2001</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12.365</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23.837</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2002</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13.511</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1,093</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28.311</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1,188</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+9,5</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2003</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14.365</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1,063</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28.973</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1,023</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-4,0</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2004</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15.825</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1,102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29.794</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1,028</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-7,4</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2005</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17.274</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1,092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31.275</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1,050</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-4,2</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2006</w:t>
            </w:r>
          </w:p>
        </w:tc>
        <w:tc>
          <w:tcPr>
            <w:tcW w:w="163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18.761</w:t>
            </w:r>
          </w:p>
        </w:tc>
        <w:tc>
          <w:tcPr>
            <w:tcW w:w="147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1,086</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34.519</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1,104</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526A8C">
            <w:pPr>
              <w:jc w:val="right"/>
              <w:rPr>
                <w:rFonts w:ascii="Times New Roman" w:hAnsi="Times New Roman" w:cs="Times New Roman"/>
              </w:rPr>
            </w:pPr>
            <w:r w:rsidRPr="006905B5">
              <w:rPr>
                <w:rFonts w:ascii="Times New Roman" w:hAnsi="Times New Roman" w:cs="Times New Roman"/>
              </w:rPr>
              <w:t>+1,8</w:t>
            </w:r>
          </w:p>
        </w:tc>
      </w:tr>
    </w:tbl>
    <w:p w:rsidR="00D630F9" w:rsidRPr="006905B5" w:rsidP="00D630F9">
      <w:pPr>
        <w:rPr>
          <w:rFonts w:ascii="Times New Roman" w:hAnsi="Times New Roman" w:cs="Times New Roman"/>
        </w:rPr>
      </w:pPr>
    </w:p>
    <w:p w:rsidR="00D630F9" w:rsidRPr="006905B5" w:rsidP="00D630F9">
      <w:pPr>
        <w:rPr>
          <w:rFonts w:ascii="Times New Roman" w:hAnsi="Times New Roman" w:cs="Times New Roman"/>
          <w:i/>
        </w:rPr>
      </w:pPr>
      <w:r w:rsidRPr="006905B5" w:rsidR="0046632D">
        <w:rPr>
          <w:rFonts w:ascii="Times New Roman" w:hAnsi="Times New Roman" w:cs="Times New Roman"/>
          <w:i/>
        </w:rPr>
        <w:t xml:space="preserve">4. </w:t>
      </w:r>
      <w:r w:rsidRPr="006905B5">
        <w:rPr>
          <w:rFonts w:ascii="Times New Roman" w:hAnsi="Times New Roman" w:cs="Times New Roman"/>
          <w:i/>
        </w:rPr>
        <w:t>Tab</w:t>
      </w:r>
      <w:r w:rsidRPr="006905B5" w:rsidR="0046632D">
        <w:rPr>
          <w:rFonts w:ascii="Times New Roman" w:hAnsi="Times New Roman" w:cs="Times New Roman"/>
          <w:i/>
        </w:rPr>
        <w:t>uľka p</w:t>
      </w:r>
      <w:r w:rsidRPr="006905B5">
        <w:rPr>
          <w:rFonts w:ascii="Times New Roman" w:hAnsi="Times New Roman" w:cs="Times New Roman"/>
          <w:i/>
        </w:rPr>
        <w:t>orovnani</w:t>
      </w:r>
      <w:r w:rsidRPr="006905B5" w:rsidR="0046632D">
        <w:rPr>
          <w:rFonts w:ascii="Times New Roman" w:hAnsi="Times New Roman" w:cs="Times New Roman"/>
          <w:i/>
        </w:rPr>
        <w:t>a</w:t>
      </w:r>
      <w:r w:rsidRPr="006905B5">
        <w:rPr>
          <w:rFonts w:ascii="Times New Roman" w:hAnsi="Times New Roman" w:cs="Times New Roman"/>
          <w:i/>
        </w:rPr>
        <w:t xml:space="preserve"> priemerného zárobku v národnom hospodárstve a sestier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535"/>
        <w:gridCol w:w="1535"/>
        <w:gridCol w:w="1535"/>
        <w:gridCol w:w="1535"/>
        <w:gridCol w:w="1536"/>
        <w:gridCol w:w="1536"/>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Rok</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sz w:val="22"/>
                <w:szCs w:val="22"/>
              </w:rPr>
            </w:pPr>
            <w:r w:rsidRPr="006905B5">
              <w:rPr>
                <w:rFonts w:ascii="Times New Roman" w:hAnsi="Times New Roman" w:cs="Times New Roman"/>
                <w:b/>
                <w:sz w:val="22"/>
                <w:szCs w:val="22"/>
              </w:rPr>
              <w:t>Ø zárobok</w:t>
            </w:r>
          </w:p>
          <w:p w:rsidR="00D630F9" w:rsidRPr="006905B5" w:rsidP="00D630F9">
            <w:pPr>
              <w:jc w:val="center"/>
              <w:rPr>
                <w:rFonts w:ascii="Times New Roman" w:hAnsi="Times New Roman" w:cs="Times New Roman"/>
                <w:b/>
              </w:rPr>
            </w:pPr>
            <w:r w:rsidRPr="006905B5">
              <w:rPr>
                <w:rFonts w:ascii="Times New Roman" w:hAnsi="Times New Roman" w:cs="Times New Roman"/>
                <w:b/>
                <w:sz w:val="22"/>
                <w:szCs w:val="22"/>
              </w:rPr>
              <w:t>v hospodárstve</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Ø zárobku v hospod.</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Ø zárobok</w:t>
            </w:r>
          </w:p>
          <w:p w:rsidR="00D630F9" w:rsidRPr="006905B5" w:rsidP="00D630F9">
            <w:pPr>
              <w:jc w:val="center"/>
              <w:rPr>
                <w:rFonts w:ascii="Times New Roman" w:hAnsi="Times New Roman" w:cs="Times New Roman"/>
                <w:b/>
              </w:rPr>
            </w:pPr>
            <w:r w:rsidRPr="006905B5">
              <w:rPr>
                <w:rFonts w:ascii="Times New Roman" w:hAnsi="Times New Roman" w:cs="Times New Roman"/>
                <w:b/>
              </w:rPr>
              <w:t>sestier</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Index rastu</w:t>
            </w:r>
          </w:p>
          <w:p w:rsidR="00D630F9" w:rsidRPr="006905B5" w:rsidP="00D630F9">
            <w:pPr>
              <w:jc w:val="center"/>
              <w:rPr>
                <w:rFonts w:ascii="Times New Roman" w:hAnsi="Times New Roman" w:cs="Times New Roman"/>
                <w:b/>
              </w:rPr>
            </w:pPr>
            <w:r w:rsidRPr="006905B5">
              <w:rPr>
                <w:rFonts w:ascii="Times New Roman" w:hAnsi="Times New Roman" w:cs="Times New Roman"/>
                <w:b/>
              </w:rPr>
              <w:t>o zárobku</w:t>
            </w:r>
          </w:p>
          <w:p w:rsidR="00D630F9" w:rsidRPr="006905B5" w:rsidP="00D630F9">
            <w:pPr>
              <w:jc w:val="center"/>
              <w:rPr>
                <w:rFonts w:ascii="Times New Roman" w:hAnsi="Times New Roman" w:cs="Times New Roman"/>
                <w:b/>
              </w:rPr>
            </w:pPr>
            <w:r w:rsidRPr="006905B5">
              <w:rPr>
                <w:rFonts w:ascii="Times New Roman" w:hAnsi="Times New Roman" w:cs="Times New Roman"/>
                <w:b/>
              </w:rPr>
              <w:t>sestier</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p>
          <w:p w:rsidR="00D630F9" w:rsidRPr="006905B5" w:rsidP="00D630F9">
            <w:pPr>
              <w:jc w:val="center"/>
              <w:rPr>
                <w:rFonts w:ascii="Times New Roman" w:hAnsi="Times New Roman" w:cs="Times New Roman"/>
                <w:b/>
              </w:rPr>
            </w:pPr>
            <w:r w:rsidRPr="006905B5">
              <w:rPr>
                <w:rFonts w:ascii="Times New Roman" w:hAnsi="Times New Roman" w:cs="Times New Roman"/>
                <w:b/>
              </w:rPr>
              <w:t>Rozdiel</w:t>
            </w:r>
          </w:p>
          <w:p w:rsidR="00D630F9" w:rsidRPr="006905B5" w:rsidP="00D630F9">
            <w:pPr>
              <w:jc w:val="center"/>
              <w:rPr>
                <w:rFonts w:ascii="Times New Roman" w:hAnsi="Times New Roman" w:cs="Times New Roman"/>
                <w:b/>
                <w:vertAlign w:val="subscript"/>
              </w:rPr>
            </w:pPr>
            <w:r w:rsidRPr="006905B5">
              <w:rPr>
                <w:rFonts w:ascii="Times New Roman" w:hAnsi="Times New Roman" w:cs="Times New Roman"/>
                <w:b/>
                <w:vertAlign w:val="subscript"/>
              </w:rPr>
              <w:t>%</w:t>
            </w:r>
          </w:p>
          <w:p w:rsidR="00D630F9" w:rsidRPr="006905B5" w:rsidP="00D630F9">
            <w:pPr>
              <w:jc w:val="center"/>
              <w:rPr>
                <w:rFonts w:ascii="Times New Roman" w:hAnsi="Times New Roman" w:cs="Times New Roman"/>
                <w:b/>
                <w:vertAlign w:val="subscript"/>
              </w:rPr>
            </w:pPr>
            <w:r w:rsidR="00526A8C">
              <w:rPr>
                <w:rFonts w:ascii="Times New Roman" w:hAnsi="Times New Roman" w:cs="Times New Roman"/>
              </w:rPr>
              <w:t>stĺ. 4 – stĺ</w:t>
            </w:r>
            <w:r w:rsidRPr="006905B5">
              <w:rPr>
                <w:rFonts w:ascii="Times New Roman" w:hAnsi="Times New Roman" w:cs="Times New Roman"/>
              </w:rPr>
              <w:t>. 2</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stĺpec</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1</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3</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4</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rPr>
            </w:pPr>
            <w:r w:rsidRPr="006905B5">
              <w:rPr>
                <w:rFonts w:ascii="Times New Roman" w:hAnsi="Times New Roman" w:cs="Times New Roman"/>
              </w:rPr>
              <w:t>5</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2001</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12.365</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11.360</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13.511</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1,093</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13.437</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1,183</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+9,0</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2003</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14.365</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1,063</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13.635</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1,015</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-4,8</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2004</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15.825</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1,102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14.030</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1,029</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-7,3</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2005</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17.274</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1,092</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14.609</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1,041</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-5,1</w:t>
            </w:r>
          </w:p>
        </w:tc>
      </w:tr>
      <w:tr>
        <w:tblPrEx>
          <w:tblW w:w="0" w:type="auto"/>
        </w:tblPrEx>
        <w:trPr>
          <w:trHeight w:hRule="auto" w:val="0"/>
        </w:trPr>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D630F9">
            <w:pPr>
              <w:jc w:val="center"/>
              <w:rPr>
                <w:rFonts w:ascii="Times New Roman" w:hAnsi="Times New Roman" w:cs="Times New Roman"/>
                <w:b/>
              </w:rPr>
            </w:pPr>
            <w:r w:rsidRPr="006905B5">
              <w:rPr>
                <w:rFonts w:ascii="Times New Roman" w:hAnsi="Times New Roman" w:cs="Times New Roman"/>
                <w:b/>
              </w:rPr>
              <w:t>2006</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18.761</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1,086</w:t>
            </w:r>
          </w:p>
        </w:tc>
        <w:tc>
          <w:tcPr>
            <w:tcW w:w="15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16.382</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1,121</w:t>
            </w:r>
          </w:p>
        </w:tc>
        <w:tc>
          <w:tcPr>
            <w:tcW w:w="1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0F9" w:rsidRPr="006905B5" w:rsidP="00756D09">
            <w:pPr>
              <w:jc w:val="right"/>
              <w:rPr>
                <w:rFonts w:ascii="Times New Roman" w:hAnsi="Times New Roman" w:cs="Times New Roman"/>
              </w:rPr>
            </w:pPr>
            <w:r w:rsidRPr="006905B5">
              <w:rPr>
                <w:rFonts w:ascii="Times New Roman" w:hAnsi="Times New Roman" w:cs="Times New Roman"/>
              </w:rPr>
              <w:t>+3,5</w:t>
            </w:r>
          </w:p>
        </w:tc>
      </w:tr>
    </w:tbl>
    <w:p w:rsidR="00D630F9" w:rsidRPr="006905B5" w:rsidP="0046632D">
      <w:pPr>
        <w:jc w:val="both"/>
        <w:rPr>
          <w:rFonts w:ascii="Times New Roman" w:hAnsi="Times New Roman" w:cs="Times New Roman"/>
        </w:rPr>
      </w:pPr>
      <w:r w:rsidRPr="006905B5">
        <w:rPr>
          <w:rFonts w:ascii="Times New Roman" w:hAnsi="Times New Roman" w:cs="Times New Roman"/>
        </w:rPr>
        <w:tab/>
        <w:t xml:space="preserve">Aj v tomto prípade z tabuliek č. </w:t>
      </w:r>
      <w:smartTag w:uri="urn:schemas-microsoft-com:office:smarttags" w:element="metricconverter">
        <w:smartTagPr>
          <w:attr w:name="ProductID" w:val="3 a"/>
        </w:smartTagPr>
        <w:r w:rsidRPr="006905B5">
          <w:rPr>
            <w:rFonts w:ascii="Times New Roman" w:hAnsi="Times New Roman" w:cs="Times New Roman"/>
          </w:rPr>
          <w:t>3 a</w:t>
        </w:r>
      </w:smartTag>
      <w:r w:rsidRPr="006905B5">
        <w:rPr>
          <w:rFonts w:ascii="Times New Roman" w:hAnsi="Times New Roman" w:cs="Times New Roman"/>
        </w:rPr>
        <w:t xml:space="preserve"> 4 vyplýva, že dynamika rastu priemerného zárobku v národnom hospodárstve v rokoch 2003 až 2005 bola vyššia ako dynamika rastu  priemerného zárobku lekárov a sestier. K zlomu došlo až v roku 2006 po vyhlásení štrajku a zvyšovaní miezd od 1.5.2006. Najnižšie tempo rastu priemerných zárobkov lekárov a sestier bolo zaznamenané v roku 2004 (u lekárov </w:t>
      </w:r>
      <w:r w:rsidRPr="006905B5" w:rsidR="00EB6086">
        <w:rPr>
          <w:rFonts w:ascii="Times New Roman" w:hAnsi="Times New Roman" w:cs="Times New Roman"/>
        </w:rPr>
        <w:t>o 7,4% a</w:t>
      </w:r>
      <w:r w:rsidRPr="006905B5">
        <w:rPr>
          <w:rFonts w:ascii="Times New Roman" w:hAnsi="Times New Roman" w:cs="Times New Roman"/>
        </w:rPr>
        <w:t xml:space="preserve"> u sestier </w:t>
      </w:r>
      <w:r w:rsidRPr="006905B5" w:rsidR="00EB6086">
        <w:rPr>
          <w:rFonts w:ascii="Times New Roman" w:hAnsi="Times New Roman" w:cs="Times New Roman"/>
        </w:rPr>
        <w:t xml:space="preserve">o </w:t>
      </w:r>
      <w:r w:rsidRPr="006905B5">
        <w:rPr>
          <w:rFonts w:ascii="Times New Roman" w:hAnsi="Times New Roman" w:cs="Times New Roman"/>
        </w:rPr>
        <w:t>7,3</w:t>
      </w:r>
      <w:r w:rsidRPr="006905B5" w:rsidR="00EB6086">
        <w:rPr>
          <w:rFonts w:ascii="Times New Roman" w:hAnsi="Times New Roman" w:cs="Times New Roman"/>
        </w:rPr>
        <w:t>% menej oproti rastu priemerného zárobku v národnom hospodárstve</w:t>
      </w:r>
      <w:r w:rsidRPr="006905B5">
        <w:rPr>
          <w:rFonts w:ascii="Times New Roman" w:hAnsi="Times New Roman" w:cs="Times New Roman"/>
        </w:rPr>
        <w:t xml:space="preserve">). </w:t>
      </w:r>
    </w:p>
    <w:p w:rsidR="00D630F9" w:rsidRPr="006905B5" w:rsidP="0046632D">
      <w:pPr>
        <w:jc w:val="both"/>
        <w:rPr>
          <w:rFonts w:ascii="Times New Roman" w:hAnsi="Times New Roman" w:cs="Times New Roman"/>
        </w:rPr>
      </w:pPr>
      <w:r w:rsidRPr="006905B5">
        <w:rPr>
          <w:rFonts w:ascii="Times New Roman" w:hAnsi="Times New Roman" w:cs="Times New Roman"/>
        </w:rPr>
        <w:tab/>
        <w:t>Na základe hore uvedených tabuliek, ktoré dokumentujú vývoj priemerného zárobku vybraných kategórií zdravotníckych pracovníkov (lekárov a sestier) možno vo všeobecnosti konštatovať, že rast miezd v celom zdravotníctve v období rokov  2003 až 2005 bol v rozpätí 2 až 5 %, pričom rast priemernej mzdy v národnom hospodárstve sa pohyboval v rozpätí od 6 do 10 %.  Pri inflácii v daných rokoch v rozpätí od 8,5 do 2,7 % došlo k výraznému poklesu reálnych miezd. Po prechode na liberálny systém odmeňovania podľa Zákonníka práce dochádza v roku 2006 v predvolebnom období k výraznému zvýšeniu miezd v porovnaním s rokmi 2003 až 2005 (až o 11 %). Rast miezd v zdravotníctve v roku 2006, v porovnaní s rastom miezd v národnom hospodárstve, bol vyšší o 2 %. Pri ročnej miere inflácie 4,5 % bol zaznamenaný rast reálnej mzdy o 6,5 %. K uvedenému predvolebnému zvýšeniu miezd došlo však bez ich zdrojového krytia. Zvýšenie v roku 2006 realizované v dvoch etapách</w:t>
      </w:r>
      <w:r w:rsidRPr="006905B5" w:rsidR="002A775D">
        <w:rPr>
          <w:rFonts w:ascii="Times New Roman" w:hAnsi="Times New Roman" w:cs="Times New Roman"/>
        </w:rPr>
        <w:t xml:space="preserve"> </w:t>
      </w:r>
      <w:r w:rsidRPr="006905B5">
        <w:rPr>
          <w:rFonts w:ascii="Times New Roman" w:hAnsi="Times New Roman" w:cs="Times New Roman"/>
        </w:rPr>
        <w:t xml:space="preserve">(k 1.5.2006 a k 1.12.2006) predstavovalo nárast finančných prostriedkov na mzdy a odvody vo výške </w:t>
      </w:r>
      <w:r w:rsidRPr="006905B5">
        <w:rPr>
          <w:rFonts w:ascii="Times New Roman" w:hAnsi="Times New Roman" w:cs="Times New Roman"/>
          <w:b/>
        </w:rPr>
        <w:t>1 mld. Sk</w:t>
      </w:r>
      <w:r w:rsidRPr="006905B5" w:rsidR="006D50FF">
        <w:rPr>
          <w:rFonts w:ascii="Times New Roman" w:hAnsi="Times New Roman" w:cs="Times New Roman"/>
          <w:b/>
        </w:rPr>
        <w:t xml:space="preserve"> </w:t>
      </w:r>
      <w:r w:rsidRPr="006905B5" w:rsidR="006D50FF">
        <w:rPr>
          <w:rFonts w:ascii="Times New Roman" w:hAnsi="Times New Roman" w:cs="Times New Roman"/>
        </w:rPr>
        <w:t>v zdravotníckych zariadeniach v zriaďovateľskej pôsobnosti MZ.</w:t>
      </w:r>
    </w:p>
    <w:p w:rsidR="00D630F9" w:rsidRPr="006905B5" w:rsidP="0046632D">
      <w:pPr>
        <w:jc w:val="both"/>
        <w:rPr>
          <w:rFonts w:ascii="Times New Roman" w:hAnsi="Times New Roman" w:cs="Times New Roman"/>
        </w:rPr>
      </w:pPr>
      <w:r w:rsidRPr="006905B5">
        <w:rPr>
          <w:rFonts w:ascii="Times New Roman" w:hAnsi="Times New Roman" w:cs="Times New Roman"/>
        </w:rPr>
        <w:tab/>
      </w:r>
      <w:r w:rsidRPr="006905B5" w:rsidR="002A775D">
        <w:rPr>
          <w:rFonts w:ascii="Times New Roman" w:hAnsi="Times New Roman" w:cs="Times New Roman"/>
        </w:rPr>
        <w:t>Z</w:t>
      </w:r>
      <w:r w:rsidRPr="006905B5" w:rsidR="002A775D">
        <w:rPr>
          <w:rFonts w:ascii="Times New Roman" w:hAnsi="Times New Roman" w:cs="Times New Roman"/>
          <w:b/>
        </w:rPr>
        <w:t xml:space="preserve"> </w:t>
      </w:r>
      <w:r w:rsidRPr="006905B5">
        <w:rPr>
          <w:rFonts w:ascii="Times New Roman" w:hAnsi="Times New Roman" w:cs="Times New Roman"/>
        </w:rPr>
        <w:t xml:space="preserve">vývoja priemerných zárobkov zdravotníckych pracovníkov v období rokov 2002 až 2006 v porovnaní s vývojom priemerného zárobku v národnom hospodárstve a dosahovanou mierou inflácie vyplýva, že predchádzajúca vláda sa problematike odmeňovania systematicky nevenovala, nakoľko jej prioritou bola transformácia zdravotníckych zariadení. </w:t>
      </w:r>
    </w:p>
    <w:p w:rsidR="00D630F9" w:rsidRPr="006905B5" w:rsidP="0046632D">
      <w:pPr>
        <w:jc w:val="both"/>
        <w:rPr>
          <w:rFonts w:ascii="Times New Roman" w:hAnsi="Times New Roman" w:cs="Times New Roman"/>
          <w:b/>
        </w:rPr>
      </w:pPr>
    </w:p>
    <w:p w:rsidR="00D630F9" w:rsidRPr="006905B5" w:rsidP="0046632D">
      <w:pPr>
        <w:jc w:val="both"/>
        <w:rPr>
          <w:rFonts w:ascii="Times New Roman" w:hAnsi="Times New Roman" w:cs="Times New Roman"/>
          <w:b/>
        </w:rPr>
      </w:pPr>
      <w:r w:rsidRPr="006905B5">
        <w:rPr>
          <w:rFonts w:ascii="Times New Roman" w:hAnsi="Times New Roman" w:cs="Times New Roman"/>
          <w:b/>
        </w:rPr>
        <w:t>Osobná hmotná zainteresovanosť riaditeľov zdravotníckych zariadení</w:t>
      </w:r>
    </w:p>
    <w:p w:rsidR="00C44120" w:rsidRPr="006905B5" w:rsidP="0046632D">
      <w:pPr>
        <w:jc w:val="both"/>
        <w:rPr>
          <w:rFonts w:ascii="Times New Roman" w:hAnsi="Times New Roman" w:cs="Times New Roman"/>
          <w:b/>
        </w:rPr>
      </w:pPr>
    </w:p>
    <w:p w:rsidR="000648C9" w:rsidRPr="006905B5" w:rsidP="000648C9">
      <w:pPr>
        <w:pStyle w:val="BodyText"/>
        <w:jc w:val="both"/>
        <w:rPr>
          <w:rFonts w:ascii="Times New Roman" w:hAnsi="Times New Roman" w:cs="Times New Roman"/>
        </w:rPr>
      </w:pPr>
      <w:r w:rsidRPr="006905B5" w:rsidR="00D630F9">
        <w:rPr>
          <w:rFonts w:ascii="Times New Roman" w:hAnsi="Times New Roman" w:cs="Times New Roman"/>
        </w:rPr>
        <w:tab/>
        <w:t xml:space="preserve"> V roku 2003 Ministerstvo zdravotníctva SR stanovilo riaditeľom zdravotníckych zariadení ukazovatele hmotnej zainteresovanosti - znížiť  fixné náklady o 10 %, stabilizovať variabilné náklady, z</w:t>
      </w:r>
      <w:r w:rsidRPr="006905B5" w:rsidR="00D630F9">
        <w:rPr>
          <w:rFonts w:ascii="Times New Roman" w:hAnsi="Times New Roman" w:cs="Times New Roman"/>
          <w:bCs/>
        </w:rPr>
        <w:t>astaviť rast nového dlhu a vypracovať stratégiu  rozvoja zdravotníckeho zariadenia do roku 2006. Navrhnutá m</w:t>
      </w:r>
      <w:r w:rsidRPr="006905B5" w:rsidR="00D630F9">
        <w:rPr>
          <w:rFonts w:ascii="Times New Roman" w:hAnsi="Times New Roman" w:cs="Times New Roman"/>
        </w:rPr>
        <w:t xml:space="preserve">etodika hodnotenia predmetných ukazovateľov bola nevyhovujúca, nakoľko ju zariadenia nevedeli vyhodnotiť.  Na základe uvedeného sa v roku 2004 stanovili nové ukazovatele, ktoré boli opätovne zle nastavené. </w:t>
      </w:r>
    </w:p>
    <w:p w:rsidR="00D630F9" w:rsidRPr="006905B5" w:rsidP="000648C9">
      <w:pPr>
        <w:pStyle w:val="BodyText"/>
        <w:ind w:firstLine="708"/>
        <w:jc w:val="both"/>
        <w:rPr>
          <w:rFonts w:ascii="Times New Roman" w:hAnsi="Times New Roman" w:cs="Times New Roman"/>
        </w:rPr>
      </w:pPr>
      <w:r w:rsidRPr="006905B5">
        <w:rPr>
          <w:rFonts w:ascii="Times New Roman" w:hAnsi="Times New Roman" w:cs="Times New Roman"/>
        </w:rPr>
        <w:t>Pre roky 2005 a 2006 sa riaditeľom zdravotníckych zariadení úlohy hmotnej zainteresovanosti nestanovili z dôvodu pripravovanej  transformácie zariadení na akciové spoločnosti alebo na neziskové organizácie poskytujúce všeobecne prospešné služby.</w:t>
      </w:r>
      <w:r w:rsidRPr="006905B5" w:rsidR="000648C9">
        <w:rPr>
          <w:rFonts w:ascii="Times New Roman" w:hAnsi="Times New Roman" w:cs="Times New Roman"/>
        </w:rPr>
        <w:t xml:space="preserve"> </w:t>
      </w:r>
      <w:r w:rsidRPr="006905B5">
        <w:rPr>
          <w:rFonts w:ascii="Times New Roman" w:hAnsi="Times New Roman" w:cs="Times New Roman"/>
        </w:rPr>
        <w:t xml:space="preserve">Na základe uvedeného možno konštatovať, že s ohľadom na aktuálnu potrebu motivovať a zaangažovať manažment zdravotníckych zariadení, ako aj zvýšiť jeho zodpovednosť za výsledky hospodárenia organizácie a kvalitu poskytovanej zdravotnej starostlivosti, je systém OHZ potrebné obnoviť, prepracovať a nastaviť tak, aby na základe stanovených ukazovateľov bolo možné objektívne merať, hodnotiť a pozitívne, resp. sankčne motivovať  za  dosahované výsledky.   </w:t>
      </w:r>
    </w:p>
    <w:p w:rsidR="00C44120" w:rsidRPr="006905B5" w:rsidP="0046632D">
      <w:pPr>
        <w:jc w:val="both"/>
        <w:rPr>
          <w:rFonts w:ascii="Times New Roman" w:hAnsi="Times New Roman" w:cs="Times New Roman"/>
          <w:b/>
        </w:rPr>
      </w:pPr>
    </w:p>
    <w:p w:rsidR="00D630F9" w:rsidRPr="006905B5" w:rsidP="0046632D">
      <w:pPr>
        <w:jc w:val="both"/>
        <w:rPr>
          <w:rFonts w:ascii="Times New Roman" w:hAnsi="Times New Roman" w:cs="Times New Roman"/>
          <w:b/>
        </w:rPr>
      </w:pPr>
      <w:r w:rsidRPr="006905B5">
        <w:rPr>
          <w:rFonts w:ascii="Times New Roman" w:hAnsi="Times New Roman" w:cs="Times New Roman"/>
          <w:b/>
        </w:rPr>
        <w:t>Dopady novely Zákonníka práce</w:t>
      </w:r>
    </w:p>
    <w:p w:rsidR="00C44120" w:rsidRPr="006905B5" w:rsidP="0046632D">
      <w:pPr>
        <w:jc w:val="both"/>
        <w:rPr>
          <w:rFonts w:ascii="Times New Roman" w:hAnsi="Times New Roman" w:cs="Times New Roman"/>
          <w:b/>
        </w:rPr>
      </w:pPr>
    </w:p>
    <w:p w:rsidR="00D630F9" w:rsidRPr="006905B5" w:rsidP="0046632D">
      <w:pPr>
        <w:ind w:firstLine="708"/>
        <w:jc w:val="both"/>
        <w:rPr>
          <w:rFonts w:ascii="Times New Roman" w:hAnsi="Times New Roman" w:cs="Times New Roman"/>
        </w:rPr>
      </w:pPr>
      <w:r w:rsidRPr="006905B5">
        <w:rPr>
          <w:rFonts w:ascii="Times New Roman" w:hAnsi="Times New Roman" w:cs="Times New Roman"/>
        </w:rPr>
        <w:t>Slovenská republika musí implementovať Smernicu o pracovnom čase a rozsudky Európskeho súdneho dvora (ESD) do pripravovanej novely Zákonníka práce (t. j. posudzovanie pracovných pohotovostí na pracovisku za pracovný čas), čo však bude mať výrazný dopad na rezort zdravotníctva a štátny rozpočet (hospodárenie zdravotníckych zariadení, zamestnanosť, odmeňovanie, sieť zdravotníckych zariadení, zdroje zdravotného poistenia). Zdravotnícke zariadenia budú musieť zabezpečiť nepretržitú dostupnosť zdravotnej starostlivosti zavedením 3-zmennej prevádzky, ktor</w:t>
      </w:r>
      <w:r w:rsidR="00DB4CD5">
        <w:rPr>
          <w:rFonts w:ascii="Times New Roman" w:hAnsi="Times New Roman" w:cs="Times New Roman"/>
        </w:rPr>
        <w:t>á</w:t>
      </w:r>
      <w:r w:rsidRPr="006905B5">
        <w:rPr>
          <w:rFonts w:ascii="Times New Roman" w:hAnsi="Times New Roman" w:cs="Times New Roman"/>
        </w:rPr>
        <w:t xml:space="preserve"> bude predstavovať významné zvýšenie požiadaviek na zdroje (tak ľudské, ako aj finančné). Iba v roku 2007 si bude vyžadovať zvýšenie zamestnanosti zdravotníckych pracovníkov, ktoré, vo finančnom vyjadrení, bude znamenať potrebu navyše ďalších minimálne 1,3 mld. Sk z pohľadu cel</w:t>
      </w:r>
      <w:r w:rsidRPr="006905B5" w:rsidR="00B44EDA">
        <w:rPr>
          <w:rFonts w:ascii="Times New Roman" w:hAnsi="Times New Roman" w:cs="Times New Roman"/>
        </w:rPr>
        <w:t>ého ro</w:t>
      </w:r>
      <w:r w:rsidRPr="006905B5">
        <w:rPr>
          <w:rFonts w:ascii="Times New Roman" w:hAnsi="Times New Roman" w:cs="Times New Roman"/>
        </w:rPr>
        <w:t xml:space="preserve">ka v rámci zdravotníckych zariadení v pôsobnosti MZ SR. </w:t>
      </w:r>
    </w:p>
    <w:p w:rsidR="00D630F9" w:rsidRPr="006905B5" w:rsidP="0046632D">
      <w:pPr>
        <w:ind w:firstLine="708"/>
        <w:jc w:val="both"/>
        <w:rPr>
          <w:rFonts w:ascii="Times New Roman" w:hAnsi="Times New Roman" w:cs="Times New Roman"/>
        </w:rPr>
      </w:pPr>
      <w:r w:rsidRPr="006905B5">
        <w:rPr>
          <w:rFonts w:ascii="Times New Roman" w:hAnsi="Times New Roman" w:cs="Times New Roman"/>
        </w:rPr>
        <w:t xml:space="preserve">Z pohľadu personálneho zabezpečenia v terajšej sieti lôžkových zariadení financovaných zo zdrojov zdravotných poisťovní v zriaďovateľskej pôsobnosti MZ SR chýba 954 zdravotníckych pracovníkov (z toho 252 lekárov a 544 sestier). Po novele Zákonníka práce sa tento počet zvýši o ďalších 2 417 chýbajúcich zdravotníckych pracovníkov (z toho 1496 lekárov a 518 sestier).   </w:t>
      </w:r>
    </w:p>
    <w:p w:rsidR="00D630F9" w:rsidRPr="006905B5" w:rsidP="00D630F9">
      <w:pPr>
        <w:rPr>
          <w:rFonts w:ascii="Times New Roman" w:hAnsi="Times New Roman" w:cs="Times New Roman"/>
        </w:rPr>
      </w:pPr>
    </w:p>
    <w:p w:rsidR="00C44120" w:rsidRPr="006905B5" w:rsidP="00D630F9">
      <w:pPr>
        <w:rPr>
          <w:rFonts w:ascii="Times New Roman" w:hAnsi="Times New Roman" w:cs="Times New Roman"/>
        </w:rPr>
      </w:pPr>
    </w:p>
    <w:p w:rsidR="00743ACB" w:rsidRPr="006905B5" w:rsidP="00E0464B">
      <w:pPr>
        <w:spacing w:line="360" w:lineRule="auto"/>
        <w:rPr>
          <w:rFonts w:ascii="Times New Roman" w:hAnsi="Times New Roman" w:cs="Times New Roman"/>
          <w:b/>
          <w:sz w:val="28"/>
          <w:szCs w:val="28"/>
          <w:u w:val="single"/>
        </w:rPr>
      </w:pPr>
      <w:r w:rsidRPr="006905B5" w:rsidR="009C2E70">
        <w:rPr>
          <w:rFonts w:ascii="Times New Roman" w:hAnsi="Times New Roman" w:cs="Times New Roman"/>
          <w:b/>
          <w:sz w:val="28"/>
          <w:szCs w:val="28"/>
          <w:u w:val="single"/>
        </w:rPr>
        <w:t>5.</w:t>
      </w:r>
      <w:r w:rsidRPr="006905B5">
        <w:rPr>
          <w:rFonts w:ascii="Times New Roman" w:hAnsi="Times New Roman" w:cs="Times New Roman"/>
          <w:b/>
          <w:sz w:val="28"/>
          <w:szCs w:val="28"/>
          <w:u w:val="single"/>
        </w:rPr>
        <w:t xml:space="preserve"> Špecifické</w:t>
      </w:r>
      <w:r w:rsidRPr="006905B5" w:rsidR="00FC4262">
        <w:rPr>
          <w:rFonts w:ascii="Times New Roman" w:hAnsi="Times New Roman" w:cs="Times New Roman"/>
          <w:b/>
          <w:sz w:val="28"/>
          <w:szCs w:val="28"/>
          <w:u w:val="single"/>
        </w:rPr>
        <w:t xml:space="preserve"> odborné</w:t>
      </w:r>
      <w:r w:rsidRPr="006905B5">
        <w:rPr>
          <w:rFonts w:ascii="Times New Roman" w:hAnsi="Times New Roman" w:cs="Times New Roman"/>
          <w:b/>
          <w:sz w:val="28"/>
          <w:szCs w:val="28"/>
          <w:u w:val="single"/>
        </w:rPr>
        <w:t xml:space="preserve"> problémy rezortu</w:t>
      </w:r>
    </w:p>
    <w:p w:rsidR="006E160D" w:rsidRPr="006905B5" w:rsidP="008F515D">
      <w:pPr>
        <w:ind w:firstLine="708"/>
        <w:jc w:val="both"/>
        <w:rPr>
          <w:rFonts w:ascii="Times New Roman" w:hAnsi="Times New Roman" w:cs="Times New Roman"/>
        </w:rPr>
      </w:pPr>
      <w:r w:rsidRPr="006905B5" w:rsidR="00A536CC">
        <w:rPr>
          <w:rFonts w:ascii="Times New Roman" w:hAnsi="Times New Roman" w:cs="Times New Roman"/>
        </w:rPr>
        <w:t>Reforma predchádzajúceho vedenia MZ zanechala</w:t>
      </w:r>
      <w:r w:rsidRPr="006905B5" w:rsidR="00954AC1">
        <w:rPr>
          <w:rFonts w:ascii="Times New Roman" w:hAnsi="Times New Roman" w:cs="Times New Roman"/>
        </w:rPr>
        <w:t xml:space="preserve"> tomu súčasnému </w:t>
      </w:r>
      <w:r w:rsidRPr="006905B5" w:rsidR="00A536CC">
        <w:rPr>
          <w:rFonts w:ascii="Times New Roman" w:hAnsi="Times New Roman" w:cs="Times New Roman"/>
        </w:rPr>
        <w:t xml:space="preserve"> príliš veľa </w:t>
      </w:r>
      <w:r w:rsidRPr="006905B5" w:rsidR="005A0308">
        <w:rPr>
          <w:rFonts w:ascii="Times New Roman" w:hAnsi="Times New Roman" w:cs="Times New Roman"/>
        </w:rPr>
        <w:t xml:space="preserve"> </w:t>
      </w:r>
      <w:r w:rsidRPr="006905B5" w:rsidR="00A536CC">
        <w:rPr>
          <w:rFonts w:ascii="Times New Roman" w:hAnsi="Times New Roman" w:cs="Times New Roman"/>
        </w:rPr>
        <w:t xml:space="preserve">skrytých nástrah, ktoré </w:t>
      </w:r>
      <w:r w:rsidRPr="006905B5" w:rsidR="00954AC1">
        <w:rPr>
          <w:rFonts w:ascii="Times New Roman" w:hAnsi="Times New Roman" w:cs="Times New Roman"/>
        </w:rPr>
        <w:t>sú postupne</w:t>
      </w:r>
      <w:r w:rsidRPr="006905B5" w:rsidR="00A536CC">
        <w:rPr>
          <w:rFonts w:ascii="Times New Roman" w:hAnsi="Times New Roman" w:cs="Times New Roman"/>
        </w:rPr>
        <w:t xml:space="preserve"> odhaľ</w:t>
      </w:r>
      <w:r w:rsidRPr="006905B5" w:rsidR="00954AC1">
        <w:rPr>
          <w:rFonts w:ascii="Times New Roman" w:hAnsi="Times New Roman" w:cs="Times New Roman"/>
        </w:rPr>
        <w:t xml:space="preserve">ované </w:t>
      </w:r>
      <w:r w:rsidRPr="006905B5" w:rsidR="00A536CC">
        <w:rPr>
          <w:rFonts w:ascii="Times New Roman" w:hAnsi="Times New Roman" w:cs="Times New Roman"/>
        </w:rPr>
        <w:t xml:space="preserve"> a</w:t>
      </w:r>
      <w:r w:rsidRPr="006905B5" w:rsidR="00954AC1">
        <w:rPr>
          <w:rFonts w:ascii="Times New Roman" w:hAnsi="Times New Roman" w:cs="Times New Roman"/>
        </w:rPr>
        <w:t xml:space="preserve"> je potrebné </w:t>
      </w:r>
      <w:r w:rsidRPr="006905B5" w:rsidR="00A536CC">
        <w:rPr>
          <w:rFonts w:ascii="Times New Roman" w:hAnsi="Times New Roman" w:cs="Times New Roman"/>
        </w:rPr>
        <w:t xml:space="preserve">sa s nimi vysporiadať. </w:t>
      </w:r>
      <w:r w:rsidRPr="006905B5" w:rsidR="00406056">
        <w:rPr>
          <w:rFonts w:ascii="Times New Roman" w:hAnsi="Times New Roman" w:cs="Times New Roman"/>
        </w:rPr>
        <w:t xml:space="preserve">V tejto správe nie je možné poukázať na všetky </w:t>
      </w:r>
      <w:r w:rsidRPr="006905B5" w:rsidR="003A6EC6">
        <w:rPr>
          <w:rFonts w:ascii="Times New Roman" w:hAnsi="Times New Roman" w:cs="Times New Roman"/>
        </w:rPr>
        <w:t>problémy</w:t>
      </w:r>
      <w:r w:rsidRPr="006905B5" w:rsidR="00352EE4">
        <w:rPr>
          <w:rFonts w:ascii="Times New Roman" w:hAnsi="Times New Roman" w:cs="Times New Roman"/>
        </w:rPr>
        <w:t>:</w:t>
      </w:r>
      <w:r w:rsidRPr="006905B5">
        <w:rPr>
          <w:rFonts w:ascii="Times New Roman" w:hAnsi="Times New Roman" w:cs="Times New Roman"/>
        </w:rPr>
        <w:t xml:space="preserve">  </w:t>
      </w:r>
      <w:r w:rsidRPr="006905B5" w:rsidR="00352EE4">
        <w:rPr>
          <w:rFonts w:ascii="Times New Roman" w:hAnsi="Times New Roman" w:cs="Times New Roman"/>
        </w:rPr>
        <w:t xml:space="preserve">po prvé - </w:t>
      </w:r>
      <w:r w:rsidRPr="006905B5">
        <w:rPr>
          <w:rFonts w:ascii="Times New Roman" w:hAnsi="Times New Roman" w:cs="Times New Roman"/>
        </w:rPr>
        <w:t xml:space="preserve">je ich príliš veľa a tento priestor  to nedovoľuje. </w:t>
      </w:r>
      <w:r w:rsidRPr="006905B5" w:rsidR="00352EE4">
        <w:rPr>
          <w:rFonts w:ascii="Times New Roman" w:hAnsi="Times New Roman" w:cs="Times New Roman"/>
        </w:rPr>
        <w:t xml:space="preserve">Po druhé – nie všetky problémy vedenie rezortu </w:t>
      </w:r>
      <w:r w:rsidRPr="006905B5" w:rsidR="006C4A95">
        <w:rPr>
          <w:rFonts w:ascii="Times New Roman" w:hAnsi="Times New Roman" w:cs="Times New Roman"/>
        </w:rPr>
        <w:t xml:space="preserve">zatiaľ </w:t>
      </w:r>
      <w:r w:rsidRPr="006905B5" w:rsidR="00352EE4">
        <w:rPr>
          <w:rFonts w:ascii="Times New Roman" w:hAnsi="Times New Roman" w:cs="Times New Roman"/>
        </w:rPr>
        <w:t xml:space="preserve">pozná, pretože </w:t>
      </w:r>
      <w:r w:rsidRPr="006905B5" w:rsidR="0010798D">
        <w:rPr>
          <w:rFonts w:ascii="Times New Roman" w:hAnsi="Times New Roman" w:cs="Times New Roman"/>
        </w:rPr>
        <w:t xml:space="preserve">predchádzajúce vedenie o nich </w:t>
      </w:r>
      <w:r w:rsidRPr="006905B5" w:rsidR="009C73C2">
        <w:rPr>
          <w:rFonts w:ascii="Times New Roman" w:hAnsi="Times New Roman" w:cs="Times New Roman"/>
        </w:rPr>
        <w:t>mlčí</w:t>
      </w:r>
      <w:r w:rsidRPr="006905B5" w:rsidR="006C4A95">
        <w:rPr>
          <w:rFonts w:ascii="Times New Roman" w:hAnsi="Times New Roman" w:cs="Times New Roman"/>
        </w:rPr>
        <w:t xml:space="preserve"> a sami </w:t>
      </w:r>
      <w:r w:rsidRPr="006905B5" w:rsidR="009C73C2">
        <w:rPr>
          <w:rFonts w:ascii="Times New Roman" w:hAnsi="Times New Roman" w:cs="Times New Roman"/>
        </w:rPr>
        <w:t>vy</w:t>
      </w:r>
      <w:r w:rsidRPr="006905B5" w:rsidR="0010798D">
        <w:rPr>
          <w:rFonts w:ascii="Times New Roman" w:hAnsi="Times New Roman" w:cs="Times New Roman"/>
        </w:rPr>
        <w:t>chádzajú na povrch len po</w:t>
      </w:r>
      <w:r w:rsidRPr="006905B5" w:rsidR="008F515D">
        <w:rPr>
          <w:rFonts w:ascii="Times New Roman" w:hAnsi="Times New Roman" w:cs="Times New Roman"/>
        </w:rPr>
        <w:t>maly</w:t>
      </w:r>
      <w:r w:rsidRPr="006905B5" w:rsidR="0010798D">
        <w:rPr>
          <w:rFonts w:ascii="Times New Roman" w:hAnsi="Times New Roman" w:cs="Times New Roman"/>
        </w:rPr>
        <w:t xml:space="preserve">. </w:t>
      </w:r>
      <w:r w:rsidRPr="006905B5" w:rsidR="008F515D">
        <w:rPr>
          <w:rFonts w:ascii="Times New Roman" w:hAnsi="Times New Roman" w:cs="Times New Roman"/>
        </w:rPr>
        <w:t xml:space="preserve">Nemožno však nepoukázať </w:t>
      </w:r>
      <w:r w:rsidRPr="006905B5" w:rsidR="00852D23">
        <w:rPr>
          <w:rFonts w:ascii="Times New Roman" w:hAnsi="Times New Roman" w:cs="Times New Roman"/>
        </w:rPr>
        <w:t>aspoň</w:t>
      </w:r>
      <w:r w:rsidRPr="006905B5" w:rsidR="008F515D">
        <w:rPr>
          <w:rFonts w:ascii="Times New Roman" w:hAnsi="Times New Roman" w:cs="Times New Roman"/>
        </w:rPr>
        <w:t xml:space="preserve"> na niektoré z nich.</w:t>
      </w:r>
    </w:p>
    <w:p w:rsidR="00336C19" w:rsidRPr="006905B5" w:rsidP="00336C19">
      <w:pPr>
        <w:autoSpaceDE/>
        <w:autoSpaceDN/>
        <w:spacing w:line="240" w:lineRule="atLeast"/>
        <w:rPr>
          <w:rFonts w:ascii="Times New Roman" w:hAnsi="Times New Roman" w:cs="Times New Roman"/>
          <w:b/>
        </w:rPr>
      </w:pPr>
    </w:p>
    <w:p w:rsidR="00D03E41" w:rsidRPr="006905B5" w:rsidP="00D03E41">
      <w:pPr>
        <w:autoSpaceDE/>
        <w:autoSpaceDN/>
        <w:spacing w:line="240" w:lineRule="atLeast"/>
        <w:ind w:firstLine="708"/>
        <w:jc w:val="both"/>
        <w:rPr>
          <w:rFonts w:ascii="Times New Roman" w:hAnsi="Times New Roman" w:cs="Times New Roman"/>
        </w:rPr>
      </w:pPr>
      <w:r w:rsidRPr="006905B5" w:rsidR="008C0A48">
        <w:rPr>
          <w:rFonts w:ascii="Times New Roman" w:hAnsi="Times New Roman" w:cs="Times New Roman"/>
        </w:rPr>
        <w:t xml:space="preserve">Z celkového rezortu </w:t>
      </w:r>
      <w:r w:rsidRPr="006905B5" w:rsidR="00852D23">
        <w:rPr>
          <w:rFonts w:ascii="Times New Roman" w:hAnsi="Times New Roman" w:cs="Times New Roman"/>
        </w:rPr>
        <w:t xml:space="preserve">názorne poukážeme na </w:t>
      </w:r>
      <w:r w:rsidRPr="006905B5" w:rsidR="008C0A48">
        <w:rPr>
          <w:rFonts w:ascii="Times New Roman" w:hAnsi="Times New Roman" w:cs="Times New Roman"/>
        </w:rPr>
        <w:t xml:space="preserve"> jeden segment –</w:t>
      </w:r>
      <w:r w:rsidRPr="006905B5" w:rsidR="005E5892">
        <w:rPr>
          <w:rFonts w:ascii="Times New Roman" w:hAnsi="Times New Roman" w:cs="Times New Roman"/>
        </w:rPr>
        <w:t xml:space="preserve"> radiačnú</w:t>
      </w:r>
      <w:r w:rsidRPr="006905B5" w:rsidR="008C0A48">
        <w:rPr>
          <w:rFonts w:ascii="Times New Roman" w:hAnsi="Times New Roman" w:cs="Times New Roman"/>
        </w:rPr>
        <w:t xml:space="preserve"> onkológi</w:t>
      </w:r>
      <w:r w:rsidRPr="006905B5" w:rsidR="005E5892">
        <w:rPr>
          <w:rFonts w:ascii="Times New Roman" w:hAnsi="Times New Roman" w:cs="Times New Roman"/>
        </w:rPr>
        <w:t>u</w:t>
      </w:r>
      <w:r w:rsidRPr="006905B5" w:rsidR="008C0A48">
        <w:rPr>
          <w:rFonts w:ascii="Times New Roman" w:hAnsi="Times New Roman" w:cs="Times New Roman"/>
        </w:rPr>
        <w:t xml:space="preserve"> – ktorý dokonale ilustruje celkový stav zdravotníctva v oblasti plánovania </w:t>
      </w:r>
      <w:r w:rsidRPr="006905B5">
        <w:rPr>
          <w:rFonts w:ascii="Times New Roman" w:hAnsi="Times New Roman" w:cs="Times New Roman"/>
        </w:rPr>
        <w:t>a</w:t>
      </w:r>
      <w:r w:rsidRPr="006905B5">
        <w:rPr>
          <w:rFonts w:ascii="Times New Roman" w:hAnsi="Times New Roman" w:cs="Times New Roman"/>
          <w:color w:val="0000FF"/>
        </w:rPr>
        <w:t xml:space="preserve"> </w:t>
      </w:r>
      <w:r w:rsidRPr="006905B5" w:rsidR="008C0A48">
        <w:rPr>
          <w:rFonts w:ascii="Times New Roman" w:hAnsi="Times New Roman" w:cs="Times New Roman"/>
        </w:rPr>
        <w:t xml:space="preserve">obnovy strategickej medicínskej techniky. </w:t>
      </w:r>
    </w:p>
    <w:p w:rsidR="00D03E41" w:rsidP="00D03E41">
      <w:pPr>
        <w:autoSpaceDE/>
        <w:autoSpaceDN/>
        <w:spacing w:line="240" w:lineRule="atLeast"/>
        <w:ind w:firstLine="708"/>
        <w:jc w:val="both"/>
        <w:rPr>
          <w:rFonts w:ascii="Times New Roman" w:hAnsi="Times New Roman" w:cs="Times New Roman"/>
        </w:rPr>
      </w:pPr>
    </w:p>
    <w:p w:rsidR="00DB4CD5" w:rsidRPr="00DB4CD5" w:rsidP="00DB4CD5">
      <w:pPr>
        <w:autoSpaceDE/>
        <w:autoSpaceDN/>
        <w:spacing w:line="240" w:lineRule="atLeast"/>
        <w:jc w:val="both"/>
        <w:rPr>
          <w:rFonts w:ascii="Times New Roman" w:hAnsi="Times New Roman" w:cs="Times New Roman"/>
          <w:b/>
        </w:rPr>
      </w:pPr>
      <w:r w:rsidRPr="00DB4CD5">
        <w:rPr>
          <w:rFonts w:ascii="Times New Roman" w:hAnsi="Times New Roman" w:cs="Times New Roman"/>
          <w:b/>
        </w:rPr>
        <w:t>R</w:t>
      </w:r>
      <w:r>
        <w:rPr>
          <w:rFonts w:ascii="Times New Roman" w:hAnsi="Times New Roman" w:cs="Times New Roman"/>
          <w:b/>
        </w:rPr>
        <w:t>a</w:t>
      </w:r>
      <w:r w:rsidRPr="00DB4CD5">
        <w:rPr>
          <w:rFonts w:ascii="Times New Roman" w:hAnsi="Times New Roman" w:cs="Times New Roman"/>
          <w:b/>
        </w:rPr>
        <w:t>diačná onkológia</w:t>
      </w:r>
    </w:p>
    <w:p w:rsidR="00DB4CD5" w:rsidRPr="006905B5" w:rsidP="00D03E41">
      <w:pPr>
        <w:autoSpaceDE/>
        <w:autoSpaceDN/>
        <w:spacing w:line="240" w:lineRule="atLeast"/>
        <w:ind w:firstLine="708"/>
        <w:jc w:val="both"/>
        <w:rPr>
          <w:rFonts w:ascii="Times New Roman" w:hAnsi="Times New Roman" w:cs="Times New Roman"/>
        </w:rPr>
      </w:pPr>
    </w:p>
    <w:p w:rsidR="00D03E41" w:rsidRPr="006905B5" w:rsidP="00042A13">
      <w:pPr>
        <w:autoSpaceDE/>
        <w:autoSpaceDN/>
        <w:spacing w:line="240" w:lineRule="atLeast"/>
        <w:ind w:firstLine="708"/>
        <w:jc w:val="both"/>
        <w:rPr>
          <w:rFonts w:ascii="Times New Roman" w:hAnsi="Times New Roman" w:cs="Times New Roman"/>
        </w:rPr>
      </w:pPr>
      <w:r w:rsidRPr="006905B5">
        <w:rPr>
          <w:rFonts w:ascii="Times New Roman" w:hAnsi="Times New Roman" w:cs="Times New Roman"/>
        </w:rPr>
        <w:t>Počas celého obdobia rokov 2002 - 2006 vedenie rezortu nezabezpečilo náležitú obnovu zariadení radiačnej onkológie. Posledný  nákup lineárnych urýchľovačov pre oddelenia radiačnej onkológie zdravotníckych zariadení sa uskutočnil  z finančných prostriedkov zo štátneho rozpočtu spoločne, skupinovým nákupom (projekt Inter G 1991, 1994 Siemens) pred 16 rokmi.  Za posledných 8  rokov sa zrealizovala obnova  len 3 lineárnych urýchľovačov (OÚSA Bratislava r. 2003, FN Trenčín r. 2004  a VOÚ v Košiciach r. 2005) a 6 kobaltových žiaričov v roku 2004 (FNsP Banská Bystrica, OÚSA Bratislava, VOÚ Košice, MFN Martin, FN Nitra a NsP Žilina). V súčasnosti je doslova v havarijnom stave sieť 14 pracovísk:</w:t>
      </w:r>
    </w:p>
    <w:p w:rsidR="00D03E41" w:rsidRPr="006905B5" w:rsidP="00042A13">
      <w:pPr>
        <w:autoSpaceDE/>
        <w:autoSpaceDN/>
        <w:spacing w:line="240" w:lineRule="atLeast"/>
        <w:ind w:firstLine="708"/>
        <w:jc w:val="both"/>
        <w:rPr>
          <w:rFonts w:ascii="Times New Roman" w:hAnsi="Times New Roman" w:cs="Times New Roman"/>
        </w:rPr>
      </w:pPr>
      <w:r w:rsidRPr="006905B5">
        <w:rPr>
          <w:rFonts w:ascii="Times New Roman" w:hAnsi="Times New Roman" w:cs="Times New Roman"/>
        </w:rPr>
        <w:t>- 8 pracovísk má jediný lineárny urýchľovač, všetky sú staršie ako 14 rokov pričom životnosť urýchľovača je 8 rokov. Tieto lineárne urýchľovače nie sú vybavené ani mnoholamelovým kolimátorom, ani portálovým zobrazovaním, preto nespĺňajú najzákladnejšie podmienky na súčasnú kvalitu rádioterapie</w:t>
      </w:r>
    </w:p>
    <w:p w:rsidR="00D03E41" w:rsidRPr="006905B5" w:rsidP="00042A13">
      <w:pPr>
        <w:autoSpaceDE/>
        <w:autoSpaceDN/>
        <w:spacing w:line="240" w:lineRule="atLeast"/>
        <w:ind w:firstLine="708"/>
        <w:jc w:val="both"/>
        <w:rPr>
          <w:rFonts w:ascii="Times New Roman" w:hAnsi="Times New Roman" w:cs="Times New Roman"/>
        </w:rPr>
      </w:pPr>
      <w:r w:rsidRPr="006905B5">
        <w:rPr>
          <w:rFonts w:ascii="Times New Roman" w:hAnsi="Times New Roman" w:cs="Times New Roman"/>
        </w:rPr>
        <w:t xml:space="preserve">-5 pracovísk má len kobaltový ožarovač starý 16 – 31 rokov </w:t>
      </w:r>
    </w:p>
    <w:p w:rsidR="007D34C7" w:rsidRPr="006905B5" w:rsidP="00956516">
      <w:pPr>
        <w:autoSpaceDE/>
        <w:autoSpaceDN/>
        <w:spacing w:line="240" w:lineRule="atLeast"/>
        <w:ind w:firstLine="708"/>
        <w:jc w:val="both"/>
        <w:rPr>
          <w:rFonts w:ascii="Times New Roman" w:hAnsi="Times New Roman" w:cs="Times New Roman"/>
        </w:rPr>
      </w:pPr>
      <w:r w:rsidRPr="006905B5" w:rsidR="00D03E41">
        <w:rPr>
          <w:rFonts w:ascii="Times New Roman" w:hAnsi="Times New Roman" w:cs="Times New Roman"/>
        </w:rPr>
        <w:t>-Brachyterapie</w:t>
      </w:r>
      <w:r w:rsidRPr="006905B5">
        <w:rPr>
          <w:rStyle w:val="FootnoteReference"/>
          <w:rFonts w:ascii="Symbol" w:hAnsi="Symbol" w:cs="Times New Roman"/>
        </w:rPr>
        <w:sym w:font="Symbol" w:char="F02A"/>
      </w:r>
      <w:r w:rsidRPr="006905B5" w:rsidR="00D03E41">
        <w:rPr>
          <w:rFonts w:ascii="Times New Roman" w:hAnsi="Times New Roman" w:cs="Times New Roman"/>
        </w:rPr>
        <w:t xml:space="preserve"> majú 14 – 23 ročné technológie</w:t>
      </w:r>
      <w:r w:rsidRPr="006905B5" w:rsidR="00956516">
        <w:rPr>
          <w:rFonts w:ascii="Times New Roman" w:hAnsi="Times New Roman" w:cs="Times New Roman"/>
        </w:rPr>
        <w:t xml:space="preserve"> </w:t>
      </w:r>
    </w:p>
    <w:p w:rsidR="00956516" w:rsidRPr="006905B5" w:rsidP="00042A13">
      <w:pPr>
        <w:autoSpaceDE/>
        <w:autoSpaceDN/>
        <w:spacing w:line="240" w:lineRule="atLeast"/>
        <w:ind w:firstLine="708"/>
        <w:jc w:val="both"/>
        <w:rPr>
          <w:rFonts w:ascii="Times New Roman" w:hAnsi="Times New Roman" w:cs="Times New Roman"/>
        </w:rPr>
      </w:pPr>
    </w:p>
    <w:p w:rsidR="00D03E41" w:rsidRPr="006905B5" w:rsidP="00042A13">
      <w:pPr>
        <w:autoSpaceDE/>
        <w:autoSpaceDN/>
        <w:spacing w:line="240" w:lineRule="atLeast"/>
        <w:ind w:firstLine="708"/>
        <w:jc w:val="both"/>
        <w:rPr>
          <w:rFonts w:ascii="Times New Roman" w:hAnsi="Times New Roman" w:cs="Times New Roman"/>
        </w:rPr>
      </w:pPr>
      <w:r w:rsidRPr="006905B5">
        <w:rPr>
          <w:rFonts w:ascii="Times New Roman" w:hAnsi="Times New Roman" w:cs="Times New Roman"/>
        </w:rPr>
        <w:t xml:space="preserve">V novej Koncepcii zdravotnej starostlivosti v odbore radiačná onkológia sa uvádza, že finančné krytie obmeny zastaranej a nevyhovujúcej zdravotníckej techniky v odbore radiačná onkológia je potrebné riešiť systémovo, najmä zreálnením platieb za liečbu a zdravotnícke výkony. Napriek tomuto poznaniu </w:t>
      </w:r>
      <w:r w:rsidRPr="006905B5" w:rsidR="007F0E80">
        <w:rPr>
          <w:rFonts w:ascii="Times New Roman" w:hAnsi="Times New Roman" w:cs="Times New Roman"/>
        </w:rPr>
        <w:t>boli v júli 2006 deregulované ceny a nastavené ceny, ktoré platia zdravotné poistenie postačujú ledva na prevádzku, nieto na reprodukciu tejto náročnej techniky.</w:t>
      </w:r>
    </w:p>
    <w:p w:rsidR="008C0A48" w:rsidRPr="006905B5" w:rsidP="00042A13">
      <w:pPr>
        <w:autoSpaceDE/>
        <w:autoSpaceDN/>
        <w:spacing w:line="240" w:lineRule="atLeast"/>
        <w:ind w:firstLine="708"/>
        <w:jc w:val="both"/>
        <w:rPr>
          <w:rFonts w:ascii="Times New Roman" w:hAnsi="Times New Roman" w:cs="Times New Roman"/>
        </w:rPr>
      </w:pPr>
      <w:r w:rsidRPr="006905B5" w:rsidR="00D03E41">
        <w:rPr>
          <w:rFonts w:ascii="Times New Roman" w:hAnsi="Times New Roman" w:cs="Times New Roman"/>
        </w:rPr>
        <w:t xml:space="preserve">Na odstránenie </w:t>
      </w:r>
      <w:r w:rsidRPr="006905B5" w:rsidR="007F0E80">
        <w:rPr>
          <w:rFonts w:ascii="Times New Roman" w:hAnsi="Times New Roman" w:cs="Times New Roman"/>
        </w:rPr>
        <w:t xml:space="preserve">nežiaduceho a </w:t>
      </w:r>
      <w:r w:rsidRPr="006905B5" w:rsidR="00D03E41">
        <w:rPr>
          <w:rFonts w:ascii="Times New Roman" w:hAnsi="Times New Roman" w:cs="Times New Roman"/>
        </w:rPr>
        <w:t>havarijného  stavu medicínskej techniky v odbore radiačná onkológia je nutné postupne investovať v priebehu krátkeho času predbežným odhadom minimálne 1,57 miliardy Sk.</w:t>
      </w:r>
      <w:r w:rsidRPr="006905B5" w:rsidR="007F0E80">
        <w:rPr>
          <w:rFonts w:ascii="Times New Roman" w:hAnsi="Times New Roman" w:cs="Times New Roman"/>
        </w:rPr>
        <w:t xml:space="preserve"> Ako to môže rezort zabezpečiť, keď pridelené finančné prostriedky na kapitálové výdavky v roku 2007 sú 198 mil. Sk.</w:t>
      </w:r>
    </w:p>
    <w:p w:rsidR="00336C19" w:rsidRPr="006905B5" w:rsidP="00042A13">
      <w:pPr>
        <w:autoSpaceDE/>
        <w:autoSpaceDN/>
        <w:spacing w:line="240" w:lineRule="atLeast"/>
        <w:ind w:firstLine="708"/>
        <w:jc w:val="both"/>
        <w:rPr>
          <w:rFonts w:ascii="Times New Roman" w:hAnsi="Times New Roman" w:cs="Times New Roman"/>
        </w:rPr>
      </w:pPr>
      <w:r w:rsidR="00DB4CD5">
        <w:rPr>
          <w:rFonts w:ascii="Times New Roman" w:hAnsi="Times New Roman" w:cs="Times New Roman"/>
        </w:rPr>
        <w:t>V</w:t>
      </w:r>
      <w:r w:rsidRPr="006905B5" w:rsidR="007F0E80">
        <w:rPr>
          <w:rFonts w:ascii="Times New Roman" w:hAnsi="Times New Roman" w:cs="Times New Roman"/>
        </w:rPr>
        <w:t>ýsky</w:t>
      </w:r>
      <w:r w:rsidRPr="006905B5">
        <w:rPr>
          <w:rFonts w:ascii="Times New Roman" w:hAnsi="Times New Roman" w:cs="Times New Roman"/>
        </w:rPr>
        <w:t xml:space="preserve">t onkologických ochorení má v Slovenskej republike rastúcu tendenciu, </w:t>
      </w:r>
      <w:r w:rsidRPr="006905B5" w:rsidR="00541B82">
        <w:rPr>
          <w:rFonts w:ascii="Times New Roman" w:hAnsi="Times New Roman" w:cs="Times New Roman"/>
        </w:rPr>
        <w:t xml:space="preserve">počet novodiagnostikovaných pacientov s nádorovým ochorením raste približne o 3,1% ročne, </w:t>
      </w:r>
      <w:r w:rsidRPr="006905B5">
        <w:rPr>
          <w:rFonts w:ascii="Times New Roman" w:hAnsi="Times New Roman" w:cs="Times New Roman"/>
        </w:rPr>
        <w:t>preto je nevyhnutné podporiť obnovu zdravotníckej techniky na  vybraných pracoviskách radiačnej onkológie prostredníctvom finančných pr</w:t>
      </w:r>
      <w:r w:rsidRPr="006905B5" w:rsidR="007F0E80">
        <w:rPr>
          <w:rFonts w:ascii="Times New Roman" w:hAnsi="Times New Roman" w:cs="Times New Roman"/>
        </w:rPr>
        <w:t xml:space="preserve">ostriedkov zo štátneho rozpočtu splátkovým spôsobom. V </w:t>
      </w:r>
      <w:r w:rsidRPr="006905B5">
        <w:rPr>
          <w:rFonts w:ascii="Times New Roman" w:hAnsi="Times New Roman" w:cs="Times New Roman"/>
        </w:rPr>
        <w:t xml:space="preserve"> roku 2007  MZ SR poskytne</w:t>
      </w:r>
      <w:r w:rsidR="00DB4CD5">
        <w:rPr>
          <w:rFonts w:ascii="Times New Roman" w:hAnsi="Times New Roman" w:cs="Times New Roman"/>
        </w:rPr>
        <w:t xml:space="preserve"> štartovacie</w:t>
      </w:r>
      <w:r w:rsidRPr="006905B5">
        <w:rPr>
          <w:rFonts w:ascii="Times New Roman" w:hAnsi="Times New Roman" w:cs="Times New Roman"/>
        </w:rPr>
        <w:t xml:space="preserve"> finančné prostriedky 3 zdravotníckym zariadeniam na nákup lineárnych urýchľovačov. </w:t>
      </w:r>
    </w:p>
    <w:p w:rsidR="00336C19" w:rsidRPr="006905B5" w:rsidP="00E0464B">
      <w:pPr>
        <w:spacing w:line="360" w:lineRule="auto"/>
        <w:rPr>
          <w:rFonts w:ascii="Times New Roman" w:hAnsi="Times New Roman" w:cs="Times New Roman"/>
        </w:rPr>
      </w:pPr>
    </w:p>
    <w:p w:rsidR="003165D0" w:rsidRPr="006905B5" w:rsidP="00E0464B">
      <w:pPr>
        <w:spacing w:line="360" w:lineRule="auto"/>
        <w:rPr>
          <w:rFonts w:ascii="Times New Roman" w:hAnsi="Times New Roman" w:cs="Times New Roman"/>
          <w:b/>
        </w:rPr>
      </w:pPr>
      <w:r w:rsidRPr="006905B5">
        <w:rPr>
          <w:rFonts w:ascii="Times New Roman" w:hAnsi="Times New Roman" w:cs="Times New Roman"/>
          <w:b/>
        </w:rPr>
        <w:t>Verejné zdravotníctvo</w:t>
      </w:r>
      <w:r w:rsidRPr="006905B5" w:rsidR="00852C43">
        <w:rPr>
          <w:rFonts w:ascii="Times New Roman" w:hAnsi="Times New Roman" w:cs="Times New Roman"/>
          <w:b/>
        </w:rPr>
        <w:t xml:space="preserve"> – imunizačný program</w:t>
      </w:r>
    </w:p>
    <w:p w:rsidR="003165D0" w:rsidRPr="006905B5" w:rsidP="003165D0">
      <w:pPr>
        <w:ind w:firstLine="708"/>
        <w:jc w:val="both"/>
        <w:rPr>
          <w:rFonts w:ascii="Times New Roman" w:hAnsi="Times New Roman" w:cs="Times New Roman"/>
        </w:rPr>
      </w:pPr>
      <w:r w:rsidRPr="006905B5">
        <w:rPr>
          <w:rFonts w:ascii="Times New Roman" w:hAnsi="Times New Roman" w:cs="Times New Roman"/>
        </w:rPr>
        <w:t xml:space="preserve">V roku 2005 </w:t>
      </w:r>
      <w:r w:rsidR="00DB4CD5">
        <w:rPr>
          <w:rFonts w:ascii="Times New Roman" w:hAnsi="Times New Roman" w:cs="Times New Roman"/>
        </w:rPr>
        <w:t>sa zmenil</w:t>
      </w:r>
      <w:r w:rsidRPr="006905B5">
        <w:rPr>
          <w:rFonts w:ascii="Times New Roman" w:hAnsi="Times New Roman" w:cs="Times New Roman"/>
        </w:rPr>
        <w:t xml:space="preserve"> centráln</w:t>
      </w:r>
      <w:r w:rsidR="00DB4CD5">
        <w:rPr>
          <w:rFonts w:ascii="Times New Roman" w:hAnsi="Times New Roman" w:cs="Times New Roman"/>
        </w:rPr>
        <w:t>y</w:t>
      </w:r>
      <w:r w:rsidRPr="006905B5">
        <w:rPr>
          <w:rFonts w:ascii="Times New Roman" w:hAnsi="Times New Roman" w:cs="Times New Roman"/>
        </w:rPr>
        <w:t xml:space="preserve"> systém zabezpečovania očkovacích látok na decentralizovaný. Nový systém decentralizovaného zabezpečovania vakcín je kontraproduktívny a prakticky znemožňuje priame plánovanie, organizáciu  a koordináciu Imunizačného programu. Antigénne zloženie očkovacích látok podľa zákona síce určuje Úrad verejného zdravotníctva SR na základe odporúčania Imunizačnej komisie, ale kategorizáciu očkovacích látok realizuje pracovná skupina pre imunopreparáty, kategorizačná komisia a kategorizačná rada na základe žiadostí podaných výrobcami jednotlivých vakcín, ktoré nemusia byť v súlade s požiadavkami Úradu verejného zdravotníctva SR. </w:t>
      </w:r>
    </w:p>
    <w:p w:rsidR="003165D0" w:rsidRPr="006905B5" w:rsidP="003165D0">
      <w:pPr>
        <w:ind w:firstLine="708"/>
        <w:jc w:val="both"/>
        <w:rPr>
          <w:rFonts w:ascii="Times New Roman" w:hAnsi="Times New Roman" w:cs="Times New Roman"/>
        </w:rPr>
      </w:pPr>
      <w:r w:rsidRPr="006905B5">
        <w:rPr>
          <w:rFonts w:ascii="Times New Roman" w:hAnsi="Times New Roman" w:cs="Times New Roman"/>
        </w:rPr>
        <w:t>Zásadné nedostatky decentralizovaného systému:</w:t>
      </w:r>
    </w:p>
    <w:p w:rsidR="005831A0" w:rsidRPr="006905B5" w:rsidP="003165D0">
      <w:pPr>
        <w:numPr>
          <w:ilvl w:val="0"/>
          <w:numId w:val="11"/>
        </w:numPr>
        <w:tabs>
          <w:tab w:val="left" w:pos="360"/>
        </w:tabs>
        <w:jc w:val="both"/>
        <w:rPr>
          <w:rFonts w:ascii="Times New Roman" w:hAnsi="Times New Roman" w:cs="Times New Roman"/>
        </w:rPr>
      </w:pPr>
      <w:r w:rsidRPr="006905B5" w:rsidR="003165D0">
        <w:rPr>
          <w:rFonts w:ascii="Times New Roman" w:hAnsi="Times New Roman" w:cs="Times New Roman"/>
          <w:color w:val="000000"/>
        </w:rPr>
        <w:t xml:space="preserve">Zmena </w:t>
      </w:r>
      <w:r w:rsidRPr="006905B5" w:rsidR="003165D0">
        <w:rPr>
          <w:rFonts w:ascii="Times New Roman" w:hAnsi="Times New Roman" w:cs="Times New Roman"/>
        </w:rPr>
        <w:t>kompetencií pri realizácii Národného imunizačného programu, zrušenie odbornej komisie Ministerstva zdravotníctva SR (Pracovná skupina pre imunizáciu MZ SR), ktorej úlohou bolo pripravovať krátkodobú a dlhodobú stratégiu rozvoja Imunizačného programu v Slovenskej republike. Tým nastala prakticky likvidácia centrálneho riadenia a organizácie Národného imunizačného programu</w:t>
      </w:r>
      <w:r w:rsidRPr="006905B5">
        <w:rPr>
          <w:rFonts w:ascii="Times New Roman" w:hAnsi="Times New Roman" w:cs="Times New Roman"/>
        </w:rPr>
        <w:t>.</w:t>
      </w:r>
      <w:r w:rsidRPr="006905B5" w:rsidR="003165D0">
        <w:rPr>
          <w:rFonts w:ascii="Times New Roman" w:hAnsi="Times New Roman" w:cs="Times New Roman"/>
        </w:rPr>
        <w:t xml:space="preserve"> </w:t>
      </w:r>
    </w:p>
    <w:p w:rsidR="003165D0" w:rsidRPr="006905B5" w:rsidP="003165D0">
      <w:pPr>
        <w:numPr>
          <w:ilvl w:val="0"/>
          <w:numId w:val="11"/>
        </w:numPr>
        <w:tabs>
          <w:tab w:val="left" w:pos="360"/>
        </w:tabs>
        <w:jc w:val="both"/>
        <w:rPr>
          <w:rFonts w:ascii="Times New Roman" w:hAnsi="Times New Roman" w:cs="Times New Roman"/>
        </w:rPr>
      </w:pPr>
      <w:r w:rsidRPr="006905B5">
        <w:rPr>
          <w:rFonts w:ascii="Times New Roman" w:hAnsi="Times New Roman" w:cs="Times New Roman"/>
        </w:rPr>
        <w:t xml:space="preserve">Absencia centrálneho plánovania očkovacích látok, ktorá viedla k narušeniu včasnosti a plynulosti pravidelného povinného očkovania detí a dospelých. </w:t>
      </w:r>
    </w:p>
    <w:p w:rsidR="003165D0" w:rsidRPr="006905B5" w:rsidP="003165D0">
      <w:pPr>
        <w:numPr>
          <w:ilvl w:val="0"/>
          <w:numId w:val="11"/>
        </w:numPr>
        <w:tabs>
          <w:tab w:val="left" w:pos="360"/>
        </w:tabs>
        <w:jc w:val="both"/>
        <w:rPr>
          <w:rFonts w:ascii="Times New Roman" w:hAnsi="Times New Roman" w:cs="Times New Roman"/>
        </w:rPr>
      </w:pPr>
      <w:r w:rsidRPr="006905B5">
        <w:rPr>
          <w:rFonts w:ascii="Times New Roman" w:hAnsi="Times New Roman" w:cs="Times New Roman"/>
        </w:rPr>
        <w:t>Predraženie nákupu vakcín, nakoľko v cene vakcíny je zakalkulovaná aj marža distribútora</w:t>
      </w:r>
      <w:r w:rsidR="00DB4CD5">
        <w:rPr>
          <w:rFonts w:ascii="Times New Roman" w:hAnsi="Times New Roman" w:cs="Times New Roman"/>
        </w:rPr>
        <w:t>,</w:t>
      </w:r>
      <w:r w:rsidRPr="006905B5">
        <w:rPr>
          <w:rFonts w:ascii="Times New Roman" w:hAnsi="Times New Roman" w:cs="Times New Roman"/>
        </w:rPr>
        <w:t xml:space="preserve"> a</w:t>
      </w:r>
      <w:r w:rsidR="00DB4CD5">
        <w:rPr>
          <w:rFonts w:ascii="Times New Roman" w:hAnsi="Times New Roman" w:cs="Times New Roman"/>
        </w:rPr>
        <w:t>j</w:t>
      </w:r>
      <w:r w:rsidRPr="006905B5">
        <w:rPr>
          <w:rFonts w:ascii="Times New Roman" w:hAnsi="Times New Roman" w:cs="Times New Roman"/>
        </w:rPr>
        <w:t xml:space="preserve"> marža lekárne. </w:t>
      </w:r>
    </w:p>
    <w:p w:rsidR="003165D0" w:rsidRPr="006905B5" w:rsidP="003165D0">
      <w:pPr>
        <w:numPr>
          <w:ilvl w:val="0"/>
          <w:numId w:val="11"/>
        </w:numPr>
        <w:tabs>
          <w:tab w:val="left" w:pos="360"/>
        </w:tabs>
        <w:jc w:val="both"/>
        <w:rPr>
          <w:rFonts w:ascii="Times New Roman" w:hAnsi="Times New Roman" w:cs="Times New Roman"/>
        </w:rPr>
      </w:pPr>
      <w:r w:rsidRPr="006905B5">
        <w:rPr>
          <w:rFonts w:ascii="Times New Roman" w:hAnsi="Times New Roman" w:cs="Times New Roman"/>
        </w:rPr>
        <w:t>Problémy s nerovnomernosťou zásobovania lekární a následné výpadky vakcín na určitých územiach Slovenskej republiky.</w:t>
      </w:r>
    </w:p>
    <w:p w:rsidR="003165D0" w:rsidRPr="006905B5" w:rsidP="003165D0">
      <w:pPr>
        <w:jc w:val="both"/>
        <w:rPr>
          <w:rFonts w:ascii="Times New Roman" w:hAnsi="Times New Roman" w:cs="Times New Roman"/>
        </w:rPr>
      </w:pPr>
    </w:p>
    <w:p w:rsidR="00F46A15" w:rsidRPr="006905B5" w:rsidP="00042A13">
      <w:pPr>
        <w:jc w:val="both"/>
        <w:rPr>
          <w:rFonts w:ascii="Times New Roman" w:hAnsi="Times New Roman" w:cs="Times New Roman"/>
          <w:b/>
        </w:rPr>
      </w:pPr>
    </w:p>
    <w:p w:rsidR="00F46A15" w:rsidRPr="006905B5" w:rsidP="00042A13">
      <w:pPr>
        <w:jc w:val="both"/>
        <w:rPr>
          <w:rFonts w:ascii="Times New Roman" w:hAnsi="Times New Roman" w:cs="Times New Roman"/>
          <w:b/>
        </w:rPr>
      </w:pPr>
      <w:r w:rsidRPr="006905B5">
        <w:rPr>
          <w:rFonts w:ascii="Times New Roman" w:hAnsi="Times New Roman" w:cs="Times New Roman"/>
          <w:b/>
        </w:rPr>
        <w:t>FNsP Bratislava</w:t>
      </w:r>
    </w:p>
    <w:p w:rsidR="001933B3" w:rsidRPr="006905B5" w:rsidP="00042A13">
      <w:pPr>
        <w:jc w:val="both"/>
        <w:rPr>
          <w:rFonts w:ascii="Times New Roman" w:hAnsi="Times New Roman" w:cs="Times New Roman"/>
        </w:rPr>
      </w:pPr>
    </w:p>
    <w:p w:rsidR="001933B3" w:rsidRPr="006905B5" w:rsidP="00042A13">
      <w:pPr>
        <w:ind w:firstLine="708"/>
        <w:jc w:val="both"/>
        <w:rPr>
          <w:rFonts w:ascii="Times New Roman" w:hAnsi="Times New Roman" w:cs="Times New Roman"/>
        </w:rPr>
      </w:pPr>
      <w:r w:rsidRPr="006905B5">
        <w:rPr>
          <w:rFonts w:ascii="Times New Roman" w:hAnsi="Times New Roman" w:cs="Times New Roman"/>
        </w:rPr>
        <w:t>Vývoj v tomto zdravotníckom zariadení bol aj pre nezainteresovaného pozorovateľa mimoriadne pozoruhodný</w:t>
      </w:r>
      <w:r w:rsidRPr="006905B5" w:rsidR="005936DC">
        <w:rPr>
          <w:rFonts w:ascii="Times New Roman" w:hAnsi="Times New Roman" w:cs="Times New Roman"/>
        </w:rPr>
        <w:t>, preto ho uvádzame v skratke ako typický príklad presadzovania vplyvu záujmových skupín</w:t>
      </w:r>
      <w:r w:rsidRPr="006905B5" w:rsidR="0093065C">
        <w:rPr>
          <w:rFonts w:ascii="Times New Roman" w:hAnsi="Times New Roman" w:cs="Times New Roman"/>
        </w:rPr>
        <w:t xml:space="preserve"> v rezorte zdravotníctva.</w:t>
      </w:r>
      <w:r w:rsidRPr="006905B5" w:rsidR="005936DC">
        <w:rPr>
          <w:rFonts w:ascii="Times New Roman" w:hAnsi="Times New Roman" w:cs="Times New Roman"/>
        </w:rPr>
        <w:t xml:space="preserve"> </w:t>
      </w:r>
    </w:p>
    <w:p w:rsidR="000B5EA8" w:rsidRPr="006905B5" w:rsidP="00042A13">
      <w:pPr>
        <w:pStyle w:val="NormalWeb"/>
        <w:numPr>
          <w:ilvl w:val="0"/>
          <w:numId w:val="12"/>
        </w:numPr>
        <w:tabs>
          <w:tab w:val="left" w:pos="360"/>
        </w:tabs>
        <w:jc w:val="both"/>
        <w:rPr>
          <w:rFonts w:ascii="Times New Roman" w:hAnsi="Times New Roman" w:cs="Times New Roman"/>
        </w:rPr>
      </w:pPr>
      <w:r w:rsidR="007E5A33">
        <w:rPr>
          <w:rFonts w:ascii="Times New Roman" w:hAnsi="Times New Roman" w:cs="Times New Roman"/>
        </w:rPr>
        <w:t>S účinnosťou o</w:t>
      </w:r>
      <w:r w:rsidRPr="006905B5" w:rsidR="0024374E">
        <w:rPr>
          <w:rFonts w:ascii="Times New Roman" w:hAnsi="Times New Roman" w:cs="Times New Roman"/>
        </w:rPr>
        <w:t>d</w:t>
      </w:r>
      <w:r w:rsidR="007E5A33">
        <w:rPr>
          <w:rFonts w:ascii="Times New Roman" w:hAnsi="Times New Roman" w:cs="Times New Roman"/>
        </w:rPr>
        <w:t xml:space="preserve"> 1.12.2001</w:t>
      </w:r>
      <w:r w:rsidRPr="006905B5" w:rsidR="00D71D1B">
        <w:rPr>
          <w:rFonts w:ascii="Times New Roman" w:hAnsi="Times New Roman" w:cs="Times New Roman"/>
        </w:rPr>
        <w:t xml:space="preserve"> </w:t>
      </w:r>
      <w:r w:rsidR="007E5A33">
        <w:rPr>
          <w:rFonts w:ascii="Times New Roman" w:hAnsi="Times New Roman" w:cs="Times New Roman"/>
        </w:rPr>
        <w:t>bolo bez predchádzajúceho súhlasu ministerstva financií realizované zlúčenie</w:t>
      </w:r>
      <w:r w:rsidR="0048241D">
        <w:rPr>
          <w:rFonts w:ascii="Times New Roman" w:hAnsi="Times New Roman" w:cs="Times New Roman"/>
        </w:rPr>
        <w:t xml:space="preserve"> NsP Ružinov a FN Mickiewiczova</w:t>
      </w:r>
      <w:r w:rsidR="00301A47">
        <w:rPr>
          <w:rFonts w:ascii="Times New Roman" w:hAnsi="Times New Roman" w:cs="Times New Roman"/>
        </w:rPr>
        <w:t>, pričom nástupníckou organizáciou sa stala FN Bratislava</w:t>
      </w:r>
      <w:r w:rsidR="0048241D">
        <w:rPr>
          <w:rFonts w:ascii="Times New Roman" w:hAnsi="Times New Roman" w:cs="Times New Roman"/>
        </w:rPr>
        <w:t xml:space="preserve">. Následne od 1.1.2003 </w:t>
      </w:r>
      <w:r w:rsidR="00301A47">
        <w:rPr>
          <w:rFonts w:ascii="Times New Roman" w:hAnsi="Times New Roman" w:cs="Times New Roman"/>
        </w:rPr>
        <w:t>došlo na základe rozhodnutia ministra Rudolfa Zajaca k</w:t>
      </w:r>
      <w:r w:rsidR="00242753">
        <w:rPr>
          <w:rFonts w:ascii="Times New Roman" w:hAnsi="Times New Roman" w:cs="Times New Roman"/>
        </w:rPr>
        <w:t xml:space="preserve"> rozdeleniu uvedenej FN na dve štátne príspevkové organizácie s právnou subjektivitou. Od </w:t>
      </w:r>
      <w:r w:rsidRPr="006905B5">
        <w:rPr>
          <w:rFonts w:ascii="Times New Roman" w:hAnsi="Times New Roman" w:cs="Times New Roman"/>
        </w:rPr>
        <w:t>1. 1. 2005</w:t>
      </w:r>
      <w:r w:rsidRPr="006905B5" w:rsidR="00D71D1B">
        <w:rPr>
          <w:rFonts w:ascii="Times New Roman" w:hAnsi="Times New Roman" w:cs="Times New Roman"/>
        </w:rPr>
        <w:t xml:space="preserve"> </w:t>
      </w:r>
      <w:r w:rsidR="00242753">
        <w:rPr>
          <w:rFonts w:ascii="Times New Roman" w:hAnsi="Times New Roman" w:cs="Times New Roman"/>
        </w:rPr>
        <w:t xml:space="preserve">opäť </w:t>
      </w:r>
      <w:r w:rsidRPr="006905B5" w:rsidR="00D71D1B">
        <w:rPr>
          <w:rFonts w:ascii="Times New Roman" w:hAnsi="Times New Roman" w:cs="Times New Roman"/>
        </w:rPr>
        <w:t xml:space="preserve">došlo k zlúčeniu </w:t>
      </w:r>
      <w:r w:rsidRPr="006905B5" w:rsidR="00910993">
        <w:rPr>
          <w:rFonts w:ascii="Times New Roman" w:hAnsi="Times New Roman" w:cs="Times New Roman"/>
        </w:rPr>
        <w:t xml:space="preserve">6 bratislavských nemocníc do jednej FNsP Bratislava. </w:t>
      </w:r>
      <w:r w:rsidRPr="006905B5" w:rsidR="00F46A15">
        <w:rPr>
          <w:rFonts w:ascii="Times New Roman" w:hAnsi="Times New Roman" w:cs="Times New Roman"/>
        </w:rPr>
        <w:t xml:space="preserve">Pri zlúčení nemocníc nebol  definovaný </w:t>
      </w:r>
      <w:r w:rsidRPr="006905B5" w:rsidR="00837E45">
        <w:rPr>
          <w:rFonts w:ascii="Times New Roman" w:hAnsi="Times New Roman" w:cs="Times New Roman"/>
        </w:rPr>
        <w:t xml:space="preserve">sledovaný </w:t>
      </w:r>
      <w:r w:rsidRPr="006905B5" w:rsidR="00F46A15">
        <w:rPr>
          <w:rFonts w:ascii="Times New Roman" w:hAnsi="Times New Roman" w:cs="Times New Roman"/>
        </w:rPr>
        <w:t xml:space="preserve">cieľ </w:t>
      </w:r>
      <w:r w:rsidRPr="006905B5" w:rsidR="00E04EB2">
        <w:rPr>
          <w:rFonts w:ascii="Times New Roman" w:hAnsi="Times New Roman" w:cs="Times New Roman"/>
        </w:rPr>
        <w:t>a</w:t>
      </w:r>
      <w:r w:rsidRPr="006905B5" w:rsidR="00F46A15">
        <w:rPr>
          <w:rFonts w:ascii="Times New Roman" w:hAnsi="Times New Roman" w:cs="Times New Roman"/>
        </w:rPr>
        <w:t xml:space="preserve"> nebola prijatá koncepcia ďalšieho smerovania</w:t>
      </w:r>
      <w:r w:rsidRPr="006905B5" w:rsidR="00E04EB2">
        <w:rPr>
          <w:rFonts w:ascii="Times New Roman" w:hAnsi="Times New Roman" w:cs="Times New Roman"/>
        </w:rPr>
        <w:t xml:space="preserve"> FNsP</w:t>
      </w:r>
      <w:r w:rsidRPr="006905B5" w:rsidR="00F46A15">
        <w:rPr>
          <w:rFonts w:ascii="Times New Roman" w:hAnsi="Times New Roman" w:cs="Times New Roman"/>
        </w:rPr>
        <w:t>.</w:t>
      </w:r>
      <w:r w:rsidRPr="006905B5" w:rsidR="000C69D9">
        <w:rPr>
          <w:rFonts w:ascii="Times New Roman" w:hAnsi="Times New Roman" w:cs="Times New Roman"/>
        </w:rPr>
        <w:t xml:space="preserve"> Vzápätí, bez uvedenia akéhokoľvek logického dôvodu, </w:t>
      </w:r>
      <w:r w:rsidRPr="006905B5" w:rsidR="00F46A15">
        <w:rPr>
          <w:rFonts w:ascii="Times New Roman" w:hAnsi="Times New Roman" w:cs="Times New Roman"/>
        </w:rPr>
        <w:t xml:space="preserve">od 1.4.2006 došlo k odčleneniu dvoch pracovísk (Pezinok, Podunajské Biskupice). </w:t>
      </w:r>
    </w:p>
    <w:p w:rsidR="00C75B89" w:rsidRPr="006905B5" w:rsidP="00756D09">
      <w:pPr>
        <w:pStyle w:val="NormalWeb"/>
        <w:numPr>
          <w:ilvl w:val="0"/>
          <w:numId w:val="12"/>
        </w:numPr>
        <w:tabs>
          <w:tab w:val="left" w:pos="360"/>
        </w:tabs>
        <w:jc w:val="both"/>
        <w:rPr>
          <w:rFonts w:ascii="Times New Roman" w:hAnsi="Times New Roman" w:cs="Times New Roman"/>
        </w:rPr>
      </w:pPr>
      <w:r w:rsidRPr="006905B5" w:rsidR="00CC0EA8">
        <w:rPr>
          <w:rFonts w:ascii="Times New Roman" w:hAnsi="Times New Roman" w:cs="Times New Roman"/>
        </w:rPr>
        <w:t xml:space="preserve">Po zlúčení nemocníc </w:t>
      </w:r>
      <w:r w:rsidRPr="006905B5" w:rsidR="00F46A15">
        <w:rPr>
          <w:rFonts w:ascii="Times New Roman" w:hAnsi="Times New Roman" w:cs="Times New Roman"/>
        </w:rPr>
        <w:t>došlo ku spojeniu šiestich rozdielnych ekonomických systémov bez predchádzajúcej analýzy a potrebnej prípravy.</w:t>
      </w:r>
      <w:r w:rsidRPr="006905B5">
        <w:rPr>
          <w:rFonts w:ascii="Times New Roman" w:hAnsi="Times New Roman" w:cs="Times New Roman"/>
        </w:rPr>
        <w:t xml:space="preserve"> </w:t>
      </w:r>
      <w:r w:rsidRPr="006905B5" w:rsidR="00F46A15">
        <w:rPr>
          <w:rFonts w:ascii="Times New Roman" w:hAnsi="Times New Roman" w:cs="Times New Roman"/>
        </w:rPr>
        <w:t>Z toho vyplynuli výrazné nedostatky vo všetkých úsekoch ekonomických činnosti , ktoré sa odstraňujú ešte aj v súčasnej dobe</w:t>
      </w:r>
      <w:r w:rsidR="00756D09">
        <w:rPr>
          <w:rFonts w:ascii="Times New Roman" w:hAnsi="Times New Roman" w:cs="Times New Roman"/>
        </w:rPr>
        <w:t xml:space="preserve"> </w:t>
      </w:r>
      <w:r w:rsidRPr="006905B5" w:rsidR="00F46A15">
        <w:rPr>
          <w:rFonts w:ascii="Times New Roman" w:hAnsi="Times New Roman" w:cs="Times New Roman"/>
        </w:rPr>
        <w:t>(stav majetku, finančné plánovanie a rozpočtovanie). Neboli vypracované finančné</w:t>
      </w:r>
      <w:r w:rsidR="00756D09">
        <w:rPr>
          <w:rFonts w:ascii="Times New Roman" w:hAnsi="Times New Roman" w:cs="Times New Roman"/>
        </w:rPr>
        <w:t xml:space="preserve"> plány prevádzky a investícií.</w:t>
      </w:r>
    </w:p>
    <w:p w:rsidR="004F13B7" w:rsidRPr="006905B5" w:rsidP="0093065C">
      <w:pPr>
        <w:pStyle w:val="NormalWeb"/>
        <w:numPr>
          <w:ilvl w:val="0"/>
          <w:numId w:val="12"/>
        </w:numPr>
        <w:tabs>
          <w:tab w:val="left" w:pos="360"/>
        </w:tabs>
        <w:jc w:val="both"/>
        <w:rPr>
          <w:rFonts w:ascii="Times New Roman" w:hAnsi="Times New Roman" w:cs="Times New Roman"/>
        </w:rPr>
      </w:pPr>
      <w:r w:rsidRPr="006905B5" w:rsidR="00F46A15">
        <w:rPr>
          <w:rFonts w:ascii="Times New Roman" w:hAnsi="Times New Roman" w:cs="Times New Roman"/>
        </w:rPr>
        <w:t xml:space="preserve">Finančné zdroje z odpredaja prebytočného majetku štátu boli smerované prevažne do dvoch </w:t>
      </w:r>
      <w:r w:rsidRPr="006905B5">
        <w:rPr>
          <w:rFonts w:ascii="Times New Roman" w:hAnsi="Times New Roman" w:cs="Times New Roman"/>
        </w:rPr>
        <w:t xml:space="preserve">favorizovaných </w:t>
      </w:r>
      <w:r w:rsidRPr="006905B5" w:rsidR="00F46A15">
        <w:rPr>
          <w:rFonts w:ascii="Times New Roman" w:hAnsi="Times New Roman" w:cs="Times New Roman"/>
        </w:rPr>
        <w:t>častí nemocnice / pracoviska Kramáre a Ružinov/ bez pripraveného investičného plánu a bez ohľadu na požiadavky ostatných súčast</w:t>
      </w:r>
      <w:r w:rsidRPr="006905B5" w:rsidR="00C75B89">
        <w:rPr>
          <w:rFonts w:ascii="Times New Roman" w:hAnsi="Times New Roman" w:cs="Times New Roman"/>
        </w:rPr>
        <w:t>í</w:t>
      </w:r>
      <w:r w:rsidRPr="006905B5" w:rsidR="00F46A15">
        <w:rPr>
          <w:rFonts w:ascii="Times New Roman" w:hAnsi="Times New Roman" w:cs="Times New Roman"/>
        </w:rPr>
        <w:t xml:space="preserve"> FNsP.</w:t>
      </w:r>
      <w:r w:rsidRPr="006905B5" w:rsidR="00C75B89">
        <w:rPr>
          <w:rFonts w:ascii="Times New Roman" w:hAnsi="Times New Roman" w:cs="Times New Roman"/>
        </w:rPr>
        <w:t xml:space="preserve"> </w:t>
      </w:r>
    </w:p>
    <w:p w:rsidR="00C75B89" w:rsidRPr="006905B5" w:rsidP="0093065C">
      <w:pPr>
        <w:pStyle w:val="NormalWeb"/>
        <w:numPr>
          <w:ilvl w:val="0"/>
          <w:numId w:val="12"/>
        </w:numPr>
        <w:tabs>
          <w:tab w:val="left" w:pos="360"/>
        </w:tabs>
        <w:jc w:val="both"/>
        <w:rPr>
          <w:rFonts w:ascii="Times New Roman" w:hAnsi="Times New Roman" w:cs="Times New Roman"/>
        </w:rPr>
      </w:pPr>
      <w:r w:rsidRPr="006905B5" w:rsidR="00F46A15">
        <w:rPr>
          <w:rFonts w:ascii="Times New Roman" w:hAnsi="Times New Roman" w:cs="Times New Roman"/>
        </w:rPr>
        <w:t>Prednostne boli realizované úhrady niektorým dodávateľom, čo aj v súčasnej dobe komplikuje systém objednávania a dodávok  liekov a</w:t>
      </w:r>
      <w:r w:rsidRPr="006905B5" w:rsidR="000D6121">
        <w:rPr>
          <w:rFonts w:ascii="Times New Roman" w:hAnsi="Times New Roman" w:cs="Times New Roman"/>
        </w:rPr>
        <w:t> zdravotníckeho materiálu</w:t>
      </w:r>
      <w:r w:rsidRPr="006905B5" w:rsidR="00F46A15">
        <w:rPr>
          <w:rFonts w:ascii="Times New Roman" w:hAnsi="Times New Roman" w:cs="Times New Roman"/>
        </w:rPr>
        <w:t xml:space="preserve">. </w:t>
      </w:r>
    </w:p>
    <w:p w:rsidR="00C75B89" w:rsidRPr="006905B5" w:rsidP="0093065C">
      <w:pPr>
        <w:pStyle w:val="NormalWeb"/>
        <w:numPr>
          <w:ilvl w:val="0"/>
          <w:numId w:val="12"/>
        </w:numPr>
        <w:tabs>
          <w:tab w:val="left" w:pos="360"/>
        </w:tabs>
        <w:jc w:val="both"/>
        <w:rPr>
          <w:rFonts w:ascii="Times New Roman" w:hAnsi="Times New Roman" w:cs="Times New Roman"/>
        </w:rPr>
      </w:pPr>
      <w:r w:rsidRPr="006905B5" w:rsidR="00F46A15">
        <w:rPr>
          <w:rFonts w:ascii="Times New Roman" w:hAnsi="Times New Roman" w:cs="Times New Roman"/>
        </w:rPr>
        <w:t xml:space="preserve">Systémom vnútornej aj vonkajšej kontroly boli zistené </w:t>
      </w:r>
      <w:r w:rsidRPr="006905B5">
        <w:rPr>
          <w:rFonts w:ascii="Times New Roman" w:hAnsi="Times New Roman" w:cs="Times New Roman"/>
        </w:rPr>
        <w:t xml:space="preserve">rozsiahle závažné </w:t>
      </w:r>
      <w:r w:rsidRPr="006905B5" w:rsidR="00F46A15">
        <w:rPr>
          <w:rFonts w:ascii="Times New Roman" w:hAnsi="Times New Roman" w:cs="Times New Roman"/>
        </w:rPr>
        <w:t xml:space="preserve">nedostatky </w:t>
      </w:r>
      <w:r w:rsidRPr="006905B5">
        <w:rPr>
          <w:rFonts w:ascii="Times New Roman" w:hAnsi="Times New Roman" w:cs="Times New Roman"/>
        </w:rPr>
        <w:t xml:space="preserve">v oblasti </w:t>
      </w:r>
      <w:r w:rsidRPr="006905B5" w:rsidR="00F46A15">
        <w:rPr>
          <w:rFonts w:ascii="Times New Roman" w:hAnsi="Times New Roman" w:cs="Times New Roman"/>
        </w:rPr>
        <w:t xml:space="preserve">obstarávania investícií. Investície boli obstarávané bez investičného plánu a bez zabezpečenia potrebných finančných zdrojov, čo malo za následok </w:t>
      </w:r>
      <w:r w:rsidRPr="006905B5" w:rsidR="00F46A15">
        <w:rPr>
          <w:rFonts w:ascii="Times New Roman" w:hAnsi="Times New Roman" w:cs="Times New Roman"/>
          <w:b/>
        </w:rPr>
        <w:t xml:space="preserve">nekryté investície vo výške cca 300 mil. Sk. </w:t>
      </w:r>
      <w:r w:rsidRPr="006905B5" w:rsidR="00F46A15">
        <w:rPr>
          <w:rFonts w:ascii="Times New Roman" w:hAnsi="Times New Roman" w:cs="Times New Roman"/>
        </w:rPr>
        <w:t>Vzhľadom na stupeň rozostavanosti niektorých investičných celkov nové vedenie muselo uhrádzať investičné prostriedky na úkor prevádzkových finančných prostriedkov, čo zhoršovalo aj tak nepriaznivú platobnú schopnosť organizácie. </w:t>
      </w:r>
    </w:p>
    <w:p w:rsidR="00C75B89" w:rsidRPr="006905B5" w:rsidP="0093065C">
      <w:pPr>
        <w:pStyle w:val="NormalWeb"/>
        <w:numPr>
          <w:ilvl w:val="0"/>
          <w:numId w:val="12"/>
        </w:numPr>
        <w:tabs>
          <w:tab w:val="left" w:pos="360"/>
        </w:tabs>
        <w:jc w:val="both"/>
        <w:rPr>
          <w:rFonts w:ascii="Times New Roman" w:hAnsi="Times New Roman" w:cs="Times New Roman"/>
        </w:rPr>
      </w:pPr>
      <w:r w:rsidRPr="006905B5" w:rsidR="00F46A15">
        <w:rPr>
          <w:rFonts w:ascii="Times New Roman" w:hAnsi="Times New Roman" w:cs="Times New Roman"/>
        </w:rPr>
        <w:t xml:space="preserve">V roku 2004 boli odštátnené ekonomicky výhodné odborné činnosti (mikrobiológia, </w:t>
      </w:r>
      <w:r w:rsidRPr="006905B5" w:rsidR="00042A13">
        <w:rPr>
          <w:rFonts w:ascii="Times New Roman" w:hAnsi="Times New Roman" w:cs="Times New Roman"/>
        </w:rPr>
        <w:t>oddelenie klinickej biochémie</w:t>
      </w:r>
      <w:r w:rsidRPr="006905B5" w:rsidR="00F46A15">
        <w:rPr>
          <w:rFonts w:ascii="Times New Roman" w:hAnsi="Times New Roman" w:cs="Times New Roman"/>
        </w:rPr>
        <w:t xml:space="preserve">, hematológia, cudzokrajné choroby, </w:t>
      </w:r>
      <w:r w:rsidRPr="006905B5">
        <w:rPr>
          <w:rFonts w:ascii="Times New Roman" w:hAnsi="Times New Roman" w:cs="Times New Roman"/>
        </w:rPr>
        <w:t>centrálny tomograf</w:t>
      </w:r>
      <w:r w:rsidRPr="006905B5" w:rsidR="00F46A15">
        <w:rPr>
          <w:rFonts w:ascii="Times New Roman" w:hAnsi="Times New Roman" w:cs="Times New Roman"/>
        </w:rPr>
        <w:t xml:space="preserve">, </w:t>
      </w:r>
      <w:r w:rsidRPr="006905B5">
        <w:rPr>
          <w:rFonts w:ascii="Times New Roman" w:hAnsi="Times New Roman" w:cs="Times New Roman"/>
        </w:rPr>
        <w:t>magnetická rezonancia</w:t>
      </w:r>
      <w:r w:rsidRPr="006905B5" w:rsidR="00F46A15">
        <w:rPr>
          <w:rFonts w:ascii="Times New Roman" w:hAnsi="Times New Roman" w:cs="Times New Roman"/>
        </w:rPr>
        <w:t>). V priebehu roka 2005 a 2006 predchádzajúce vedenie pokračovalo v odštátňovaní ďalších lukratívnych činností ako bio</w:t>
      </w:r>
      <w:r w:rsidRPr="006905B5" w:rsidR="000502BE">
        <w:rPr>
          <w:rFonts w:ascii="Times New Roman" w:hAnsi="Times New Roman" w:cs="Times New Roman"/>
        </w:rPr>
        <w:t>p</w:t>
      </w:r>
      <w:r w:rsidRPr="006905B5" w:rsidR="00F46A15">
        <w:rPr>
          <w:rFonts w:ascii="Times New Roman" w:hAnsi="Times New Roman" w:cs="Times New Roman"/>
        </w:rPr>
        <w:t xml:space="preserve">sie a histológie v dvoch nemocniciach </w:t>
      </w:r>
      <w:r w:rsidRPr="006905B5">
        <w:rPr>
          <w:rFonts w:ascii="Times New Roman" w:hAnsi="Times New Roman" w:cs="Times New Roman"/>
        </w:rPr>
        <w:t>v </w:t>
      </w:r>
      <w:r w:rsidRPr="006905B5" w:rsidR="00F46A15">
        <w:rPr>
          <w:rFonts w:ascii="Times New Roman" w:hAnsi="Times New Roman" w:cs="Times New Roman"/>
        </w:rPr>
        <w:t>Ružinov</w:t>
      </w:r>
      <w:r w:rsidRPr="006905B5">
        <w:rPr>
          <w:rFonts w:ascii="Times New Roman" w:hAnsi="Times New Roman" w:cs="Times New Roman"/>
        </w:rPr>
        <w:t xml:space="preserve">e a na </w:t>
      </w:r>
      <w:r w:rsidRPr="006905B5" w:rsidR="00F46A15">
        <w:rPr>
          <w:rFonts w:ascii="Times New Roman" w:hAnsi="Times New Roman" w:cs="Times New Roman"/>
        </w:rPr>
        <w:t xml:space="preserve"> Kramár</w:t>
      </w:r>
      <w:r w:rsidRPr="006905B5">
        <w:rPr>
          <w:rFonts w:ascii="Times New Roman" w:hAnsi="Times New Roman" w:cs="Times New Roman"/>
        </w:rPr>
        <w:t>och</w:t>
      </w:r>
      <w:r w:rsidRPr="006905B5" w:rsidR="00F46A15">
        <w:rPr>
          <w:rFonts w:ascii="Times New Roman" w:hAnsi="Times New Roman" w:cs="Times New Roman"/>
        </w:rPr>
        <w:t xml:space="preserve">. </w:t>
      </w:r>
      <w:r w:rsidRPr="006905B5">
        <w:rPr>
          <w:rFonts w:ascii="Times New Roman" w:hAnsi="Times New Roman" w:cs="Times New Roman"/>
        </w:rPr>
        <w:t>Na</w:t>
      </w:r>
      <w:r w:rsidRPr="006905B5" w:rsidR="00F46A15">
        <w:rPr>
          <w:rFonts w:ascii="Times New Roman" w:hAnsi="Times New Roman" w:cs="Times New Roman"/>
        </w:rPr>
        <w:t xml:space="preserve"> odštátnenie </w:t>
      </w:r>
      <w:r w:rsidRPr="006905B5">
        <w:rPr>
          <w:rFonts w:ascii="Times New Roman" w:hAnsi="Times New Roman" w:cs="Times New Roman"/>
        </w:rPr>
        <w:t xml:space="preserve">bola pripravená </w:t>
      </w:r>
      <w:r w:rsidRPr="006905B5" w:rsidR="00F46A15">
        <w:rPr>
          <w:rFonts w:ascii="Times New Roman" w:hAnsi="Times New Roman" w:cs="Times New Roman"/>
        </w:rPr>
        <w:t xml:space="preserve">aj činnosť očného pracoviska v Ružinove a internátu na Peknej ceste, čo nové vedenie </w:t>
      </w:r>
      <w:r w:rsidRPr="006905B5">
        <w:rPr>
          <w:rFonts w:ascii="Times New Roman" w:hAnsi="Times New Roman" w:cs="Times New Roman"/>
        </w:rPr>
        <w:t xml:space="preserve">FNsP </w:t>
      </w:r>
      <w:r w:rsidRPr="006905B5" w:rsidR="00F46A15">
        <w:rPr>
          <w:rFonts w:ascii="Times New Roman" w:hAnsi="Times New Roman" w:cs="Times New Roman"/>
        </w:rPr>
        <w:t>zastavilo. </w:t>
      </w:r>
    </w:p>
    <w:p w:rsidR="00CA1731" w:rsidP="0093065C">
      <w:pPr>
        <w:pStyle w:val="NormalWeb"/>
        <w:numPr>
          <w:ilvl w:val="0"/>
          <w:numId w:val="12"/>
        </w:numPr>
        <w:tabs>
          <w:tab w:val="left" w:pos="360"/>
        </w:tabs>
        <w:jc w:val="both"/>
        <w:rPr>
          <w:rFonts w:ascii="Times New Roman" w:hAnsi="Times New Roman" w:cs="Times New Roman"/>
        </w:rPr>
      </w:pPr>
      <w:r w:rsidRPr="006905B5" w:rsidR="001B55AD">
        <w:rPr>
          <w:rFonts w:ascii="Times New Roman" w:hAnsi="Times New Roman" w:cs="Times New Roman"/>
        </w:rPr>
        <w:t>V roku 2004 došlo k odštátneniu činnosti Gynekologicko-pôrodníckeho oddelenia tzv. K</w:t>
      </w:r>
      <w:r w:rsidRPr="006905B5" w:rsidR="00042A13">
        <w:rPr>
          <w:rFonts w:ascii="Times New Roman" w:hAnsi="Times New Roman" w:cs="Times New Roman"/>
        </w:rPr>
        <w:t>ochove sanatórium</w:t>
      </w:r>
      <w:r w:rsidRPr="006905B5" w:rsidR="001B55AD">
        <w:rPr>
          <w:rFonts w:ascii="Times New Roman" w:hAnsi="Times New Roman" w:cs="Times New Roman"/>
        </w:rPr>
        <w:t xml:space="preserve"> na P</w:t>
      </w:r>
      <w:r w:rsidRPr="006905B5" w:rsidR="00F94C3A">
        <w:rPr>
          <w:rFonts w:ascii="Times New Roman" w:hAnsi="Times New Roman" w:cs="Times New Roman"/>
        </w:rPr>
        <w:t xml:space="preserve">artizánskej ulici v Bratislave formou uzatvorenia zmluvy o nájme nebytových priestorov a zmluvy o nájme vnútorného prístrojového a vecného vybavenia. Obe nájomné zmluvy boli uzatvorené na dobu určitú , na 20 </w:t>
      </w:r>
      <w:r w:rsidRPr="006905B5" w:rsidR="00042A13">
        <w:rPr>
          <w:rFonts w:ascii="Times New Roman" w:hAnsi="Times New Roman" w:cs="Times New Roman"/>
        </w:rPr>
        <w:t>r</w:t>
      </w:r>
      <w:r w:rsidRPr="006905B5" w:rsidR="00F94C3A">
        <w:rPr>
          <w:rFonts w:ascii="Times New Roman" w:hAnsi="Times New Roman" w:cs="Times New Roman"/>
        </w:rPr>
        <w:t xml:space="preserve">okov a v marci 2004 schválené MZ.  Výška nájmu bola dohodnutá na 1 061 340 Sk ročne, bez energií a služieb. Za nájom prístrojovej techniky a vnútorného vybavenia </w:t>
      </w:r>
      <w:r w:rsidRPr="006905B5" w:rsidR="00AF6B1D">
        <w:rPr>
          <w:rFonts w:ascii="Times New Roman" w:hAnsi="Times New Roman" w:cs="Times New Roman"/>
        </w:rPr>
        <w:t xml:space="preserve">bolo dohodnuté nájomné vo výške </w:t>
      </w:r>
      <w:r w:rsidRPr="006905B5" w:rsidR="00F94C3A">
        <w:rPr>
          <w:rFonts w:ascii="Times New Roman" w:hAnsi="Times New Roman" w:cs="Times New Roman"/>
        </w:rPr>
        <w:t xml:space="preserve">2 698 140 Sk ročne. Dňa </w:t>
      </w:r>
      <w:r w:rsidRPr="006905B5" w:rsidR="00AF6B1D">
        <w:rPr>
          <w:rFonts w:ascii="Times New Roman" w:hAnsi="Times New Roman" w:cs="Times New Roman"/>
        </w:rPr>
        <w:t>2.6.2004 podpísali zm</w:t>
      </w:r>
      <w:r w:rsidRPr="006905B5" w:rsidR="0039207D">
        <w:rPr>
          <w:rFonts w:ascii="Times New Roman" w:hAnsi="Times New Roman" w:cs="Times New Roman"/>
        </w:rPr>
        <w:t>luvné strany Zmluvu o odštátnení</w:t>
      </w:r>
      <w:r w:rsidRPr="006905B5" w:rsidR="00AF6B1D">
        <w:rPr>
          <w:rFonts w:ascii="Times New Roman" w:hAnsi="Times New Roman" w:cs="Times New Roman"/>
        </w:rPr>
        <w:t xml:space="preserve"> činnosti. </w:t>
      </w:r>
      <w:r w:rsidRPr="006905B5" w:rsidR="00050940">
        <w:rPr>
          <w:rFonts w:ascii="Times New Roman" w:hAnsi="Times New Roman" w:cs="Times New Roman"/>
        </w:rPr>
        <w:t>Platnosť zmluvy o nájme nebytových priestorov bola vo vzťahu k pôvodnému prenajímateľovi ukončená z dôvodu odpredaja predmetne</w:t>
      </w:r>
      <w:r w:rsidRPr="006905B5" w:rsidR="00E172C6">
        <w:rPr>
          <w:rFonts w:ascii="Times New Roman" w:hAnsi="Times New Roman" w:cs="Times New Roman"/>
        </w:rPr>
        <w:t>j budovy inému právn</w:t>
      </w:r>
      <w:r w:rsidRPr="006905B5" w:rsidR="00E9773D">
        <w:rPr>
          <w:rFonts w:ascii="Times New Roman" w:hAnsi="Times New Roman" w:cs="Times New Roman"/>
        </w:rPr>
        <w:t>emu</w:t>
      </w:r>
      <w:r w:rsidRPr="006905B5" w:rsidR="00E172C6">
        <w:rPr>
          <w:rFonts w:ascii="Times New Roman" w:hAnsi="Times New Roman" w:cs="Times New Roman"/>
        </w:rPr>
        <w:t xml:space="preserve"> subjektu v januári 2006.</w:t>
      </w:r>
      <w:r w:rsidRPr="006905B5" w:rsidR="00042A13">
        <w:rPr>
          <w:rFonts w:ascii="Times New Roman" w:hAnsi="Times New Roman" w:cs="Times New Roman"/>
        </w:rPr>
        <w:t xml:space="preserve"> </w:t>
      </w:r>
      <w:r w:rsidR="007D168C">
        <w:rPr>
          <w:rFonts w:ascii="Times New Roman" w:hAnsi="Times New Roman" w:cs="Times New Roman"/>
        </w:rPr>
        <w:t>Je treba poznamenať, že odpredaj nebytových priestorov bol realizovaný za 40 miliónom Sk, pričom z 20-ročného prenájmu za existujúcich podmienok bez zvyšovania dohodnutej ceny by FNsP získala až takmer 54 miliónov Sk. Zmluva o nájme vnútorného prístrojového a vecného vybavenia je naďalej platná.</w:t>
      </w:r>
    </w:p>
    <w:p w:rsidR="0045557A" w:rsidRPr="006905B5" w:rsidP="0093065C">
      <w:pPr>
        <w:pStyle w:val="NormalWeb"/>
        <w:numPr>
          <w:ilvl w:val="0"/>
          <w:numId w:val="12"/>
        </w:numPr>
        <w:tabs>
          <w:tab w:val="left" w:pos="360"/>
        </w:tabs>
        <w:jc w:val="both"/>
        <w:rPr>
          <w:rFonts w:ascii="Times New Roman" w:hAnsi="Times New Roman" w:cs="Times New Roman"/>
        </w:rPr>
      </w:pPr>
      <w:r w:rsidRPr="006905B5" w:rsidR="00F46A15">
        <w:rPr>
          <w:rFonts w:ascii="Times New Roman" w:hAnsi="Times New Roman" w:cs="Times New Roman"/>
        </w:rPr>
        <w:t xml:space="preserve">Aj napriek nedoriešeným </w:t>
      </w:r>
      <w:r w:rsidRPr="006905B5" w:rsidR="00C75B89">
        <w:rPr>
          <w:rFonts w:ascii="Times New Roman" w:hAnsi="Times New Roman" w:cs="Times New Roman"/>
        </w:rPr>
        <w:t>majetko</w:t>
      </w:r>
      <w:r w:rsidRPr="006905B5" w:rsidR="000D6121">
        <w:rPr>
          <w:rFonts w:ascii="Times New Roman" w:hAnsi="Times New Roman" w:cs="Times New Roman"/>
        </w:rPr>
        <w:t>vo</w:t>
      </w:r>
      <w:r w:rsidRPr="006905B5" w:rsidR="00C75B89">
        <w:rPr>
          <w:rFonts w:ascii="Times New Roman" w:hAnsi="Times New Roman" w:cs="Times New Roman"/>
        </w:rPr>
        <w:t>právnym</w:t>
      </w:r>
      <w:r w:rsidRPr="006905B5" w:rsidR="00F46A15">
        <w:rPr>
          <w:rFonts w:ascii="Times New Roman" w:hAnsi="Times New Roman" w:cs="Times New Roman"/>
        </w:rPr>
        <w:t xml:space="preserve"> vzťahom s magistrátom Hlavného mesta Bratislavy </w:t>
      </w:r>
      <w:r w:rsidRPr="006905B5" w:rsidR="00C75B89">
        <w:rPr>
          <w:rFonts w:ascii="Times New Roman" w:hAnsi="Times New Roman" w:cs="Times New Roman"/>
        </w:rPr>
        <w:t>bol  zo strany</w:t>
      </w:r>
      <w:r w:rsidRPr="006905B5" w:rsidR="00F46A15">
        <w:rPr>
          <w:rFonts w:ascii="Times New Roman" w:hAnsi="Times New Roman" w:cs="Times New Roman"/>
        </w:rPr>
        <w:t xml:space="preserve"> predchádzajúc</w:t>
      </w:r>
      <w:r w:rsidRPr="006905B5" w:rsidR="00C75B89">
        <w:rPr>
          <w:rFonts w:ascii="Times New Roman" w:hAnsi="Times New Roman" w:cs="Times New Roman"/>
        </w:rPr>
        <w:t>eho</w:t>
      </w:r>
      <w:r w:rsidRPr="006905B5" w:rsidR="00F46A15">
        <w:rPr>
          <w:rFonts w:ascii="Times New Roman" w:hAnsi="Times New Roman" w:cs="Times New Roman"/>
        </w:rPr>
        <w:t xml:space="preserve"> veden</w:t>
      </w:r>
      <w:r w:rsidRPr="006905B5" w:rsidR="00C75B89">
        <w:rPr>
          <w:rFonts w:ascii="Times New Roman" w:hAnsi="Times New Roman" w:cs="Times New Roman"/>
        </w:rPr>
        <w:t xml:space="preserve">ia vydaný </w:t>
      </w:r>
      <w:r w:rsidRPr="006905B5" w:rsidR="00F46A15">
        <w:rPr>
          <w:rFonts w:ascii="Times New Roman" w:hAnsi="Times New Roman" w:cs="Times New Roman"/>
        </w:rPr>
        <w:t> predbežn</w:t>
      </w:r>
      <w:r w:rsidRPr="006905B5" w:rsidR="00C75B89">
        <w:rPr>
          <w:rFonts w:ascii="Times New Roman" w:hAnsi="Times New Roman" w:cs="Times New Roman"/>
        </w:rPr>
        <w:t>ý</w:t>
      </w:r>
      <w:r w:rsidRPr="006905B5" w:rsidR="00F46A15">
        <w:rPr>
          <w:rFonts w:ascii="Times New Roman" w:hAnsi="Times New Roman" w:cs="Times New Roman"/>
        </w:rPr>
        <w:t xml:space="preserve"> súhlas</w:t>
      </w:r>
      <w:r w:rsidRPr="006905B5" w:rsidR="00C75B89">
        <w:rPr>
          <w:rFonts w:ascii="Times New Roman" w:hAnsi="Times New Roman" w:cs="Times New Roman"/>
        </w:rPr>
        <w:t xml:space="preserve"> na </w:t>
      </w:r>
      <w:r w:rsidRPr="006905B5" w:rsidR="00F46A15">
        <w:rPr>
          <w:rFonts w:ascii="Times New Roman" w:hAnsi="Times New Roman" w:cs="Times New Roman"/>
        </w:rPr>
        <w:t>výstavbu zimného štadióna s hotelom na právne nedoriešených pozemkoch FNsP B</w:t>
      </w:r>
      <w:r w:rsidRPr="006905B5" w:rsidR="000D6121">
        <w:rPr>
          <w:rFonts w:ascii="Times New Roman" w:hAnsi="Times New Roman" w:cs="Times New Roman"/>
        </w:rPr>
        <w:t>ratislava</w:t>
      </w:r>
      <w:r w:rsidRPr="006905B5" w:rsidR="00F46A15">
        <w:rPr>
          <w:rFonts w:ascii="Times New Roman" w:hAnsi="Times New Roman" w:cs="Times New Roman"/>
        </w:rPr>
        <w:t xml:space="preserve">. </w:t>
      </w:r>
    </w:p>
    <w:p w:rsidR="007D34C7" w:rsidP="00F46A15">
      <w:pPr>
        <w:rPr>
          <w:rFonts w:ascii="Times New Roman" w:hAnsi="Times New Roman" w:cs="Times New Roman"/>
          <w:b/>
          <w:sz w:val="28"/>
          <w:szCs w:val="28"/>
          <w:u w:val="single"/>
        </w:rPr>
      </w:pPr>
    </w:p>
    <w:p w:rsidR="003F1860" w:rsidRPr="00756D09" w:rsidP="00756D09">
      <w:pPr>
        <w:tabs>
          <w:tab w:val="left" w:pos="360"/>
        </w:tabs>
        <w:ind w:left="360" w:hanging="360"/>
        <w:rPr>
          <w:rFonts w:ascii="Times New Roman" w:hAnsi="Times New Roman" w:cs="Times New Roman"/>
          <w:b/>
          <w:sz w:val="28"/>
          <w:szCs w:val="28"/>
        </w:rPr>
      </w:pPr>
      <w:r w:rsidRPr="006905B5" w:rsidR="00FE73B1">
        <w:rPr>
          <w:rFonts w:ascii="Times New Roman" w:hAnsi="Times New Roman" w:cs="Times New Roman"/>
          <w:b/>
          <w:sz w:val="28"/>
          <w:szCs w:val="28"/>
        </w:rPr>
        <w:t>6.</w:t>
      </w:r>
      <w:r w:rsidR="00756D09">
        <w:rPr>
          <w:rFonts w:ascii="Times New Roman" w:hAnsi="Times New Roman" w:cs="Times New Roman"/>
          <w:b/>
          <w:sz w:val="28"/>
          <w:szCs w:val="28"/>
        </w:rPr>
        <w:tab/>
      </w:r>
      <w:r w:rsidRPr="006905B5">
        <w:rPr>
          <w:rFonts w:ascii="Times New Roman" w:hAnsi="Times New Roman" w:cs="Times New Roman"/>
          <w:b/>
          <w:sz w:val="28"/>
          <w:szCs w:val="28"/>
          <w:u w:val="single"/>
        </w:rPr>
        <w:t>Čerpanie prostriedkov z úveru technickej pomoci MZ SR financovanej</w:t>
      </w:r>
      <w:r w:rsidR="00756D09">
        <w:rPr>
          <w:rFonts w:ascii="Times New Roman" w:hAnsi="Times New Roman" w:cs="Times New Roman"/>
          <w:b/>
          <w:sz w:val="28"/>
          <w:szCs w:val="28"/>
        </w:rPr>
        <w:t xml:space="preserve"> </w:t>
      </w:r>
      <w:r w:rsidRPr="006905B5">
        <w:rPr>
          <w:rFonts w:ascii="Times New Roman" w:hAnsi="Times New Roman" w:cs="Times New Roman"/>
          <w:b/>
          <w:sz w:val="28"/>
          <w:szCs w:val="28"/>
          <w:u w:val="single"/>
        </w:rPr>
        <w:t>M</w:t>
      </w:r>
      <w:r w:rsidRPr="006905B5">
        <w:rPr>
          <w:rFonts w:ascii="Times New Roman" w:hAnsi="Times New Roman" w:cs="Times New Roman"/>
          <w:b/>
          <w:bCs/>
          <w:sz w:val="28"/>
          <w:szCs w:val="28"/>
          <w:u w:val="single"/>
        </w:rPr>
        <w:t>edzinárodnou bankou pre obnovu a rozvoj (Svetová banka)</w:t>
      </w:r>
    </w:p>
    <w:p w:rsidR="00F46A15" w:rsidRPr="006905B5" w:rsidP="007516E0">
      <w:pPr>
        <w:jc w:val="both"/>
        <w:rPr>
          <w:rFonts w:ascii="Times New Roman" w:hAnsi="Times New Roman" w:cs="Times New Roman"/>
          <w:b/>
          <w:sz w:val="28"/>
          <w:szCs w:val="28"/>
          <w:u w:val="single"/>
        </w:rPr>
      </w:pPr>
    </w:p>
    <w:p w:rsidR="007516E0" w:rsidRPr="006905B5" w:rsidP="007516E0">
      <w:pPr>
        <w:ind w:firstLine="708"/>
        <w:jc w:val="both"/>
        <w:rPr>
          <w:rFonts w:ascii="Times New Roman" w:hAnsi="Times New Roman" w:cs="Times New Roman"/>
        </w:rPr>
      </w:pPr>
      <w:r w:rsidRPr="006905B5" w:rsidR="00981103">
        <w:rPr>
          <w:rFonts w:ascii="Times New Roman" w:hAnsi="Times New Roman" w:cs="Times New Roman"/>
        </w:rPr>
        <w:t>V rámci projektu technickej pomoci bolo zo strany MZ k 31.12.2006 čerpaných z úveru Svetovej banky celkom</w:t>
      </w:r>
      <w:r w:rsidRPr="006905B5" w:rsidR="001639CF">
        <w:rPr>
          <w:rFonts w:ascii="Times New Roman" w:hAnsi="Times New Roman" w:cs="Times New Roman"/>
        </w:rPr>
        <w:t xml:space="preserve"> </w:t>
      </w:r>
      <w:r w:rsidRPr="006905B5" w:rsidR="006E7FCD">
        <w:rPr>
          <w:rFonts w:ascii="Times New Roman" w:hAnsi="Times New Roman" w:cs="Times New Roman"/>
        </w:rPr>
        <w:t xml:space="preserve">428,7 mil. </w:t>
      </w:r>
      <w:r w:rsidRPr="006905B5" w:rsidR="00981103">
        <w:rPr>
          <w:rFonts w:ascii="Times New Roman" w:hAnsi="Times New Roman" w:cs="Times New Roman"/>
        </w:rPr>
        <w:t xml:space="preserve">Sk, čo predstavuje </w:t>
      </w:r>
      <w:r w:rsidRPr="006905B5">
        <w:rPr>
          <w:rFonts w:ascii="Times New Roman" w:hAnsi="Times New Roman" w:cs="Times New Roman"/>
        </w:rPr>
        <w:t>viac ako 90</w:t>
      </w:r>
      <w:r w:rsidRPr="006905B5" w:rsidR="00981103">
        <w:rPr>
          <w:rFonts w:ascii="Times New Roman" w:hAnsi="Times New Roman" w:cs="Times New Roman"/>
        </w:rPr>
        <w:t>% z celkovej sumy zazmluvneného plnenia</w:t>
      </w:r>
      <w:r w:rsidRPr="006905B5" w:rsidR="000304D5">
        <w:rPr>
          <w:rFonts w:ascii="Times New Roman" w:hAnsi="Times New Roman" w:cs="Times New Roman"/>
        </w:rPr>
        <w:t>, ktoré bolo dohodnuté na</w:t>
      </w:r>
      <w:r w:rsidRPr="006905B5" w:rsidR="006E7FCD">
        <w:rPr>
          <w:rFonts w:ascii="Times New Roman" w:hAnsi="Times New Roman" w:cs="Times New Roman"/>
        </w:rPr>
        <w:t xml:space="preserve"> 10,58 milióna EUR.</w:t>
      </w:r>
    </w:p>
    <w:p w:rsidR="000304D5" w:rsidRPr="006905B5" w:rsidP="007516E0">
      <w:pPr>
        <w:ind w:firstLine="708"/>
        <w:jc w:val="both"/>
        <w:rPr>
          <w:rFonts w:ascii="Times New Roman" w:hAnsi="Times New Roman" w:cs="Times New Roman"/>
        </w:rPr>
      </w:pPr>
    </w:p>
    <w:p w:rsidR="003F1860" w:rsidRPr="006905B5" w:rsidP="007516E0">
      <w:pPr>
        <w:ind w:firstLine="708"/>
        <w:jc w:val="both"/>
        <w:rPr>
          <w:rFonts w:ascii="Times New Roman" w:hAnsi="Times New Roman" w:cs="Times New Roman"/>
        </w:rPr>
      </w:pPr>
      <w:r w:rsidRPr="006905B5" w:rsidR="00981103">
        <w:rPr>
          <w:rFonts w:ascii="Times New Roman" w:hAnsi="Times New Roman" w:cs="Times New Roman"/>
        </w:rPr>
        <w:t>T</w:t>
      </w:r>
      <w:r w:rsidRPr="006905B5">
        <w:rPr>
          <w:rFonts w:ascii="Times New Roman" w:hAnsi="Times New Roman" w:cs="Times New Roman"/>
        </w:rPr>
        <w:t xml:space="preserve">ok financií </w:t>
      </w:r>
      <w:r w:rsidRPr="006905B5" w:rsidR="00981103">
        <w:rPr>
          <w:rFonts w:ascii="Times New Roman" w:hAnsi="Times New Roman" w:cs="Times New Roman"/>
        </w:rPr>
        <w:t xml:space="preserve">sa realizoval na základe konkrétnych zmluvných zadaní súvisiacich s odbornými poradenskými službami </w:t>
      </w:r>
      <w:r w:rsidRPr="006905B5">
        <w:rPr>
          <w:rFonts w:ascii="Times New Roman" w:hAnsi="Times New Roman" w:cs="Times New Roman"/>
        </w:rPr>
        <w:t>konkrétnym fyzickým a právnickým osobám</w:t>
      </w:r>
      <w:r w:rsidRPr="006905B5" w:rsidR="000304D5">
        <w:rPr>
          <w:rFonts w:ascii="Times New Roman" w:hAnsi="Times New Roman" w:cs="Times New Roman"/>
        </w:rPr>
        <w:t xml:space="preserve">, a to </w:t>
      </w:r>
      <w:r w:rsidRPr="006905B5">
        <w:rPr>
          <w:rFonts w:ascii="Times New Roman" w:hAnsi="Times New Roman" w:cs="Times New Roman"/>
        </w:rPr>
        <w:t xml:space="preserve">ako odmena sa poskytnuté konzultačné </w:t>
      </w:r>
      <w:r w:rsidRPr="006905B5" w:rsidR="007516E0">
        <w:rPr>
          <w:rFonts w:ascii="Times New Roman" w:hAnsi="Times New Roman" w:cs="Times New Roman"/>
        </w:rPr>
        <w:t xml:space="preserve">a poradenské </w:t>
      </w:r>
      <w:r w:rsidRPr="006905B5">
        <w:rPr>
          <w:rFonts w:ascii="Times New Roman" w:hAnsi="Times New Roman" w:cs="Times New Roman"/>
        </w:rPr>
        <w:t xml:space="preserve">služby. Ide o nasledovné fyzické a právnické osoby: </w:t>
      </w:r>
      <w:r w:rsidRPr="006905B5" w:rsidR="000304D5">
        <w:rPr>
          <w:rFonts w:ascii="Times New Roman" w:hAnsi="Times New Roman" w:cs="Times New Roman"/>
        </w:rPr>
        <w:t xml:space="preserve">Omnipublic s.r.o. Bratislava, </w:t>
      </w:r>
      <w:r w:rsidRPr="006905B5" w:rsidR="00981103">
        <w:rPr>
          <w:rFonts w:ascii="Times New Roman" w:hAnsi="Times New Roman" w:cs="Times New Roman"/>
        </w:rPr>
        <w:t xml:space="preserve">Ivan </w:t>
      </w:r>
      <w:r w:rsidRPr="006905B5">
        <w:rPr>
          <w:rFonts w:ascii="Times New Roman" w:hAnsi="Times New Roman" w:cs="Times New Roman"/>
        </w:rPr>
        <w:t>Ivančin, Sanigest s.a.</w:t>
      </w:r>
      <w:r w:rsidRPr="006905B5" w:rsidR="00981103">
        <w:rPr>
          <w:rFonts w:ascii="Times New Roman" w:hAnsi="Times New Roman" w:cs="Times New Roman"/>
        </w:rPr>
        <w:t xml:space="preserve"> Kostarika</w:t>
      </w:r>
      <w:r w:rsidRPr="006905B5">
        <w:rPr>
          <w:rFonts w:ascii="Times New Roman" w:hAnsi="Times New Roman" w:cs="Times New Roman"/>
        </w:rPr>
        <w:t>, Semmelweis University</w:t>
      </w:r>
      <w:r w:rsidRPr="006905B5" w:rsidR="00981103">
        <w:rPr>
          <w:rFonts w:ascii="Times New Roman" w:hAnsi="Times New Roman" w:cs="Times New Roman"/>
        </w:rPr>
        <w:t xml:space="preserve"> Budapešť</w:t>
      </w:r>
      <w:r w:rsidRPr="006905B5">
        <w:rPr>
          <w:rFonts w:ascii="Times New Roman" w:hAnsi="Times New Roman" w:cs="Times New Roman"/>
        </w:rPr>
        <w:t xml:space="preserve">, </w:t>
      </w:r>
      <w:r w:rsidRPr="006905B5" w:rsidR="00981103">
        <w:rPr>
          <w:rFonts w:ascii="Times New Roman" w:hAnsi="Times New Roman" w:cs="Times New Roman"/>
        </w:rPr>
        <w:t xml:space="preserve">Tomáš </w:t>
      </w:r>
      <w:r w:rsidRPr="006905B5">
        <w:rPr>
          <w:rFonts w:ascii="Times New Roman" w:hAnsi="Times New Roman" w:cs="Times New Roman"/>
        </w:rPr>
        <w:t xml:space="preserve">Szalay, </w:t>
      </w:r>
      <w:r w:rsidRPr="006905B5" w:rsidR="00981103">
        <w:rPr>
          <w:rFonts w:ascii="Times New Roman" w:hAnsi="Times New Roman" w:cs="Times New Roman"/>
        </w:rPr>
        <w:t xml:space="preserve">Viera </w:t>
      </w:r>
      <w:r w:rsidRPr="006905B5">
        <w:rPr>
          <w:rFonts w:ascii="Times New Roman" w:hAnsi="Times New Roman" w:cs="Times New Roman"/>
        </w:rPr>
        <w:t xml:space="preserve">Rusnáková, </w:t>
      </w:r>
      <w:r w:rsidRPr="006905B5" w:rsidR="00981103">
        <w:rPr>
          <w:rFonts w:ascii="Times New Roman" w:hAnsi="Times New Roman" w:cs="Times New Roman"/>
        </w:rPr>
        <w:t xml:space="preserve">Peter </w:t>
      </w:r>
      <w:r w:rsidRPr="006905B5">
        <w:rPr>
          <w:rFonts w:ascii="Times New Roman" w:hAnsi="Times New Roman" w:cs="Times New Roman"/>
        </w:rPr>
        <w:t xml:space="preserve">Finďo, Andrew Parkes, </w:t>
      </w:r>
      <w:r w:rsidRPr="006905B5" w:rsidR="00981103">
        <w:rPr>
          <w:rFonts w:ascii="Times New Roman" w:hAnsi="Times New Roman" w:cs="Times New Roman"/>
        </w:rPr>
        <w:t xml:space="preserve">Ján </w:t>
      </w:r>
      <w:r w:rsidRPr="006905B5">
        <w:rPr>
          <w:rFonts w:ascii="Times New Roman" w:hAnsi="Times New Roman" w:cs="Times New Roman"/>
        </w:rPr>
        <w:t xml:space="preserve">Gajdošík, </w:t>
      </w:r>
      <w:r w:rsidRPr="006905B5" w:rsidR="00981103">
        <w:rPr>
          <w:rFonts w:ascii="Times New Roman" w:hAnsi="Times New Roman" w:cs="Times New Roman"/>
        </w:rPr>
        <w:t xml:space="preserve">Františka </w:t>
      </w:r>
      <w:r w:rsidRPr="006905B5">
        <w:rPr>
          <w:rFonts w:ascii="Times New Roman" w:hAnsi="Times New Roman" w:cs="Times New Roman"/>
        </w:rPr>
        <w:t xml:space="preserve">Hrubá, </w:t>
      </w:r>
      <w:r w:rsidRPr="006905B5" w:rsidR="00981103">
        <w:rPr>
          <w:rFonts w:ascii="Times New Roman" w:hAnsi="Times New Roman" w:cs="Times New Roman"/>
        </w:rPr>
        <w:t xml:space="preserve">Vojtech </w:t>
      </w:r>
      <w:r w:rsidRPr="006905B5">
        <w:rPr>
          <w:rFonts w:ascii="Times New Roman" w:hAnsi="Times New Roman" w:cs="Times New Roman"/>
        </w:rPr>
        <w:t>Parrák,</w:t>
      </w:r>
      <w:r w:rsidRPr="006905B5" w:rsidR="00981103">
        <w:rPr>
          <w:rFonts w:ascii="Times New Roman" w:hAnsi="Times New Roman" w:cs="Times New Roman"/>
        </w:rPr>
        <w:t xml:space="preserve"> Andrej</w:t>
      </w:r>
      <w:r w:rsidRPr="006905B5">
        <w:rPr>
          <w:rFonts w:ascii="Times New Roman" w:hAnsi="Times New Roman" w:cs="Times New Roman"/>
        </w:rPr>
        <w:t xml:space="preserve"> Fandák, IBM Slovakia</w:t>
      </w:r>
      <w:r w:rsidRPr="006905B5" w:rsidR="00981103">
        <w:rPr>
          <w:rFonts w:ascii="Times New Roman" w:hAnsi="Times New Roman" w:cs="Times New Roman"/>
        </w:rPr>
        <w:t xml:space="preserve"> Bratislava</w:t>
      </w:r>
      <w:r w:rsidRPr="006905B5">
        <w:rPr>
          <w:rFonts w:ascii="Times New Roman" w:hAnsi="Times New Roman" w:cs="Times New Roman"/>
        </w:rPr>
        <w:t>, Stapro</w:t>
      </w:r>
      <w:r w:rsidRPr="006905B5" w:rsidR="00981103">
        <w:rPr>
          <w:rFonts w:ascii="Times New Roman" w:hAnsi="Times New Roman" w:cs="Times New Roman"/>
        </w:rPr>
        <w:t xml:space="preserve"> s.r.o. Pardubice</w:t>
      </w:r>
      <w:r w:rsidRPr="006905B5">
        <w:rPr>
          <w:rFonts w:ascii="Times New Roman" w:hAnsi="Times New Roman" w:cs="Times New Roman"/>
        </w:rPr>
        <w:t xml:space="preserve">, </w:t>
      </w:r>
      <w:r w:rsidRPr="006905B5" w:rsidR="00981103">
        <w:rPr>
          <w:rFonts w:ascii="Times New Roman" w:hAnsi="Times New Roman" w:cs="Times New Roman"/>
        </w:rPr>
        <w:t xml:space="preserve">Peter </w:t>
      </w:r>
      <w:r w:rsidRPr="006905B5">
        <w:rPr>
          <w:rFonts w:ascii="Times New Roman" w:hAnsi="Times New Roman" w:cs="Times New Roman"/>
        </w:rPr>
        <w:t xml:space="preserve">Tatár, Anna L. Howe, </w:t>
      </w:r>
      <w:r w:rsidRPr="006905B5" w:rsidR="00981103">
        <w:rPr>
          <w:rFonts w:ascii="Times New Roman" w:hAnsi="Times New Roman" w:cs="Times New Roman"/>
        </w:rPr>
        <w:t xml:space="preserve">Helena </w:t>
      </w:r>
      <w:r w:rsidRPr="006905B5">
        <w:rPr>
          <w:rFonts w:ascii="Times New Roman" w:hAnsi="Times New Roman" w:cs="Times New Roman"/>
        </w:rPr>
        <w:t xml:space="preserve">Woleková, Peter Gonda, Ernest Valko, Juraj Karpiš, Henrieta Maďarová, </w:t>
      </w:r>
      <w:r w:rsidRPr="006905B5" w:rsidR="00981103">
        <w:rPr>
          <w:rFonts w:ascii="Times New Roman" w:hAnsi="Times New Roman" w:cs="Times New Roman"/>
        </w:rPr>
        <w:t xml:space="preserve">Ivan </w:t>
      </w:r>
      <w:r w:rsidRPr="006905B5">
        <w:rPr>
          <w:rFonts w:ascii="Times New Roman" w:hAnsi="Times New Roman" w:cs="Times New Roman"/>
        </w:rPr>
        <w:t xml:space="preserve">Poprocký, </w:t>
      </w:r>
      <w:r w:rsidRPr="006905B5" w:rsidR="00981103">
        <w:rPr>
          <w:rFonts w:ascii="Times New Roman" w:hAnsi="Times New Roman" w:cs="Times New Roman"/>
        </w:rPr>
        <w:t xml:space="preserve">Jana </w:t>
      </w:r>
      <w:r w:rsidRPr="006905B5">
        <w:rPr>
          <w:rFonts w:ascii="Times New Roman" w:hAnsi="Times New Roman" w:cs="Times New Roman"/>
        </w:rPr>
        <w:t xml:space="preserve">Ježíková, </w:t>
      </w:r>
      <w:r w:rsidRPr="006905B5" w:rsidR="00981103">
        <w:rPr>
          <w:rFonts w:ascii="Times New Roman" w:hAnsi="Times New Roman" w:cs="Times New Roman"/>
        </w:rPr>
        <w:t xml:space="preserve">Miloš </w:t>
      </w:r>
      <w:r w:rsidRPr="006905B5">
        <w:rPr>
          <w:rFonts w:ascii="Times New Roman" w:hAnsi="Times New Roman" w:cs="Times New Roman"/>
        </w:rPr>
        <w:t>Suchý, Ernst &amp; Young</w:t>
      </w:r>
      <w:r w:rsidRPr="006905B5" w:rsidR="00981103">
        <w:rPr>
          <w:rFonts w:ascii="Times New Roman" w:hAnsi="Times New Roman" w:cs="Times New Roman"/>
        </w:rPr>
        <w:t xml:space="preserve"> Bratislava</w:t>
      </w:r>
      <w:r w:rsidRPr="006905B5">
        <w:rPr>
          <w:rFonts w:ascii="Times New Roman" w:hAnsi="Times New Roman" w:cs="Times New Roman"/>
        </w:rPr>
        <w:t xml:space="preserve">, </w:t>
      </w:r>
      <w:r w:rsidRPr="006905B5" w:rsidR="00981103">
        <w:rPr>
          <w:rFonts w:ascii="Times New Roman" w:hAnsi="Times New Roman" w:cs="Times New Roman"/>
        </w:rPr>
        <w:t xml:space="preserve">Lenka </w:t>
      </w:r>
      <w:r w:rsidRPr="006905B5">
        <w:rPr>
          <w:rFonts w:ascii="Times New Roman" w:hAnsi="Times New Roman" w:cs="Times New Roman"/>
        </w:rPr>
        <w:t>Čečetková, exe, s.r.o.</w:t>
      </w:r>
      <w:r w:rsidRPr="006905B5" w:rsidR="00981103">
        <w:rPr>
          <w:rFonts w:ascii="Times New Roman" w:hAnsi="Times New Roman" w:cs="Times New Roman"/>
        </w:rPr>
        <w:t xml:space="preserve"> Bratislava</w:t>
      </w:r>
      <w:r w:rsidRPr="006905B5">
        <w:rPr>
          <w:rFonts w:ascii="Times New Roman" w:hAnsi="Times New Roman" w:cs="Times New Roman"/>
        </w:rPr>
        <w:t xml:space="preserve">, </w:t>
      </w:r>
      <w:r w:rsidRPr="006905B5" w:rsidR="00981103">
        <w:rPr>
          <w:rFonts w:ascii="Times New Roman" w:hAnsi="Times New Roman" w:cs="Times New Roman"/>
        </w:rPr>
        <w:t xml:space="preserve">Andrea </w:t>
      </w:r>
      <w:r w:rsidRPr="006905B5">
        <w:rPr>
          <w:rFonts w:ascii="Times New Roman" w:hAnsi="Times New Roman" w:cs="Times New Roman"/>
        </w:rPr>
        <w:t>Tomlainová.</w:t>
      </w:r>
      <w:r w:rsidRPr="00BE65B1" w:rsidR="00BE65B1">
        <w:rPr>
          <w:rFonts w:ascii="Times New Roman" w:hAnsi="Times New Roman" w:cs="Times New Roman"/>
        </w:rPr>
        <w:t xml:space="preserve"> </w:t>
      </w:r>
      <w:r w:rsidRPr="006905B5" w:rsidR="00BE65B1">
        <w:rPr>
          <w:rFonts w:ascii="Times New Roman" w:hAnsi="Times New Roman" w:cs="Times New Roman"/>
        </w:rPr>
        <w:t xml:space="preserve">Celkový súčet vyplatených odmien činí </w:t>
      </w:r>
      <w:r w:rsidRPr="00756D09" w:rsidR="00BE65B1">
        <w:rPr>
          <w:rFonts w:ascii="Times New Roman" w:hAnsi="Times New Roman" w:cs="Times New Roman"/>
          <w:b/>
        </w:rPr>
        <w:t>428,7 mil. Sk</w:t>
      </w:r>
      <w:r w:rsidRPr="00756D09" w:rsidR="00BE65B1">
        <w:rPr>
          <w:rFonts w:ascii="Times New Roman" w:hAnsi="Times New Roman" w:cs="Times New Roman"/>
        </w:rPr>
        <w:t>.</w:t>
      </w:r>
    </w:p>
    <w:p w:rsidR="000304D5" w:rsidRPr="006905B5" w:rsidP="007516E0">
      <w:pPr>
        <w:ind w:firstLine="708"/>
        <w:jc w:val="both"/>
        <w:rPr>
          <w:rFonts w:ascii="Times New Roman" w:hAnsi="Times New Roman" w:cs="Times New Roman"/>
        </w:rPr>
      </w:pPr>
    </w:p>
    <w:p w:rsidR="003F1860" w:rsidRPr="006905B5" w:rsidP="007516E0">
      <w:pPr>
        <w:ind w:firstLine="708"/>
        <w:jc w:val="both"/>
        <w:rPr>
          <w:rFonts w:ascii="Times New Roman" w:hAnsi="Times New Roman" w:cs="Times New Roman"/>
          <w:bCs/>
          <w:u w:val="single"/>
        </w:rPr>
      </w:pPr>
      <w:r w:rsidRPr="006905B5">
        <w:rPr>
          <w:rFonts w:ascii="Times New Roman" w:hAnsi="Times New Roman" w:cs="Times New Roman"/>
        </w:rPr>
        <w:t>S</w:t>
      </w:r>
      <w:r w:rsidRPr="006905B5" w:rsidR="007516E0">
        <w:rPr>
          <w:rFonts w:ascii="Times New Roman" w:hAnsi="Times New Roman" w:cs="Times New Roman"/>
        </w:rPr>
        <w:t>účasťou</w:t>
      </w:r>
      <w:r w:rsidRPr="006905B5" w:rsidR="00981103">
        <w:rPr>
          <w:rFonts w:ascii="Times New Roman" w:hAnsi="Times New Roman" w:cs="Times New Roman"/>
        </w:rPr>
        <w:t xml:space="preserve"> </w:t>
      </w:r>
      <w:r w:rsidRPr="006905B5" w:rsidR="007516E0">
        <w:rPr>
          <w:rFonts w:ascii="Times New Roman" w:hAnsi="Times New Roman" w:cs="Times New Roman"/>
        </w:rPr>
        <w:t>vyššie uvedených zmluvných zadaní súvisiacich s odbornými poradenskými službami b</w:t>
      </w:r>
      <w:r w:rsidRPr="006905B5">
        <w:rPr>
          <w:rFonts w:ascii="Times New Roman" w:hAnsi="Times New Roman" w:cs="Times New Roman"/>
          <w:bCs/>
        </w:rPr>
        <w:t xml:space="preserve">olo </w:t>
      </w:r>
      <w:r w:rsidRPr="006905B5" w:rsidR="007516E0">
        <w:rPr>
          <w:rFonts w:ascii="Times New Roman" w:hAnsi="Times New Roman" w:cs="Times New Roman"/>
          <w:bCs/>
        </w:rPr>
        <w:t>i</w:t>
      </w:r>
      <w:r w:rsidRPr="006905B5">
        <w:rPr>
          <w:rFonts w:ascii="Times New Roman" w:hAnsi="Times New Roman" w:cs="Times New Roman"/>
          <w:bCs/>
        </w:rPr>
        <w:t xml:space="preserve"> dodanie viacerých </w:t>
      </w:r>
      <w:r w:rsidRPr="006905B5" w:rsidR="007516E0">
        <w:rPr>
          <w:rFonts w:ascii="Times New Roman" w:hAnsi="Times New Roman" w:cs="Times New Roman"/>
          <w:bCs/>
        </w:rPr>
        <w:t>odborných štúdií</w:t>
      </w:r>
      <w:r w:rsidRPr="006905B5">
        <w:rPr>
          <w:rFonts w:ascii="Times New Roman" w:hAnsi="Times New Roman" w:cs="Times New Roman"/>
          <w:bCs/>
        </w:rPr>
        <w:t xml:space="preserve">, pričom za </w:t>
      </w:r>
      <w:r w:rsidRPr="006905B5" w:rsidR="001639CF">
        <w:rPr>
          <w:rFonts w:ascii="Times New Roman" w:hAnsi="Times New Roman" w:cs="Times New Roman"/>
          <w:bCs/>
        </w:rPr>
        <w:t xml:space="preserve">ne spolu s konzultačnými a poradenskými službami </w:t>
      </w:r>
      <w:r w:rsidRPr="006905B5" w:rsidR="000304D5">
        <w:rPr>
          <w:rFonts w:ascii="Times New Roman" w:hAnsi="Times New Roman" w:cs="Times New Roman"/>
          <w:bCs/>
        </w:rPr>
        <w:t xml:space="preserve">(vynímajúc verejnú informačnú kampaň realizovanú spoločnosťou Omnipublic  s.r.o.  Bratislava)  </w:t>
      </w:r>
      <w:r w:rsidRPr="006905B5">
        <w:rPr>
          <w:rFonts w:ascii="Times New Roman" w:hAnsi="Times New Roman" w:cs="Times New Roman"/>
          <w:bCs/>
        </w:rPr>
        <w:t>zaplatilo</w:t>
      </w:r>
      <w:r w:rsidRPr="006905B5" w:rsidR="000304D5">
        <w:rPr>
          <w:rFonts w:ascii="Times New Roman" w:hAnsi="Times New Roman" w:cs="Times New Roman"/>
          <w:bCs/>
        </w:rPr>
        <w:t xml:space="preserve"> </w:t>
      </w:r>
      <w:r w:rsidRPr="006905B5">
        <w:rPr>
          <w:rFonts w:ascii="Times New Roman" w:hAnsi="Times New Roman" w:cs="Times New Roman"/>
          <w:bCs/>
        </w:rPr>
        <w:t xml:space="preserve"> MZ</w:t>
      </w:r>
      <w:r w:rsidRPr="006905B5" w:rsidR="001639CF">
        <w:rPr>
          <w:rFonts w:ascii="Times New Roman" w:hAnsi="Times New Roman" w:cs="Times New Roman"/>
          <w:bCs/>
        </w:rPr>
        <w:t xml:space="preserve"> </w:t>
      </w:r>
      <w:r w:rsidRPr="006905B5" w:rsidR="000304D5">
        <w:rPr>
          <w:rFonts w:ascii="Times New Roman" w:hAnsi="Times New Roman" w:cs="Times New Roman"/>
          <w:bCs/>
        </w:rPr>
        <w:t xml:space="preserve"> </w:t>
      </w:r>
      <w:r w:rsidRPr="006905B5" w:rsidR="001639CF">
        <w:rPr>
          <w:rFonts w:ascii="Times New Roman" w:hAnsi="Times New Roman" w:cs="Times New Roman"/>
          <w:bCs/>
        </w:rPr>
        <w:t>z</w:t>
      </w:r>
      <w:r w:rsidRPr="006905B5" w:rsidR="000304D5">
        <w:rPr>
          <w:rFonts w:ascii="Times New Roman" w:hAnsi="Times New Roman" w:cs="Times New Roman"/>
          <w:bCs/>
        </w:rPr>
        <w:t xml:space="preserve">  </w:t>
      </w:r>
      <w:r w:rsidRPr="006905B5" w:rsidR="001639CF">
        <w:rPr>
          <w:rFonts w:ascii="Times New Roman" w:hAnsi="Times New Roman" w:cs="Times New Roman"/>
          <w:bCs/>
        </w:rPr>
        <w:t>prostriedkov</w:t>
      </w:r>
      <w:r w:rsidRPr="006905B5" w:rsidR="000304D5">
        <w:rPr>
          <w:rFonts w:ascii="Times New Roman" w:hAnsi="Times New Roman" w:cs="Times New Roman"/>
          <w:bCs/>
        </w:rPr>
        <w:t xml:space="preserve"> </w:t>
      </w:r>
      <w:r w:rsidRPr="006905B5" w:rsidR="001639CF">
        <w:rPr>
          <w:rFonts w:ascii="Times New Roman" w:hAnsi="Times New Roman" w:cs="Times New Roman"/>
          <w:bCs/>
        </w:rPr>
        <w:t xml:space="preserve"> </w:t>
      </w:r>
      <w:r w:rsidRPr="006905B5" w:rsidR="000304D5">
        <w:rPr>
          <w:rFonts w:ascii="Times New Roman" w:hAnsi="Times New Roman" w:cs="Times New Roman"/>
          <w:bCs/>
        </w:rPr>
        <w:t xml:space="preserve">úveru  </w:t>
      </w:r>
      <w:r w:rsidRPr="006905B5" w:rsidR="001639CF">
        <w:rPr>
          <w:rFonts w:ascii="Times New Roman" w:hAnsi="Times New Roman" w:cs="Times New Roman"/>
          <w:bCs/>
        </w:rPr>
        <w:t>Svetov</w:t>
      </w:r>
      <w:r w:rsidRPr="006905B5" w:rsidR="000304D5">
        <w:rPr>
          <w:rFonts w:ascii="Times New Roman" w:hAnsi="Times New Roman" w:cs="Times New Roman"/>
          <w:bCs/>
        </w:rPr>
        <w:t>ej</w:t>
      </w:r>
      <w:r w:rsidRPr="006905B5" w:rsidR="001639CF">
        <w:rPr>
          <w:rFonts w:ascii="Times New Roman" w:hAnsi="Times New Roman" w:cs="Times New Roman"/>
          <w:bCs/>
        </w:rPr>
        <w:t xml:space="preserve"> </w:t>
      </w:r>
      <w:r w:rsidRPr="006905B5" w:rsidR="000304D5">
        <w:rPr>
          <w:rFonts w:ascii="Times New Roman" w:hAnsi="Times New Roman" w:cs="Times New Roman"/>
          <w:bCs/>
        </w:rPr>
        <w:t xml:space="preserve"> </w:t>
      </w:r>
      <w:r w:rsidRPr="006905B5" w:rsidR="001639CF">
        <w:rPr>
          <w:rFonts w:ascii="Times New Roman" w:hAnsi="Times New Roman" w:cs="Times New Roman"/>
          <w:bCs/>
        </w:rPr>
        <w:t>bank</w:t>
      </w:r>
      <w:r w:rsidRPr="006905B5" w:rsidR="000304D5">
        <w:rPr>
          <w:rFonts w:ascii="Times New Roman" w:hAnsi="Times New Roman" w:cs="Times New Roman"/>
          <w:bCs/>
        </w:rPr>
        <w:t>y</w:t>
      </w:r>
      <w:r w:rsidRPr="006905B5">
        <w:rPr>
          <w:rFonts w:ascii="Times New Roman" w:hAnsi="Times New Roman" w:cs="Times New Roman"/>
          <w:bCs/>
        </w:rPr>
        <w:t xml:space="preserve"> </w:t>
      </w:r>
      <w:r w:rsidRPr="006905B5" w:rsidR="000304D5">
        <w:rPr>
          <w:rFonts w:ascii="Times New Roman" w:hAnsi="Times New Roman" w:cs="Times New Roman"/>
          <w:bCs/>
        </w:rPr>
        <w:t>takmer 269</w:t>
      </w:r>
      <w:r w:rsidRPr="006905B5" w:rsidR="001639CF">
        <w:rPr>
          <w:rFonts w:ascii="Times New Roman" w:hAnsi="Times New Roman" w:cs="Times New Roman"/>
          <w:bCs/>
        </w:rPr>
        <w:t xml:space="preserve"> mil. Sk</w:t>
      </w:r>
      <w:r w:rsidRPr="006905B5" w:rsidR="007516E0">
        <w:rPr>
          <w:rFonts w:ascii="Times New Roman" w:hAnsi="Times New Roman" w:cs="Times New Roman"/>
          <w:bCs/>
        </w:rPr>
        <w:t>.</w:t>
      </w:r>
      <w:r w:rsidRPr="006905B5">
        <w:rPr>
          <w:rFonts w:ascii="Times New Roman" w:hAnsi="Times New Roman" w:cs="Times New Roman"/>
          <w:bCs/>
        </w:rPr>
        <w:t xml:space="preserve">  </w:t>
      </w:r>
      <w:r w:rsidRPr="006905B5" w:rsidR="001639CF">
        <w:rPr>
          <w:rFonts w:ascii="Times New Roman" w:hAnsi="Times New Roman" w:cs="Times New Roman"/>
          <w:bCs/>
        </w:rPr>
        <w:t xml:space="preserve">Minimálne  dve  zo </w:t>
      </w:r>
      <w:r w:rsidRPr="006905B5" w:rsidR="001639CF">
        <w:rPr>
          <w:rFonts w:ascii="Times New Roman" w:hAnsi="Times New Roman" w:cs="Times New Roman"/>
          <w:bCs/>
          <w:u w:val="single"/>
        </w:rPr>
        <w:t>s</w:t>
      </w:r>
      <w:r w:rsidRPr="006905B5">
        <w:rPr>
          <w:rFonts w:ascii="Times New Roman" w:hAnsi="Times New Roman" w:cs="Times New Roman"/>
          <w:bCs/>
          <w:u w:val="single"/>
        </w:rPr>
        <w:t>pomínan</w:t>
      </w:r>
      <w:r w:rsidRPr="006905B5" w:rsidR="001639CF">
        <w:rPr>
          <w:rFonts w:ascii="Times New Roman" w:hAnsi="Times New Roman" w:cs="Times New Roman"/>
          <w:bCs/>
          <w:u w:val="single"/>
        </w:rPr>
        <w:t>ých  štúdií  za  viac   ako  85 mil. Sk</w:t>
      </w:r>
      <w:r w:rsidRPr="006905B5">
        <w:rPr>
          <w:rFonts w:ascii="Times New Roman" w:hAnsi="Times New Roman" w:cs="Times New Roman"/>
          <w:bCs/>
          <w:u w:val="single"/>
        </w:rPr>
        <w:t xml:space="preserve">, ktoré daňoví poplatníci ešte aj teraz spoločne splácajú, ležia v jednej zo zásuviek na ministerstve od ich zrodu až doposiaľ </w:t>
      </w:r>
      <w:r w:rsidR="00DB4CD5">
        <w:rPr>
          <w:rFonts w:ascii="Times New Roman" w:hAnsi="Times New Roman" w:cs="Times New Roman"/>
          <w:bCs/>
          <w:u w:val="single"/>
        </w:rPr>
        <w:t xml:space="preserve">- </w:t>
      </w:r>
      <w:r w:rsidRPr="006905B5">
        <w:rPr>
          <w:rFonts w:ascii="Times New Roman" w:hAnsi="Times New Roman" w:cs="Times New Roman"/>
          <w:bCs/>
          <w:u w:val="single"/>
        </w:rPr>
        <w:t xml:space="preserve">bez </w:t>
      </w:r>
      <w:r w:rsidRPr="006905B5" w:rsidR="000304D5">
        <w:rPr>
          <w:rFonts w:ascii="Times New Roman" w:hAnsi="Times New Roman" w:cs="Times New Roman"/>
          <w:bCs/>
          <w:u w:val="single"/>
        </w:rPr>
        <w:t>využit</w:t>
      </w:r>
      <w:r w:rsidRPr="006905B5">
        <w:rPr>
          <w:rFonts w:ascii="Times New Roman" w:hAnsi="Times New Roman" w:cs="Times New Roman"/>
          <w:bCs/>
          <w:u w:val="single"/>
        </w:rPr>
        <w:t xml:space="preserve">ia. </w:t>
      </w:r>
    </w:p>
    <w:p w:rsidR="001639CF" w:rsidP="007516E0">
      <w:pPr>
        <w:jc w:val="both"/>
        <w:rPr>
          <w:rFonts w:ascii="Times New Roman" w:hAnsi="Times New Roman" w:cs="Times New Roman"/>
          <w:sz w:val="28"/>
          <w:szCs w:val="28"/>
        </w:rPr>
      </w:pPr>
    </w:p>
    <w:p w:rsidR="007D168C" w:rsidRPr="006905B5" w:rsidP="007516E0">
      <w:pPr>
        <w:jc w:val="both"/>
        <w:rPr>
          <w:rFonts w:ascii="Times New Roman" w:hAnsi="Times New Roman" w:cs="Times New Roman"/>
          <w:sz w:val="28"/>
          <w:szCs w:val="28"/>
        </w:rPr>
      </w:pPr>
    </w:p>
    <w:p w:rsidR="003F1860" w:rsidRPr="006905B5" w:rsidP="007516E0">
      <w:pPr>
        <w:jc w:val="center"/>
        <w:rPr>
          <w:rFonts w:ascii="Times New Roman" w:hAnsi="Times New Roman" w:cs="Times New Roman"/>
          <w:b/>
        </w:rPr>
      </w:pPr>
      <w:r w:rsidRPr="006905B5">
        <w:rPr>
          <w:rFonts w:ascii="Times New Roman" w:hAnsi="Times New Roman" w:cs="Times New Roman"/>
          <w:b/>
        </w:rPr>
        <w:t xml:space="preserve">Verejná informačná kampaň hradená z prostriedkov </w:t>
      </w:r>
      <w:r w:rsidRPr="006905B5">
        <w:rPr>
          <w:rFonts w:ascii="Times New Roman" w:hAnsi="Times New Roman" w:cs="Times New Roman"/>
          <w:b/>
          <w:bCs/>
        </w:rPr>
        <w:t>Svetov</w:t>
      </w:r>
      <w:r w:rsidR="00BE65B1">
        <w:rPr>
          <w:rFonts w:ascii="Times New Roman" w:hAnsi="Times New Roman" w:cs="Times New Roman"/>
          <w:b/>
          <w:bCs/>
        </w:rPr>
        <w:t>ej</w:t>
      </w:r>
      <w:r w:rsidRPr="006905B5">
        <w:rPr>
          <w:rFonts w:ascii="Times New Roman" w:hAnsi="Times New Roman" w:cs="Times New Roman"/>
          <w:b/>
          <w:bCs/>
        </w:rPr>
        <w:t xml:space="preserve"> bank</w:t>
      </w:r>
      <w:r w:rsidR="00BE65B1">
        <w:rPr>
          <w:rFonts w:ascii="Times New Roman" w:hAnsi="Times New Roman" w:cs="Times New Roman"/>
          <w:b/>
          <w:bCs/>
        </w:rPr>
        <w:t>y</w:t>
      </w:r>
    </w:p>
    <w:p w:rsidR="003F1860" w:rsidRPr="006905B5" w:rsidP="007516E0">
      <w:pPr>
        <w:ind w:firstLine="708"/>
        <w:jc w:val="both"/>
        <w:rPr>
          <w:rFonts w:ascii="Times New Roman" w:hAnsi="Times New Roman" w:cs="Times New Roman"/>
          <w:b/>
          <w:bCs/>
        </w:rPr>
      </w:pPr>
    </w:p>
    <w:p w:rsidR="004F35DB" w:rsidRPr="006905B5" w:rsidP="007516E0">
      <w:pPr>
        <w:ind w:firstLine="708"/>
        <w:jc w:val="both"/>
        <w:rPr>
          <w:rFonts w:ascii="Times New Roman" w:hAnsi="Times New Roman" w:cs="Times New Roman"/>
          <w:bCs/>
        </w:rPr>
      </w:pPr>
      <w:r w:rsidRPr="006905B5" w:rsidR="00CE5C78">
        <w:rPr>
          <w:rFonts w:ascii="Times New Roman" w:hAnsi="Times New Roman" w:cs="Times New Roman"/>
          <w:bCs/>
        </w:rPr>
        <w:t>Z</w:t>
      </w:r>
      <w:r w:rsidR="00756D09">
        <w:rPr>
          <w:rFonts w:ascii="Times New Roman" w:hAnsi="Times New Roman" w:cs="Times New Roman"/>
          <w:bCs/>
        </w:rPr>
        <w:t xml:space="preserve">mluva o </w:t>
      </w:r>
      <w:r w:rsidRPr="006905B5" w:rsidR="002F101B">
        <w:rPr>
          <w:rFonts w:ascii="Times New Roman" w:hAnsi="Times New Roman" w:cs="Times New Roman"/>
          <w:bCs/>
        </w:rPr>
        <w:t xml:space="preserve">konzultačných službách </w:t>
      </w:r>
      <w:r w:rsidRPr="006905B5" w:rsidR="00CE5C78">
        <w:rPr>
          <w:rFonts w:ascii="Times New Roman" w:hAnsi="Times New Roman" w:cs="Times New Roman"/>
          <w:bCs/>
        </w:rPr>
        <w:t>medzi Ministerstvom zdravotníctva SR a spoločnosťou Omnipublic s.r.o. bola uzatvorená dňa 5.</w:t>
      </w:r>
      <w:r w:rsidRPr="006905B5" w:rsidR="00462C78">
        <w:rPr>
          <w:rFonts w:ascii="Times New Roman" w:hAnsi="Times New Roman" w:cs="Times New Roman"/>
          <w:bCs/>
        </w:rPr>
        <w:t>12.</w:t>
      </w:r>
      <w:r w:rsidRPr="006905B5" w:rsidR="00CE5C78">
        <w:rPr>
          <w:rFonts w:ascii="Times New Roman" w:hAnsi="Times New Roman" w:cs="Times New Roman"/>
          <w:bCs/>
        </w:rPr>
        <w:t xml:space="preserve"> 2003</w:t>
      </w:r>
      <w:r w:rsidRPr="006905B5" w:rsidR="00CC7B63">
        <w:rPr>
          <w:rFonts w:ascii="Times New Roman" w:hAnsi="Times New Roman" w:cs="Times New Roman"/>
          <w:bCs/>
        </w:rPr>
        <w:t xml:space="preserve"> s platnosťou do 31.7.2006</w:t>
      </w:r>
      <w:r w:rsidRPr="006905B5" w:rsidR="00CE5C78">
        <w:rPr>
          <w:rFonts w:ascii="Times New Roman" w:hAnsi="Times New Roman" w:cs="Times New Roman"/>
          <w:bCs/>
        </w:rPr>
        <w:t xml:space="preserve">. </w:t>
      </w:r>
      <w:r w:rsidRPr="006905B5" w:rsidR="007516E0">
        <w:rPr>
          <w:rFonts w:ascii="Times New Roman" w:hAnsi="Times New Roman" w:cs="Times New Roman"/>
          <w:bCs/>
        </w:rPr>
        <w:tab/>
      </w:r>
      <w:r w:rsidRPr="006905B5" w:rsidR="00462C78">
        <w:rPr>
          <w:rFonts w:ascii="Times New Roman" w:hAnsi="Times New Roman" w:cs="Times New Roman"/>
          <w:bCs/>
        </w:rPr>
        <w:t>Z</w:t>
      </w:r>
      <w:r w:rsidRPr="006905B5" w:rsidR="00CD4595">
        <w:rPr>
          <w:rFonts w:ascii="Times New Roman" w:hAnsi="Times New Roman" w:cs="Times New Roman"/>
          <w:bCs/>
        </w:rPr>
        <w:t>mluvná cena v domácej mene (t.j.</w:t>
      </w:r>
      <w:r w:rsidRPr="006905B5" w:rsidR="00462C78">
        <w:rPr>
          <w:rFonts w:ascii="Times New Roman" w:hAnsi="Times New Roman" w:cs="Times New Roman"/>
          <w:bCs/>
        </w:rPr>
        <w:t xml:space="preserve"> maximálna </w:t>
      </w:r>
      <w:r w:rsidRPr="006905B5" w:rsidR="00CD4595">
        <w:rPr>
          <w:rFonts w:ascii="Times New Roman" w:hAnsi="Times New Roman" w:cs="Times New Roman"/>
          <w:bCs/>
        </w:rPr>
        <w:t xml:space="preserve">výška </w:t>
      </w:r>
      <w:r w:rsidRPr="006905B5" w:rsidR="003F1860">
        <w:rPr>
          <w:rFonts w:ascii="Times New Roman" w:hAnsi="Times New Roman" w:cs="Times New Roman"/>
          <w:bCs/>
        </w:rPr>
        <w:t>plnenia</w:t>
      </w:r>
      <w:r w:rsidRPr="006905B5" w:rsidR="00CD4595">
        <w:rPr>
          <w:rFonts w:ascii="Times New Roman" w:hAnsi="Times New Roman" w:cs="Times New Roman"/>
          <w:bCs/>
        </w:rPr>
        <w:t>)</w:t>
      </w:r>
      <w:r w:rsidRPr="006905B5" w:rsidR="002F101B">
        <w:rPr>
          <w:rFonts w:ascii="Times New Roman" w:hAnsi="Times New Roman" w:cs="Times New Roman"/>
          <w:bCs/>
        </w:rPr>
        <w:t xml:space="preserve"> bola </w:t>
      </w:r>
      <w:r w:rsidRPr="006905B5" w:rsidR="00462C78">
        <w:rPr>
          <w:rFonts w:ascii="Times New Roman" w:hAnsi="Times New Roman" w:cs="Times New Roman"/>
          <w:bCs/>
        </w:rPr>
        <w:t xml:space="preserve">dohodnutá na </w:t>
      </w:r>
      <w:r w:rsidRPr="006905B5" w:rsidR="002F101B">
        <w:rPr>
          <w:rFonts w:ascii="Times New Roman" w:hAnsi="Times New Roman" w:cs="Times New Roman"/>
          <w:bCs/>
        </w:rPr>
        <w:t>167</w:t>
      </w:r>
      <w:r w:rsidR="00DB4CD5">
        <w:rPr>
          <w:rFonts w:ascii="Times New Roman" w:hAnsi="Times New Roman" w:cs="Times New Roman"/>
          <w:bCs/>
        </w:rPr>
        <w:t>,</w:t>
      </w:r>
      <w:r w:rsidRPr="006905B5" w:rsidR="002F101B">
        <w:rPr>
          <w:rFonts w:ascii="Times New Roman" w:hAnsi="Times New Roman" w:cs="Times New Roman"/>
          <w:bCs/>
        </w:rPr>
        <w:t>9</w:t>
      </w:r>
      <w:r w:rsidR="00DB4CD5">
        <w:rPr>
          <w:rFonts w:ascii="Times New Roman" w:hAnsi="Times New Roman" w:cs="Times New Roman"/>
          <w:bCs/>
        </w:rPr>
        <w:t xml:space="preserve"> mil.</w:t>
      </w:r>
      <w:r w:rsidRPr="006905B5" w:rsidR="002F101B">
        <w:rPr>
          <w:rFonts w:ascii="Times New Roman" w:hAnsi="Times New Roman" w:cs="Times New Roman"/>
          <w:bCs/>
        </w:rPr>
        <w:t xml:space="preserve"> Sk.</w:t>
      </w:r>
      <w:r w:rsidRPr="006905B5" w:rsidR="007516E0">
        <w:rPr>
          <w:rFonts w:ascii="Times New Roman" w:hAnsi="Times New Roman" w:cs="Times New Roman"/>
          <w:bCs/>
        </w:rPr>
        <w:t xml:space="preserve"> </w:t>
      </w:r>
      <w:r w:rsidRPr="006905B5" w:rsidR="002F101B">
        <w:rPr>
          <w:rFonts w:ascii="Times New Roman" w:hAnsi="Times New Roman" w:cs="Times New Roman"/>
          <w:bCs/>
        </w:rPr>
        <w:t>P</w:t>
      </w:r>
      <w:r w:rsidRPr="006905B5" w:rsidR="005655F0">
        <w:rPr>
          <w:rFonts w:ascii="Times New Roman" w:hAnsi="Times New Roman" w:cs="Times New Roman"/>
          <w:bCs/>
        </w:rPr>
        <w:t xml:space="preserve">redmetom </w:t>
      </w:r>
      <w:r w:rsidRPr="006905B5" w:rsidR="002F101B">
        <w:rPr>
          <w:rFonts w:ascii="Times New Roman" w:hAnsi="Times New Roman" w:cs="Times New Roman"/>
          <w:bCs/>
        </w:rPr>
        <w:t xml:space="preserve">zmluvy </w:t>
      </w:r>
      <w:r w:rsidRPr="006905B5" w:rsidR="005655F0">
        <w:rPr>
          <w:rFonts w:ascii="Times New Roman" w:hAnsi="Times New Roman" w:cs="Times New Roman"/>
          <w:bCs/>
        </w:rPr>
        <w:t>bol</w:t>
      </w:r>
      <w:r w:rsidRPr="006905B5" w:rsidR="003F1860">
        <w:rPr>
          <w:rFonts w:ascii="Times New Roman" w:hAnsi="Times New Roman" w:cs="Times New Roman"/>
          <w:bCs/>
        </w:rPr>
        <w:t>:</w:t>
      </w:r>
    </w:p>
    <w:p w:rsidR="003F1860" w:rsidRPr="006905B5" w:rsidP="00756D09">
      <w:pPr>
        <w:tabs>
          <w:tab w:val="left" w:pos="180"/>
        </w:tabs>
        <w:jc w:val="both"/>
        <w:rPr>
          <w:rFonts w:ascii="Times New Roman" w:hAnsi="Times New Roman" w:cs="Times New Roman"/>
          <w:bCs/>
        </w:rPr>
      </w:pPr>
      <w:r w:rsidRPr="006905B5" w:rsidR="005655F0">
        <w:rPr>
          <w:rFonts w:ascii="Times New Roman" w:hAnsi="Times New Roman" w:cs="Times New Roman"/>
          <w:bCs/>
        </w:rPr>
        <w:t>-</w:t>
      </w:r>
      <w:r w:rsidR="00756D09">
        <w:rPr>
          <w:rFonts w:ascii="Times New Roman" w:hAnsi="Times New Roman" w:cs="Times New Roman"/>
          <w:bCs/>
        </w:rPr>
        <w:tab/>
      </w:r>
      <w:r w:rsidRPr="006905B5">
        <w:rPr>
          <w:rFonts w:ascii="Times New Roman" w:hAnsi="Times New Roman" w:cs="Times New Roman"/>
          <w:bCs/>
        </w:rPr>
        <w:t>pries</w:t>
      </w:r>
      <w:r w:rsidRPr="006905B5" w:rsidR="005655F0">
        <w:rPr>
          <w:rFonts w:ascii="Times New Roman" w:hAnsi="Times New Roman" w:cs="Times New Roman"/>
          <w:bCs/>
        </w:rPr>
        <w:t xml:space="preserve">kum </w:t>
      </w:r>
      <w:r w:rsidRPr="006905B5">
        <w:rPr>
          <w:rFonts w:ascii="Times New Roman" w:hAnsi="Times New Roman" w:cs="Times New Roman"/>
          <w:bCs/>
        </w:rPr>
        <w:t xml:space="preserve">verejnej mienky v oblasti </w:t>
      </w:r>
      <w:r w:rsidRPr="006905B5" w:rsidR="005655F0">
        <w:rPr>
          <w:rFonts w:ascii="Times New Roman" w:hAnsi="Times New Roman" w:cs="Times New Roman"/>
          <w:bCs/>
        </w:rPr>
        <w:t>kľúčových otázok, týkajúcich sa systému</w:t>
      </w:r>
      <w:r w:rsidRPr="006905B5" w:rsidR="002376F3">
        <w:rPr>
          <w:rFonts w:ascii="Times New Roman" w:hAnsi="Times New Roman" w:cs="Times New Roman"/>
          <w:bCs/>
        </w:rPr>
        <w:t xml:space="preserve">  </w:t>
      </w:r>
      <w:r w:rsidRPr="006905B5" w:rsidR="005655F0">
        <w:rPr>
          <w:rFonts w:ascii="Times New Roman" w:hAnsi="Times New Roman" w:cs="Times New Roman"/>
          <w:bCs/>
        </w:rPr>
        <w:t xml:space="preserve"> zdravotníctva </w:t>
      </w:r>
    </w:p>
    <w:p w:rsidR="005655F0" w:rsidRPr="006905B5" w:rsidP="00756D09">
      <w:pPr>
        <w:tabs>
          <w:tab w:val="left" w:pos="180"/>
        </w:tabs>
        <w:jc w:val="both"/>
        <w:rPr>
          <w:rFonts w:ascii="Times New Roman" w:hAnsi="Times New Roman" w:cs="Times New Roman"/>
          <w:bCs/>
        </w:rPr>
      </w:pPr>
      <w:r w:rsidR="00756D09">
        <w:rPr>
          <w:rFonts w:ascii="Times New Roman" w:hAnsi="Times New Roman" w:cs="Times New Roman"/>
          <w:bCs/>
        </w:rPr>
        <w:tab/>
      </w:r>
      <w:r w:rsidRPr="006905B5">
        <w:rPr>
          <w:rFonts w:ascii="Times New Roman" w:hAnsi="Times New Roman" w:cs="Times New Roman"/>
          <w:bCs/>
        </w:rPr>
        <w:t xml:space="preserve">na Slovensku </w:t>
      </w:r>
    </w:p>
    <w:p w:rsidR="004F35DB" w:rsidRPr="006905B5" w:rsidP="007516E0">
      <w:pPr>
        <w:jc w:val="both"/>
        <w:rPr>
          <w:rFonts w:ascii="Times New Roman" w:hAnsi="Times New Roman" w:cs="Times New Roman"/>
          <w:bCs/>
        </w:rPr>
      </w:pPr>
      <w:r w:rsidRPr="006905B5" w:rsidR="005655F0">
        <w:rPr>
          <w:rFonts w:ascii="Times New Roman" w:hAnsi="Times New Roman" w:cs="Times New Roman"/>
          <w:bCs/>
        </w:rPr>
        <w:t>-</w:t>
      </w:r>
      <w:r w:rsidRPr="006905B5" w:rsidR="00592378">
        <w:rPr>
          <w:rFonts w:ascii="Times New Roman" w:hAnsi="Times New Roman" w:cs="Times New Roman"/>
          <w:bCs/>
        </w:rPr>
        <w:t xml:space="preserve"> </w:t>
      </w:r>
      <w:r w:rsidRPr="006905B5" w:rsidR="005655F0">
        <w:rPr>
          <w:rFonts w:ascii="Times New Roman" w:hAnsi="Times New Roman" w:cs="Times New Roman"/>
          <w:bCs/>
        </w:rPr>
        <w:t>vypracovanie komplexného plánu komunikácie pre kampaň na podporu reformy zdravotníctva.</w:t>
      </w:r>
      <w:r w:rsidRPr="006905B5" w:rsidR="00CC7B63">
        <w:rPr>
          <w:rFonts w:ascii="Times New Roman" w:hAnsi="Times New Roman" w:cs="Times New Roman"/>
          <w:bCs/>
        </w:rPr>
        <w:t xml:space="preserve"> </w:t>
      </w:r>
    </w:p>
    <w:p w:rsidR="005B0856" w:rsidRPr="006905B5" w:rsidP="00042A13">
      <w:pPr>
        <w:ind w:firstLine="708"/>
        <w:jc w:val="both"/>
        <w:rPr>
          <w:rFonts w:ascii="Times New Roman" w:hAnsi="Times New Roman" w:cs="Times New Roman"/>
        </w:rPr>
      </w:pPr>
      <w:r w:rsidRPr="006905B5" w:rsidR="009F5B44">
        <w:rPr>
          <w:rFonts w:ascii="Times New Roman" w:hAnsi="Times New Roman" w:cs="Times New Roman"/>
          <w:bCs/>
        </w:rPr>
        <w:t xml:space="preserve">Na konzultačné služby pre </w:t>
      </w:r>
      <w:r w:rsidRPr="006905B5" w:rsidR="00BE67A7">
        <w:rPr>
          <w:rFonts w:ascii="Times New Roman" w:hAnsi="Times New Roman" w:cs="Times New Roman"/>
          <w:bCs/>
        </w:rPr>
        <w:t xml:space="preserve">firmu </w:t>
      </w:r>
      <w:r w:rsidRPr="006905B5">
        <w:rPr>
          <w:rFonts w:ascii="Times New Roman" w:hAnsi="Times New Roman" w:cs="Times New Roman"/>
          <w:bCs/>
        </w:rPr>
        <w:t>Omnipublic</w:t>
      </w:r>
      <w:r w:rsidRPr="006905B5" w:rsidR="006C4A95">
        <w:rPr>
          <w:rFonts w:ascii="Times New Roman" w:hAnsi="Times New Roman" w:cs="Times New Roman"/>
          <w:bCs/>
        </w:rPr>
        <w:t xml:space="preserve"> s.r.o</w:t>
      </w:r>
      <w:r w:rsidRPr="006905B5" w:rsidR="007516E0">
        <w:rPr>
          <w:rFonts w:ascii="Times New Roman" w:hAnsi="Times New Roman" w:cs="Times New Roman"/>
          <w:bCs/>
        </w:rPr>
        <w:t>.</w:t>
      </w:r>
      <w:r w:rsidRPr="006905B5" w:rsidR="006C4A95">
        <w:rPr>
          <w:rFonts w:ascii="Times New Roman" w:hAnsi="Times New Roman" w:cs="Times New Roman"/>
          <w:bCs/>
        </w:rPr>
        <w:t xml:space="preserve"> Bratislava</w:t>
      </w:r>
      <w:r w:rsidRPr="006905B5">
        <w:rPr>
          <w:rFonts w:ascii="Times New Roman" w:hAnsi="Times New Roman" w:cs="Times New Roman"/>
          <w:bCs/>
        </w:rPr>
        <w:t xml:space="preserve"> </w:t>
      </w:r>
      <w:r w:rsidRPr="006905B5">
        <w:rPr>
          <w:rFonts w:ascii="Times New Roman" w:hAnsi="Times New Roman" w:cs="Times New Roman"/>
        </w:rPr>
        <w:t xml:space="preserve">bolo </w:t>
      </w:r>
      <w:r w:rsidRPr="006905B5" w:rsidR="003160F6">
        <w:rPr>
          <w:rFonts w:ascii="Times New Roman" w:hAnsi="Times New Roman" w:cs="Times New Roman"/>
        </w:rPr>
        <w:t>vyčerpaných</w:t>
      </w:r>
      <w:r w:rsidRPr="006905B5" w:rsidR="001B12B5">
        <w:rPr>
          <w:rFonts w:ascii="Times New Roman" w:hAnsi="Times New Roman" w:cs="Times New Roman"/>
        </w:rPr>
        <w:t xml:space="preserve"> </w:t>
      </w:r>
      <w:r w:rsidRPr="006905B5" w:rsidR="007516E0">
        <w:rPr>
          <w:rFonts w:ascii="Times New Roman" w:hAnsi="Times New Roman" w:cs="Times New Roman"/>
        </w:rPr>
        <w:t xml:space="preserve">celkom  </w:t>
      </w:r>
      <w:r w:rsidRPr="006905B5" w:rsidR="001B12B5">
        <w:rPr>
          <w:rFonts w:ascii="Times New Roman" w:hAnsi="Times New Roman" w:cs="Times New Roman"/>
          <w:b/>
        </w:rPr>
        <w:t>100</w:t>
      </w:r>
      <w:r w:rsidRPr="006905B5" w:rsidR="007516E0">
        <w:rPr>
          <w:rFonts w:ascii="Times New Roman" w:hAnsi="Times New Roman" w:cs="Times New Roman"/>
          <w:b/>
        </w:rPr>
        <w:t>,</w:t>
      </w:r>
      <w:r w:rsidRPr="006905B5" w:rsidR="001B12B5">
        <w:rPr>
          <w:rFonts w:ascii="Times New Roman" w:hAnsi="Times New Roman" w:cs="Times New Roman"/>
          <w:b/>
        </w:rPr>
        <w:t>9</w:t>
      </w:r>
      <w:r w:rsidRPr="006905B5" w:rsidR="007516E0">
        <w:rPr>
          <w:rFonts w:ascii="Times New Roman" w:hAnsi="Times New Roman" w:cs="Times New Roman"/>
          <w:b/>
        </w:rPr>
        <w:t xml:space="preserve"> mil.</w:t>
      </w:r>
      <w:r w:rsidRPr="006905B5" w:rsidR="001B12B5">
        <w:rPr>
          <w:rFonts w:ascii="Times New Roman" w:hAnsi="Times New Roman" w:cs="Times New Roman"/>
          <w:b/>
        </w:rPr>
        <w:t xml:space="preserve"> Sk</w:t>
      </w:r>
      <w:r w:rsidRPr="006905B5">
        <w:rPr>
          <w:rFonts w:ascii="Times New Roman" w:hAnsi="Times New Roman" w:cs="Times New Roman"/>
        </w:rPr>
        <w:t xml:space="preserve"> a na </w:t>
      </w:r>
      <w:r w:rsidRPr="006905B5" w:rsidR="000B2040">
        <w:rPr>
          <w:rFonts w:ascii="Times New Roman" w:hAnsi="Times New Roman" w:cs="Times New Roman"/>
        </w:rPr>
        <w:t xml:space="preserve">nákup médií </w:t>
      </w:r>
      <w:r w:rsidRPr="006905B5" w:rsidR="001B12B5">
        <w:rPr>
          <w:rFonts w:ascii="Times New Roman" w:hAnsi="Times New Roman" w:cs="Times New Roman"/>
        </w:rPr>
        <w:t xml:space="preserve"> </w:t>
      </w:r>
      <w:r w:rsidRPr="006905B5" w:rsidR="001B12B5">
        <w:rPr>
          <w:rFonts w:ascii="Times New Roman" w:hAnsi="Times New Roman" w:cs="Times New Roman"/>
          <w:b/>
        </w:rPr>
        <w:t>58</w:t>
      </w:r>
      <w:r w:rsidRPr="006905B5" w:rsidR="007516E0">
        <w:rPr>
          <w:rFonts w:ascii="Times New Roman" w:hAnsi="Times New Roman" w:cs="Times New Roman"/>
          <w:b/>
        </w:rPr>
        <w:t>,7</w:t>
      </w:r>
      <w:r w:rsidRPr="006905B5" w:rsidR="001B12B5">
        <w:rPr>
          <w:rFonts w:ascii="Times New Roman" w:hAnsi="Times New Roman" w:cs="Times New Roman"/>
          <w:b/>
        </w:rPr>
        <w:t xml:space="preserve"> </w:t>
      </w:r>
      <w:r w:rsidRPr="006905B5" w:rsidR="007516E0">
        <w:rPr>
          <w:rFonts w:ascii="Times New Roman" w:hAnsi="Times New Roman" w:cs="Times New Roman"/>
          <w:b/>
        </w:rPr>
        <w:t xml:space="preserve"> mil.</w:t>
      </w:r>
      <w:r w:rsidRPr="006905B5" w:rsidR="001B12B5">
        <w:rPr>
          <w:rFonts w:ascii="Times New Roman" w:hAnsi="Times New Roman" w:cs="Times New Roman"/>
          <w:b/>
        </w:rPr>
        <w:t xml:space="preserve"> Sk</w:t>
      </w:r>
      <w:r w:rsidRPr="006905B5" w:rsidR="00F257D3">
        <w:rPr>
          <w:rFonts w:ascii="Times New Roman" w:hAnsi="Times New Roman" w:cs="Times New Roman"/>
        </w:rPr>
        <w:t>.</w:t>
      </w:r>
    </w:p>
    <w:p w:rsidR="007516E0" w:rsidRPr="006905B5" w:rsidP="003F1860">
      <w:pPr>
        <w:ind w:firstLine="708"/>
        <w:jc w:val="both"/>
        <w:rPr>
          <w:rFonts w:ascii="Times New Roman" w:hAnsi="Times New Roman" w:cs="Times New Roman"/>
        </w:rPr>
      </w:pPr>
      <w:r w:rsidRPr="006905B5" w:rsidR="000861BB">
        <w:rPr>
          <w:rFonts w:ascii="Times New Roman" w:hAnsi="Times New Roman" w:cs="Times New Roman"/>
        </w:rPr>
        <w:t xml:space="preserve">Niektoré fyzické a právnické osoby – koncoví adresáti odmien, figurujú v záznamoch obchodného registra v spoločnostiach, ktoré spája jedno spoločné meno a to </w:t>
      </w:r>
      <w:r w:rsidRPr="006905B5" w:rsidR="002F3C13">
        <w:rPr>
          <w:rFonts w:ascii="Times New Roman" w:hAnsi="Times New Roman" w:cs="Times New Roman"/>
        </w:rPr>
        <w:t xml:space="preserve">Ing. Ján Králik, bývalý </w:t>
      </w:r>
      <w:r w:rsidRPr="006905B5" w:rsidR="008939AC">
        <w:rPr>
          <w:rFonts w:ascii="Times New Roman" w:hAnsi="Times New Roman" w:cs="Times New Roman"/>
        </w:rPr>
        <w:t>vrchný (</w:t>
      </w:r>
      <w:r w:rsidRPr="006905B5" w:rsidR="002F3C13">
        <w:rPr>
          <w:rFonts w:ascii="Times New Roman" w:hAnsi="Times New Roman" w:cs="Times New Roman"/>
        </w:rPr>
        <w:t>generálny</w:t>
      </w:r>
      <w:r w:rsidRPr="006905B5" w:rsidR="008939AC">
        <w:rPr>
          <w:rFonts w:ascii="Times New Roman" w:hAnsi="Times New Roman" w:cs="Times New Roman"/>
        </w:rPr>
        <w:t>)</w:t>
      </w:r>
      <w:r w:rsidRPr="006905B5" w:rsidR="002F3C13">
        <w:rPr>
          <w:rFonts w:ascii="Times New Roman" w:hAnsi="Times New Roman" w:cs="Times New Roman"/>
        </w:rPr>
        <w:t xml:space="preserve"> riaditeľ sekcie </w:t>
      </w:r>
      <w:r w:rsidRPr="006905B5" w:rsidR="008939AC">
        <w:rPr>
          <w:rFonts w:ascii="Times New Roman" w:hAnsi="Times New Roman" w:cs="Times New Roman"/>
        </w:rPr>
        <w:t>ekonomiky</w:t>
      </w:r>
      <w:r w:rsidRPr="006905B5" w:rsidR="002F3C13">
        <w:rPr>
          <w:rFonts w:ascii="Times New Roman" w:hAnsi="Times New Roman" w:cs="Times New Roman"/>
        </w:rPr>
        <w:t xml:space="preserve"> MZ a ministrom poverená osoba, zodpovedná za čerpanie financií zo Svetovej banky. </w:t>
      </w:r>
      <w:r w:rsidRPr="006905B5" w:rsidR="008939AC">
        <w:rPr>
          <w:rFonts w:ascii="Times New Roman" w:hAnsi="Times New Roman" w:cs="Times New Roman"/>
        </w:rPr>
        <w:t xml:space="preserve">Meno </w:t>
      </w:r>
      <w:r w:rsidRPr="006905B5" w:rsidR="00A52184">
        <w:rPr>
          <w:rFonts w:ascii="Times New Roman" w:hAnsi="Times New Roman" w:cs="Times New Roman"/>
        </w:rPr>
        <w:t>Ján Králik sa podľa záznamov v obchodnom registri vyskytuje v spoločnostiach ako napríklad Veriteľ a.s.</w:t>
      </w:r>
      <w:r w:rsidRPr="006905B5" w:rsidR="00B95634">
        <w:rPr>
          <w:rFonts w:ascii="Times New Roman" w:hAnsi="Times New Roman" w:cs="Times New Roman"/>
        </w:rPr>
        <w:t xml:space="preserve"> či napríklad </w:t>
      </w:r>
      <w:r w:rsidRPr="006905B5" w:rsidR="00B95634">
        <w:rPr>
          <w:rStyle w:val="ra"/>
          <w:rFonts w:ascii="Times New Roman" w:hAnsi="Times New Roman" w:cs="Times New Roman"/>
        </w:rPr>
        <w:t xml:space="preserve">FOCUS Centrum pre sociálnu a marketingovú analýzu, s r.o. </w:t>
      </w:r>
      <w:r w:rsidRPr="006905B5" w:rsidR="006240CF">
        <w:rPr>
          <w:rStyle w:val="ra"/>
          <w:rFonts w:ascii="Times New Roman" w:hAnsi="Times New Roman" w:cs="Times New Roman"/>
        </w:rPr>
        <w:t>(ďalej len „</w:t>
      </w:r>
      <w:r w:rsidRPr="006905B5" w:rsidR="00B95634">
        <w:rPr>
          <w:rStyle w:val="ra"/>
          <w:rFonts w:ascii="Times New Roman" w:hAnsi="Times New Roman" w:cs="Times New Roman"/>
        </w:rPr>
        <w:t xml:space="preserve"> </w:t>
      </w:r>
      <w:r w:rsidRPr="006905B5" w:rsidR="006240CF">
        <w:rPr>
          <w:rStyle w:val="ra"/>
          <w:rFonts w:ascii="Times New Roman" w:hAnsi="Times New Roman" w:cs="Times New Roman"/>
        </w:rPr>
        <w:t>F</w:t>
      </w:r>
      <w:r w:rsidRPr="006905B5" w:rsidR="00B95634">
        <w:rPr>
          <w:rStyle w:val="ra"/>
          <w:rFonts w:ascii="Times New Roman" w:hAnsi="Times New Roman" w:cs="Times New Roman"/>
        </w:rPr>
        <w:t>OCUS, s r.o.</w:t>
      </w:r>
      <w:r w:rsidRPr="006905B5" w:rsidR="006240CF">
        <w:rPr>
          <w:rStyle w:val="ra"/>
          <w:rFonts w:ascii="Times New Roman" w:hAnsi="Times New Roman" w:cs="Times New Roman"/>
        </w:rPr>
        <w:t>“)</w:t>
      </w:r>
      <w:r w:rsidRPr="006905B5" w:rsidR="00B95634">
        <w:rPr>
          <w:rStyle w:val="ra"/>
          <w:rFonts w:ascii="Times New Roman" w:hAnsi="Times New Roman" w:cs="Times New Roman"/>
        </w:rPr>
        <w:t xml:space="preserve"> a iné. </w:t>
      </w:r>
      <w:r w:rsidRPr="006905B5" w:rsidR="006240CF">
        <w:rPr>
          <w:rStyle w:val="ra"/>
          <w:rFonts w:ascii="Times New Roman" w:hAnsi="Times New Roman" w:cs="Times New Roman"/>
        </w:rPr>
        <w:t>Už s</w:t>
      </w:r>
      <w:r w:rsidRPr="006905B5" w:rsidR="00B95634">
        <w:rPr>
          <w:rStyle w:val="ra"/>
          <w:rFonts w:ascii="Times New Roman" w:hAnsi="Times New Roman" w:cs="Times New Roman"/>
        </w:rPr>
        <w:t>pomenutý</w:t>
      </w:r>
      <w:r w:rsidRPr="006905B5" w:rsidR="006E7FCD">
        <w:rPr>
          <w:rStyle w:val="ra"/>
          <w:rFonts w:ascii="Times New Roman" w:hAnsi="Times New Roman" w:cs="Times New Roman"/>
        </w:rPr>
        <w:t xml:space="preserve"> </w:t>
      </w:r>
      <w:r w:rsidRPr="006905B5" w:rsidR="00B95634">
        <w:rPr>
          <w:rStyle w:val="ra"/>
          <w:rFonts w:ascii="Times New Roman" w:hAnsi="Times New Roman" w:cs="Times New Roman"/>
        </w:rPr>
        <w:t xml:space="preserve"> Focus</w:t>
      </w:r>
      <w:r w:rsidRPr="006905B5" w:rsidR="003F1860">
        <w:rPr>
          <w:rStyle w:val="ra"/>
          <w:rFonts w:ascii="Times New Roman" w:hAnsi="Times New Roman" w:cs="Times New Roman"/>
        </w:rPr>
        <w:t xml:space="preserve"> s.r.o.</w:t>
      </w:r>
      <w:r w:rsidRPr="006905B5" w:rsidR="00B95634">
        <w:rPr>
          <w:rStyle w:val="ra"/>
          <w:rFonts w:ascii="Times New Roman" w:hAnsi="Times New Roman" w:cs="Times New Roman"/>
        </w:rPr>
        <w:t xml:space="preserve"> vypracovával pre MZ </w:t>
      </w:r>
      <w:r w:rsidRPr="006905B5" w:rsidR="003F1860">
        <w:rPr>
          <w:rStyle w:val="ra"/>
          <w:rFonts w:ascii="Times New Roman" w:hAnsi="Times New Roman" w:cs="Times New Roman"/>
        </w:rPr>
        <w:t>p</w:t>
      </w:r>
      <w:r w:rsidRPr="006905B5" w:rsidR="004A2ABC">
        <w:rPr>
          <w:rStyle w:val="ra"/>
          <w:rFonts w:ascii="Times New Roman" w:hAnsi="Times New Roman" w:cs="Times New Roman"/>
        </w:rPr>
        <w:t xml:space="preserve">rieskum verejnej mienky k postojom verejnosti </w:t>
      </w:r>
      <w:r w:rsidRPr="006905B5" w:rsidR="009C63AB">
        <w:rPr>
          <w:rStyle w:val="ra"/>
          <w:rFonts w:ascii="Times New Roman" w:hAnsi="Times New Roman" w:cs="Times New Roman"/>
        </w:rPr>
        <w:t>k problematike zdravotníctva, k Úradu pre dohľad nad zdravotnou starostlivosťou a k </w:t>
      </w:r>
      <w:r w:rsidRPr="006905B5" w:rsidR="003F1860">
        <w:rPr>
          <w:rStyle w:val="ra"/>
          <w:rFonts w:ascii="Times New Roman" w:hAnsi="Times New Roman" w:cs="Times New Roman"/>
        </w:rPr>
        <w:t>r</w:t>
      </w:r>
      <w:r w:rsidRPr="006905B5" w:rsidR="009C63AB">
        <w:rPr>
          <w:rStyle w:val="ra"/>
          <w:rFonts w:ascii="Times New Roman" w:hAnsi="Times New Roman" w:cs="Times New Roman"/>
        </w:rPr>
        <w:t xml:space="preserve">eforme zdravotníctva a jej informačných zdrojom. </w:t>
      </w:r>
      <w:r w:rsidRPr="006905B5" w:rsidR="006240CF">
        <w:rPr>
          <w:rStyle w:val="ra"/>
          <w:rFonts w:ascii="Times New Roman" w:hAnsi="Times New Roman" w:cs="Times New Roman"/>
        </w:rPr>
        <w:t>Prieskumy</w:t>
      </w:r>
      <w:r w:rsidRPr="006905B5" w:rsidR="008D73C0">
        <w:rPr>
          <w:rStyle w:val="ra"/>
          <w:rFonts w:ascii="Times New Roman" w:hAnsi="Times New Roman" w:cs="Times New Roman"/>
        </w:rPr>
        <w:t xml:space="preserve"> boli vykonané za obdobie rokov 2004 – 2006. </w:t>
      </w:r>
      <w:r w:rsidRPr="006905B5" w:rsidR="003F1860">
        <w:rPr>
          <w:rStyle w:val="ra"/>
          <w:rFonts w:ascii="Times New Roman" w:hAnsi="Times New Roman" w:cs="Times New Roman"/>
        </w:rPr>
        <w:t>Pozoruhodným je i fakt, že v</w:t>
      </w:r>
      <w:r w:rsidRPr="006905B5" w:rsidR="003A3514">
        <w:rPr>
          <w:rStyle w:val="ra"/>
          <w:rFonts w:ascii="Times New Roman" w:hAnsi="Times New Roman" w:cs="Times New Roman"/>
        </w:rPr>
        <w:t> čase vykonávania prieskumov bol Ján Králik</w:t>
      </w:r>
      <w:r w:rsidRPr="006905B5" w:rsidR="003F1860">
        <w:rPr>
          <w:rStyle w:val="ra"/>
          <w:rFonts w:ascii="Times New Roman" w:hAnsi="Times New Roman" w:cs="Times New Roman"/>
        </w:rPr>
        <w:t xml:space="preserve"> jedným zo </w:t>
      </w:r>
      <w:r w:rsidRPr="006905B5" w:rsidR="003A3514">
        <w:rPr>
          <w:rStyle w:val="ra"/>
          <w:rFonts w:ascii="Times New Roman" w:hAnsi="Times New Roman" w:cs="Times New Roman"/>
        </w:rPr>
        <w:t xml:space="preserve"> </w:t>
      </w:r>
      <w:r w:rsidRPr="006905B5" w:rsidR="00412DD0">
        <w:rPr>
          <w:rStyle w:val="ra"/>
          <w:rFonts w:ascii="Times New Roman" w:hAnsi="Times New Roman" w:cs="Times New Roman"/>
        </w:rPr>
        <w:t>spoločníko</w:t>
      </w:r>
      <w:r w:rsidRPr="006905B5" w:rsidR="003F1860">
        <w:rPr>
          <w:rStyle w:val="ra"/>
          <w:rFonts w:ascii="Times New Roman" w:hAnsi="Times New Roman" w:cs="Times New Roman"/>
        </w:rPr>
        <w:t>v</w:t>
      </w:r>
      <w:r w:rsidRPr="006905B5" w:rsidR="00412DD0">
        <w:rPr>
          <w:rStyle w:val="ra"/>
          <w:rFonts w:ascii="Times New Roman" w:hAnsi="Times New Roman" w:cs="Times New Roman"/>
        </w:rPr>
        <w:t xml:space="preserve"> Focus</w:t>
      </w:r>
      <w:r w:rsidRPr="006905B5" w:rsidR="003F1860">
        <w:rPr>
          <w:rStyle w:val="ra"/>
          <w:rFonts w:ascii="Times New Roman" w:hAnsi="Times New Roman" w:cs="Times New Roman"/>
        </w:rPr>
        <w:t xml:space="preserve"> s.r.o.</w:t>
      </w:r>
      <w:r w:rsidRPr="006905B5" w:rsidR="008939AC">
        <w:rPr>
          <w:rStyle w:val="ra"/>
          <w:rFonts w:ascii="Times New Roman" w:hAnsi="Times New Roman" w:cs="Times New Roman"/>
        </w:rPr>
        <w:t>(2002 -2005)</w:t>
      </w:r>
      <w:r w:rsidRPr="006905B5" w:rsidR="006240CF">
        <w:rPr>
          <w:rStyle w:val="ra"/>
          <w:rFonts w:ascii="Times New Roman" w:hAnsi="Times New Roman" w:cs="Times New Roman"/>
        </w:rPr>
        <w:t xml:space="preserve"> a zároveň </w:t>
      </w:r>
      <w:r w:rsidRPr="006905B5" w:rsidR="008939AC">
        <w:rPr>
          <w:rStyle w:val="ra"/>
          <w:rFonts w:ascii="Times New Roman" w:hAnsi="Times New Roman" w:cs="Times New Roman"/>
        </w:rPr>
        <w:t xml:space="preserve">Ján Králik </w:t>
      </w:r>
      <w:r w:rsidRPr="006905B5" w:rsidR="006240CF">
        <w:rPr>
          <w:rStyle w:val="ra"/>
          <w:rFonts w:ascii="Times New Roman" w:hAnsi="Times New Roman" w:cs="Times New Roman"/>
        </w:rPr>
        <w:t>pôsobil</w:t>
      </w:r>
      <w:r w:rsidRPr="006905B5" w:rsidR="002F16F0">
        <w:rPr>
          <w:rStyle w:val="ra"/>
          <w:rFonts w:ascii="Times New Roman" w:hAnsi="Times New Roman" w:cs="Times New Roman"/>
        </w:rPr>
        <w:t xml:space="preserve"> od 1.12.2002</w:t>
      </w:r>
      <w:r w:rsidRPr="006905B5" w:rsidR="006240CF">
        <w:rPr>
          <w:rStyle w:val="ra"/>
          <w:rFonts w:ascii="Times New Roman" w:hAnsi="Times New Roman" w:cs="Times New Roman"/>
        </w:rPr>
        <w:t xml:space="preserve"> i na MZ, </w:t>
      </w:r>
      <w:r w:rsidRPr="006905B5" w:rsidR="002F16F0">
        <w:rPr>
          <w:rStyle w:val="ra"/>
          <w:rFonts w:ascii="Times New Roman" w:hAnsi="Times New Roman" w:cs="Times New Roman"/>
        </w:rPr>
        <w:t>v rokoch 2003</w:t>
      </w:r>
      <w:r w:rsidRPr="006905B5" w:rsidR="008939AC">
        <w:rPr>
          <w:rStyle w:val="ra"/>
          <w:rFonts w:ascii="Times New Roman" w:hAnsi="Times New Roman" w:cs="Times New Roman"/>
        </w:rPr>
        <w:t xml:space="preserve"> a 2005-6</w:t>
      </w:r>
      <w:r w:rsidRPr="006905B5" w:rsidR="006240CF">
        <w:rPr>
          <w:rStyle w:val="ra"/>
          <w:rFonts w:ascii="Times New Roman" w:hAnsi="Times New Roman" w:cs="Times New Roman"/>
        </w:rPr>
        <w:t xml:space="preserve"> dokonca ako </w:t>
      </w:r>
      <w:r w:rsidRPr="006905B5" w:rsidR="008939AC">
        <w:rPr>
          <w:rStyle w:val="ra"/>
          <w:rFonts w:ascii="Times New Roman" w:hAnsi="Times New Roman" w:cs="Times New Roman"/>
        </w:rPr>
        <w:t>vrchný (</w:t>
      </w:r>
      <w:r w:rsidRPr="006905B5" w:rsidR="006240CF">
        <w:rPr>
          <w:rFonts w:ascii="Times New Roman" w:hAnsi="Times New Roman" w:cs="Times New Roman"/>
        </w:rPr>
        <w:t>generálny</w:t>
      </w:r>
      <w:r w:rsidRPr="006905B5" w:rsidR="008939AC">
        <w:rPr>
          <w:rFonts w:ascii="Times New Roman" w:hAnsi="Times New Roman" w:cs="Times New Roman"/>
        </w:rPr>
        <w:t>)</w:t>
      </w:r>
      <w:r w:rsidRPr="006905B5" w:rsidR="006240CF">
        <w:rPr>
          <w:rFonts w:ascii="Times New Roman" w:hAnsi="Times New Roman" w:cs="Times New Roman"/>
        </w:rPr>
        <w:t xml:space="preserve"> riaditeľ sekcie </w:t>
      </w:r>
      <w:r w:rsidRPr="006905B5" w:rsidR="008939AC">
        <w:rPr>
          <w:rFonts w:ascii="Times New Roman" w:hAnsi="Times New Roman" w:cs="Times New Roman"/>
        </w:rPr>
        <w:t>ekonomiky MZ</w:t>
      </w:r>
      <w:r w:rsidRPr="006905B5" w:rsidR="003F1860">
        <w:rPr>
          <w:rStyle w:val="ra"/>
          <w:rFonts w:ascii="Times New Roman" w:hAnsi="Times New Roman" w:cs="Times New Roman"/>
        </w:rPr>
        <w:t xml:space="preserve">. </w:t>
      </w:r>
      <w:r w:rsidRPr="006905B5" w:rsidR="00245684">
        <w:rPr>
          <w:rFonts w:ascii="Times New Roman" w:hAnsi="Times New Roman" w:cs="Times New Roman"/>
        </w:rPr>
        <w:t xml:space="preserve">Daná skutočnosť sa celkom určite odrazila aj v kvalite vykonávaných prieskumov verejnej mienky. </w:t>
      </w:r>
    </w:p>
    <w:p w:rsidR="003F1860" w:rsidRPr="006905B5" w:rsidP="003F1860">
      <w:pPr>
        <w:ind w:firstLine="708"/>
        <w:jc w:val="both"/>
        <w:rPr>
          <w:rFonts w:ascii="Times New Roman" w:hAnsi="Times New Roman" w:cs="Times New Roman"/>
        </w:rPr>
      </w:pPr>
      <w:r w:rsidRPr="006905B5">
        <w:rPr>
          <w:rFonts w:ascii="Times New Roman" w:hAnsi="Times New Roman" w:cs="Times New Roman"/>
        </w:rPr>
        <w:t>Na ilustráciu efektívnosti využitia spomínaných finančných prostriedkov sa žiada uviesť  jeden konkrétny príklad.</w:t>
      </w:r>
    </w:p>
    <w:p w:rsidR="003F1860" w:rsidRPr="006905B5" w:rsidP="003F1860">
      <w:pPr>
        <w:ind w:firstLine="708"/>
        <w:jc w:val="both"/>
        <w:rPr>
          <w:rFonts w:ascii="Times New Roman" w:hAnsi="Times New Roman" w:cs="Times New Roman"/>
        </w:rPr>
      </w:pPr>
      <w:r w:rsidRPr="006905B5">
        <w:rPr>
          <w:rFonts w:ascii="Times New Roman" w:hAnsi="Times New Roman" w:cs="Times New Roman"/>
        </w:rPr>
        <w:t>V roku 2004 bolo v rámci projektu vynaložených na médiá 9</w:t>
      </w:r>
      <w:r w:rsidRPr="006905B5" w:rsidR="002F16F0">
        <w:rPr>
          <w:rFonts w:ascii="Times New Roman" w:hAnsi="Times New Roman" w:cs="Times New Roman"/>
        </w:rPr>
        <w:t>,15 mil.</w:t>
      </w:r>
      <w:r w:rsidRPr="006905B5">
        <w:rPr>
          <w:rFonts w:ascii="Times New Roman" w:hAnsi="Times New Roman" w:cs="Times New Roman"/>
        </w:rPr>
        <w:t xml:space="preserve"> Sk a na tlačoviny 11</w:t>
      </w:r>
      <w:r w:rsidRPr="006905B5" w:rsidR="002F16F0">
        <w:rPr>
          <w:rFonts w:ascii="Times New Roman" w:hAnsi="Times New Roman" w:cs="Times New Roman"/>
        </w:rPr>
        <w:t>,3 mil.</w:t>
      </w:r>
      <w:r w:rsidRPr="006905B5">
        <w:rPr>
          <w:rFonts w:ascii="Times New Roman" w:hAnsi="Times New Roman" w:cs="Times New Roman"/>
        </w:rPr>
        <w:t xml:space="preserve"> Sk. Ako vyplýva z prieskumov vykonávaných agentúrou FOCUS v decembri 2004, len 10% respondentov prelistovalo aspoň jeden z informačných materiálov MZ pripravených v rámci predmetnej informačnej kampane. Ďalších 16% respondentov takýto materiál videlo, ale ho nečítalo ani v ňom nelistovalo a až 74% respondentov žiadny z takýchto informačných materiálov nevidelo. Na základe vyššie uvedených výsledkov prieskumu je možné konštatovať, že 20</w:t>
      </w:r>
      <w:r w:rsidRPr="006905B5" w:rsidR="002F16F0">
        <w:rPr>
          <w:rFonts w:ascii="Times New Roman" w:hAnsi="Times New Roman" w:cs="Times New Roman"/>
        </w:rPr>
        <w:t>,45 mil.</w:t>
      </w:r>
      <w:r w:rsidRPr="006905B5">
        <w:rPr>
          <w:rFonts w:ascii="Times New Roman" w:hAnsi="Times New Roman" w:cs="Times New Roman"/>
        </w:rPr>
        <w:t xml:space="preserve"> Sk bolo vynaložených „bez dosiahnutia želaného efektu“. </w:t>
      </w:r>
    </w:p>
    <w:p w:rsidR="003F1860" w:rsidRPr="006905B5" w:rsidP="00042A13">
      <w:pPr>
        <w:ind w:firstLine="708"/>
        <w:jc w:val="both"/>
        <w:rPr>
          <w:rFonts w:ascii="Times New Roman" w:hAnsi="Times New Roman" w:cs="Times New Roman"/>
        </w:rPr>
      </w:pPr>
    </w:p>
    <w:p w:rsidR="001639CF" w:rsidRPr="006905B5" w:rsidP="00042A13">
      <w:pPr>
        <w:ind w:firstLine="708"/>
        <w:jc w:val="both"/>
        <w:rPr>
          <w:rFonts w:ascii="Times New Roman" w:hAnsi="Times New Roman" w:cs="Times New Roman"/>
        </w:rPr>
      </w:pPr>
    </w:p>
    <w:p w:rsidR="006D2AD1" w:rsidRPr="006905B5" w:rsidP="00042A13">
      <w:pPr>
        <w:ind w:firstLine="708"/>
        <w:jc w:val="both"/>
        <w:rPr>
          <w:rFonts w:ascii="Times New Roman" w:hAnsi="Times New Roman" w:cs="Times New Roman"/>
        </w:rPr>
      </w:pPr>
      <w:r w:rsidRPr="006905B5">
        <w:rPr>
          <w:rFonts w:ascii="Times New Roman" w:hAnsi="Times New Roman" w:cs="Times New Roman"/>
        </w:rPr>
        <w:t xml:space="preserve">Niektoré fyzické a právnické osoby boli za konzultačnú činnosť vyplácané </w:t>
      </w:r>
      <w:r w:rsidRPr="006905B5" w:rsidR="00B63F9D">
        <w:rPr>
          <w:rFonts w:ascii="Times New Roman" w:hAnsi="Times New Roman" w:cs="Times New Roman"/>
        </w:rPr>
        <w:t>aj z rozpočtovan</w:t>
      </w:r>
      <w:r w:rsidRPr="006905B5" w:rsidR="000A42A5">
        <w:rPr>
          <w:rFonts w:ascii="Times New Roman" w:hAnsi="Times New Roman" w:cs="Times New Roman"/>
        </w:rPr>
        <w:t xml:space="preserve">ých prostriedkov MZ. Za obdobie rokov 2002 – 2006 bolo </w:t>
      </w:r>
      <w:r w:rsidRPr="006905B5" w:rsidR="00424E1B">
        <w:rPr>
          <w:rFonts w:ascii="Times New Roman" w:hAnsi="Times New Roman" w:cs="Times New Roman"/>
        </w:rPr>
        <w:t xml:space="preserve">z uvedených zdrojov MZ za konzultačné služby a poradenstvo vyplatené spolu takmer </w:t>
      </w:r>
      <w:r w:rsidRPr="006905B5" w:rsidR="00A72A82">
        <w:rPr>
          <w:rFonts w:ascii="Times New Roman" w:hAnsi="Times New Roman" w:cs="Times New Roman"/>
        </w:rPr>
        <w:t xml:space="preserve">21 miliónov </w:t>
      </w:r>
      <w:r w:rsidRPr="006905B5" w:rsidR="00424E1B">
        <w:rPr>
          <w:rFonts w:ascii="Times New Roman" w:hAnsi="Times New Roman" w:cs="Times New Roman"/>
        </w:rPr>
        <w:t xml:space="preserve"> Sk. </w:t>
      </w:r>
      <w:r w:rsidRPr="006905B5" w:rsidR="00162437">
        <w:rPr>
          <w:rFonts w:ascii="Times New Roman" w:hAnsi="Times New Roman" w:cs="Times New Roman"/>
        </w:rPr>
        <w:t>Na „výplatnej listine“ sa za dané obdobie</w:t>
      </w:r>
      <w:r w:rsidRPr="006905B5" w:rsidR="005C7A32">
        <w:rPr>
          <w:rFonts w:ascii="Times New Roman" w:hAnsi="Times New Roman" w:cs="Times New Roman"/>
        </w:rPr>
        <w:t xml:space="preserve"> nachádzali osoby </w:t>
      </w:r>
      <w:r w:rsidRPr="006905B5" w:rsidR="008849E5">
        <w:rPr>
          <w:rFonts w:ascii="Times New Roman" w:hAnsi="Times New Roman" w:cs="Times New Roman"/>
        </w:rPr>
        <w:t xml:space="preserve">ako napr. </w:t>
      </w:r>
      <w:r w:rsidRPr="006905B5" w:rsidR="005C7A32">
        <w:rPr>
          <w:rFonts w:ascii="Times New Roman" w:hAnsi="Times New Roman" w:cs="Times New Roman"/>
        </w:rPr>
        <w:t>Ing. Ján Králik,</w:t>
      </w:r>
      <w:r w:rsidRPr="006905B5" w:rsidR="006240CF">
        <w:rPr>
          <w:rFonts w:ascii="Times New Roman" w:hAnsi="Times New Roman" w:cs="Times New Roman"/>
        </w:rPr>
        <w:t xml:space="preserve"> </w:t>
      </w:r>
      <w:r w:rsidR="0089579C">
        <w:rPr>
          <w:rFonts w:ascii="Times New Roman" w:hAnsi="Times New Roman" w:cs="Times New Roman"/>
        </w:rPr>
        <w:t xml:space="preserve">          </w:t>
      </w:r>
      <w:r w:rsidRPr="006905B5" w:rsidR="00440F5E">
        <w:rPr>
          <w:rFonts w:ascii="Times New Roman" w:hAnsi="Times New Roman" w:cs="Times New Roman"/>
        </w:rPr>
        <w:t xml:space="preserve">JUDr. Miroslav Králik, </w:t>
      </w:r>
      <w:r w:rsidRPr="006905B5" w:rsidR="004558EA">
        <w:rPr>
          <w:rFonts w:ascii="Times New Roman" w:hAnsi="Times New Roman" w:cs="Times New Roman"/>
        </w:rPr>
        <w:t xml:space="preserve"> JUDr. Ernest Valko</w:t>
      </w:r>
      <w:r w:rsidRPr="006905B5" w:rsidR="005C7A32">
        <w:rPr>
          <w:rFonts w:ascii="Times New Roman" w:hAnsi="Times New Roman" w:cs="Times New Roman"/>
        </w:rPr>
        <w:t xml:space="preserve">, </w:t>
      </w:r>
      <w:r w:rsidRPr="006905B5" w:rsidR="000D109C">
        <w:rPr>
          <w:rFonts w:ascii="Times New Roman" w:hAnsi="Times New Roman" w:cs="Times New Roman"/>
        </w:rPr>
        <w:t xml:space="preserve"> </w:t>
      </w:r>
      <w:r w:rsidRPr="006905B5" w:rsidR="004965C2">
        <w:rPr>
          <w:rFonts w:ascii="Times New Roman" w:hAnsi="Times New Roman" w:cs="Times New Roman"/>
        </w:rPr>
        <w:t xml:space="preserve">JUDr. Róbert Lenceš, </w:t>
      </w:r>
      <w:r w:rsidRPr="006905B5" w:rsidR="00CF4DCE">
        <w:rPr>
          <w:rFonts w:ascii="Times New Roman" w:hAnsi="Times New Roman" w:cs="Times New Roman"/>
        </w:rPr>
        <w:t>JUDr. Ján Árendárik,</w:t>
      </w:r>
      <w:r w:rsidRPr="006905B5" w:rsidR="008D42E6">
        <w:rPr>
          <w:rFonts w:ascii="Times New Roman" w:hAnsi="Times New Roman" w:cs="Times New Roman"/>
        </w:rPr>
        <w:t xml:space="preserve"> Mgr. Henrieta Maďarová, MUDr. Angelika Szalayová, </w:t>
      </w:r>
      <w:r w:rsidRPr="006905B5" w:rsidR="00D90D10">
        <w:rPr>
          <w:rFonts w:ascii="Times New Roman" w:hAnsi="Times New Roman" w:cs="Times New Roman"/>
        </w:rPr>
        <w:t>MUDr. Tomáš Szalay</w:t>
      </w:r>
      <w:r w:rsidRPr="006905B5" w:rsidR="00B578D8">
        <w:rPr>
          <w:rFonts w:ascii="Times New Roman" w:hAnsi="Times New Roman" w:cs="Times New Roman"/>
        </w:rPr>
        <w:t>, Ing.</w:t>
      </w:r>
      <w:r w:rsidRPr="006905B5" w:rsidR="002B2C52">
        <w:rPr>
          <w:rFonts w:ascii="Times New Roman" w:hAnsi="Times New Roman" w:cs="Times New Roman"/>
        </w:rPr>
        <w:t xml:space="preserve"> Peter Pažitný,</w:t>
      </w:r>
      <w:r w:rsidRPr="006905B5" w:rsidR="002A32A6">
        <w:rPr>
          <w:rFonts w:ascii="Times New Roman" w:hAnsi="Times New Roman" w:cs="Times New Roman"/>
        </w:rPr>
        <w:t xml:space="preserve"> MUDr. Alexandra Novotná, Ing.</w:t>
      </w:r>
      <w:r w:rsidRPr="006905B5" w:rsidR="001639CF">
        <w:rPr>
          <w:rFonts w:ascii="Times New Roman" w:hAnsi="Times New Roman" w:cs="Times New Roman"/>
        </w:rPr>
        <w:t xml:space="preserve"> Jana</w:t>
      </w:r>
      <w:r w:rsidRPr="006905B5" w:rsidR="002A32A6">
        <w:rPr>
          <w:rFonts w:ascii="Times New Roman" w:hAnsi="Times New Roman" w:cs="Times New Roman"/>
        </w:rPr>
        <w:t xml:space="preserve"> Ježíková</w:t>
      </w:r>
      <w:r w:rsidR="00BE65B1">
        <w:rPr>
          <w:rFonts w:ascii="Times New Roman" w:hAnsi="Times New Roman" w:cs="Times New Roman"/>
        </w:rPr>
        <w:t>, HPI</w:t>
      </w:r>
      <w:r w:rsidRPr="006905B5" w:rsidR="000665DE">
        <w:rPr>
          <w:rFonts w:ascii="Times New Roman" w:hAnsi="Times New Roman" w:cs="Times New Roman"/>
        </w:rPr>
        <w:t xml:space="preserve"> a pod., pričom väčšina z uvedených osôb tvorila tzv. reformný tím ministra Zajaca. </w:t>
      </w:r>
    </w:p>
    <w:sectPr>
      <w:footerReference w:type="even" r:id="rId7"/>
      <w:footerReference w:type="default" r:id="rId8"/>
      <w:pgSz w:w="11906" w:h="16838"/>
      <w:pgMar w:top="1418" w:right="1418" w:bottom="1418"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01" w:rsidP="005536C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50D01">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01" w:rsidRPr="00E3648D" w:rsidP="005536C7">
    <w:pPr>
      <w:pStyle w:val="Footer"/>
      <w:framePr w:vAnchor="text" w:hAnchor="margin" w:xAlign="center" w:y="1"/>
      <w:rPr>
        <w:rStyle w:val="PageNumber"/>
        <w:rFonts w:ascii="Times New Roman" w:hAnsi="Times New Roman" w:cs="Times New Roman"/>
        <w:sz w:val="20"/>
        <w:szCs w:val="20"/>
      </w:rPr>
    </w:pPr>
  </w:p>
  <w:p w:rsidR="00550D01" w:rsidRPr="00E3648D" w:rsidP="00E3648D">
    <w:pPr>
      <w:jc w:val="center"/>
      <w:rPr>
        <w:rFonts w:ascii="Times New Roman" w:hAnsi="Times New Roman" w:cs="Times New Roman"/>
      </w:rPr>
    </w:pPr>
    <w:r w:rsidRPr="005F1D98">
      <w:rPr>
        <w:rFonts w:ascii="Times New Roman" w:hAnsi="Times New Roman" w:cs="Times New Roman"/>
      </w:rPr>
      <w:t>-</w:t>
    </w:r>
    <w:r w:rsidRPr="00E3648D">
      <w:rPr>
        <w:rFonts w:ascii="Times New Roman" w:hAnsi="Times New Roman" w:cs="Times New Roman"/>
        <w:sz w:val="20"/>
      </w:rPr>
      <w:t xml:space="preserve"> </w:t>
    </w:r>
    <w:r w:rsidRPr="00E3648D">
      <w:rPr>
        <w:rFonts w:ascii="Times New Roman" w:hAnsi="Times New Roman" w:cs="Times New Roman"/>
        <w:sz w:val="20"/>
      </w:rPr>
      <w:fldChar w:fldCharType="begin"/>
    </w:r>
    <w:r w:rsidRPr="00E3648D">
      <w:rPr>
        <w:rFonts w:ascii="Times New Roman" w:hAnsi="Times New Roman" w:cs="Times New Roman"/>
        <w:sz w:val="20"/>
      </w:rPr>
      <w:instrText xml:space="preserve"> PAGE </w:instrText>
    </w:r>
    <w:r w:rsidRPr="00E3648D">
      <w:rPr>
        <w:rFonts w:ascii="Times New Roman" w:hAnsi="Times New Roman" w:cs="Times New Roman"/>
        <w:sz w:val="20"/>
      </w:rPr>
      <w:fldChar w:fldCharType="separate"/>
    </w:r>
    <w:r w:rsidR="0065181E">
      <w:rPr>
        <w:rFonts w:ascii="Times New Roman" w:hAnsi="Times New Roman" w:cs="Times New Roman"/>
        <w:noProof/>
        <w:sz w:val="20"/>
      </w:rPr>
      <w:t>21</w:t>
    </w:r>
    <w:r w:rsidRPr="00E3648D">
      <w:rPr>
        <w:rFonts w:ascii="Times New Roman" w:hAnsi="Times New Roman" w:cs="Times New Roman"/>
        <w:sz w:val="20"/>
      </w:rPr>
      <w:fldChar w:fldCharType="end"/>
    </w:r>
    <w:r w:rsidRPr="005F1D98">
      <w:rP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02C3"/>
    <w:multiLevelType w:val="hybridMultilevel"/>
    <w:tmpl w:val="34A899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9041834"/>
    <w:multiLevelType w:val="multilevel"/>
    <w:tmpl w:val="7628678A"/>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2">
    <w:nsid w:val="2514234C"/>
    <w:multiLevelType w:val="hybridMultilevel"/>
    <w:tmpl w:val="D1927E42"/>
    <w:lvl w:ilvl="0">
      <w:start w:val="1"/>
      <w:numFmt w:val="decimal"/>
      <w:lvlText w:val="%1."/>
      <w:lvlJc w:val="left"/>
      <w:pPr>
        <w:tabs>
          <w:tab w:val="num" w:pos="720"/>
        </w:tabs>
        <w:ind w:left="720" w:hanging="360"/>
      </w:pPr>
      <w:rPr>
        <w:b/>
        <w:bCs/>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CEE4F6B"/>
    <w:multiLevelType w:val="hybridMultilevel"/>
    <w:tmpl w:val="0CA4473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cs="Wingdings"/>
        <w:rtl w:val="0"/>
      </w:rPr>
    </w:lvl>
    <w:lvl w:ilvl="3">
      <w:start w:val="1"/>
      <w:numFmt w:val="bullet"/>
      <w:lvlText w:val=""/>
      <w:lvlJc w:val="left"/>
      <w:pPr>
        <w:tabs>
          <w:tab w:val="num" w:pos="2520"/>
        </w:tabs>
        <w:ind w:left="2520" w:hanging="360"/>
      </w:pPr>
      <w:rPr>
        <w:rFonts w:ascii="Symbol" w:hAnsi="Symbol" w:cs="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cs="Wingdings"/>
        <w:rtl w:val="0"/>
      </w:rPr>
    </w:lvl>
    <w:lvl w:ilvl="6">
      <w:start w:val="1"/>
      <w:numFmt w:val="bullet"/>
      <w:lvlText w:val=""/>
      <w:lvlJc w:val="left"/>
      <w:pPr>
        <w:tabs>
          <w:tab w:val="num" w:pos="4680"/>
        </w:tabs>
        <w:ind w:left="4680" w:hanging="360"/>
      </w:pPr>
      <w:rPr>
        <w:rFonts w:ascii="Symbol" w:hAnsi="Symbol" w:cs="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cs="Wingdings"/>
        <w:rtl w:val="0"/>
      </w:rPr>
    </w:lvl>
  </w:abstractNum>
  <w:abstractNum w:abstractNumId="4">
    <w:nsid w:val="2DBB0963"/>
    <w:multiLevelType w:val="hybridMultilevel"/>
    <w:tmpl w:val="81C02776"/>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5">
    <w:nsid w:val="333A70A5"/>
    <w:multiLevelType w:val="hybridMultilevel"/>
    <w:tmpl w:val="7628678A"/>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6">
    <w:nsid w:val="36785277"/>
    <w:multiLevelType w:val="hybridMultilevel"/>
    <w:tmpl w:val="0C0696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9A79D5"/>
    <w:multiLevelType w:val="hybridMultilevel"/>
    <w:tmpl w:val="08A4B5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8474C42"/>
    <w:multiLevelType w:val="hybridMultilevel"/>
    <w:tmpl w:val="48A2BE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11C220C"/>
    <w:multiLevelType w:val="hybridMultilevel"/>
    <w:tmpl w:val="FFC829AA"/>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0">
    <w:nsid w:val="4BFA6838"/>
    <w:multiLevelType w:val="hybridMultilevel"/>
    <w:tmpl w:val="9BC0AE94"/>
    <w:lvl w:ilvl="0">
      <w:start w:val="1"/>
      <w:numFmt w:val="decimal"/>
      <w:lvlText w:val="%1."/>
      <w:lvlJc w:val="left"/>
      <w:pPr>
        <w:tabs>
          <w:tab w:val="num" w:pos="720"/>
        </w:tabs>
        <w:ind w:left="720" w:hanging="360"/>
      </w:pPr>
      <w:rPr>
        <w:b w:val="0"/>
        <w:b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FFC36EF"/>
    <w:multiLevelType w:val="hybridMultilevel"/>
    <w:tmpl w:val="DCC620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81723FD"/>
    <w:multiLevelType w:val="hybridMultilevel"/>
    <w:tmpl w:val="A7085EBE"/>
    <w:lvl w:ilvl="0">
      <w:start w:val="1"/>
      <w:numFmt w:val="upp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3">
    <w:nsid w:val="64F5482E"/>
    <w:multiLevelType w:val="multilevel"/>
    <w:tmpl w:val="ABEAB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4">
    <w:nsid w:val="6F567E05"/>
    <w:multiLevelType w:val="hybridMultilevel"/>
    <w:tmpl w:val="4300C3AC"/>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5">
    <w:nsid w:val="74746913"/>
    <w:multiLevelType w:val="hybridMultilevel"/>
    <w:tmpl w:val="678611B8"/>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
    <w:nsid w:val="78A34DC1"/>
    <w:multiLevelType w:val="hybridMultilevel"/>
    <w:tmpl w:val="CF40479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
    <w:nsid w:val="7C965CF5"/>
    <w:multiLevelType w:val="hybridMultilevel"/>
    <w:tmpl w:val="1A18776A"/>
    <w:lvl w:ilvl="0">
      <w:start w:val="1"/>
      <w:numFmt w:val="bullet"/>
      <w:lvlText w:val="-"/>
      <w:lvlJc w:val="left"/>
      <w:pPr>
        <w:tabs>
          <w:tab w:val="num" w:pos="720"/>
        </w:tabs>
        <w:ind w:left="720" w:hanging="360"/>
      </w:pPr>
      <w:rPr>
        <w:rFonts w:ascii="Times New Roman" w:hAnsi="Times New Roman"/>
        <w:b/>
        <w:bCs/>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8">
    <w:nsid w:val="7CAE616B"/>
    <w:multiLevelType w:val="hybridMultilevel"/>
    <w:tmpl w:val="865888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7"/>
  </w:num>
  <w:num w:numId="3">
    <w:abstractNumId w:val="17"/>
  </w:num>
  <w:num w:numId="4">
    <w:abstractNumId w:val="18"/>
  </w:num>
  <w:num w:numId="5">
    <w:abstractNumId w:val="11"/>
  </w:num>
  <w:num w:numId="6">
    <w:abstractNumId w:val="10"/>
  </w:num>
  <w:num w:numId="7">
    <w:abstractNumId w:val="6"/>
  </w:num>
  <w:num w:numId="8">
    <w:abstractNumId w:val="2"/>
  </w:num>
  <w:num w:numId="9">
    <w:abstractNumId w:val="3"/>
  </w:num>
  <w:num w:numId="10">
    <w:abstractNumId w:val="14"/>
  </w:num>
  <w:num w:numId="11">
    <w:abstractNumId w:val="4"/>
  </w:num>
  <w:num w:numId="12">
    <w:abstractNumId w:val="5"/>
  </w:num>
  <w:num w:numId="13">
    <w:abstractNumId w:val="9"/>
  </w:num>
  <w:num w:numId="14">
    <w:abstractNumId w:val="12"/>
  </w:num>
  <w:num w:numId="15">
    <w:abstractNumId w:val="13"/>
  </w:num>
  <w:num w:numId="16">
    <w:abstractNumId w:val="16"/>
  </w:num>
  <w:num w:numId="17">
    <w:abstractNumId w:val="0"/>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046BE"/>
    <w:rsid w:val="00005EB8"/>
    <w:rsid w:val="00014195"/>
    <w:rsid w:val="0001609A"/>
    <w:rsid w:val="000171F4"/>
    <w:rsid w:val="000304D5"/>
    <w:rsid w:val="00030D23"/>
    <w:rsid w:val="00031BF1"/>
    <w:rsid w:val="00037EEC"/>
    <w:rsid w:val="00042A13"/>
    <w:rsid w:val="00043A13"/>
    <w:rsid w:val="00043F33"/>
    <w:rsid w:val="00044AE2"/>
    <w:rsid w:val="000502BE"/>
    <w:rsid w:val="00050940"/>
    <w:rsid w:val="00052100"/>
    <w:rsid w:val="00052E29"/>
    <w:rsid w:val="00063426"/>
    <w:rsid w:val="000648C9"/>
    <w:rsid w:val="000665DE"/>
    <w:rsid w:val="00067913"/>
    <w:rsid w:val="00070A32"/>
    <w:rsid w:val="000736A9"/>
    <w:rsid w:val="0007403F"/>
    <w:rsid w:val="000861BB"/>
    <w:rsid w:val="00093B19"/>
    <w:rsid w:val="0009727C"/>
    <w:rsid w:val="000A0054"/>
    <w:rsid w:val="000A42A5"/>
    <w:rsid w:val="000B2040"/>
    <w:rsid w:val="000B38A2"/>
    <w:rsid w:val="000B5EA8"/>
    <w:rsid w:val="000C69D9"/>
    <w:rsid w:val="000D109C"/>
    <w:rsid w:val="000D5EC6"/>
    <w:rsid w:val="000D6121"/>
    <w:rsid w:val="000F17E2"/>
    <w:rsid w:val="000F3A4E"/>
    <w:rsid w:val="001029DD"/>
    <w:rsid w:val="0010798D"/>
    <w:rsid w:val="00117D9F"/>
    <w:rsid w:val="0012073D"/>
    <w:rsid w:val="00125A68"/>
    <w:rsid w:val="001320AC"/>
    <w:rsid w:val="00140CF9"/>
    <w:rsid w:val="0014325B"/>
    <w:rsid w:val="0014635F"/>
    <w:rsid w:val="00154183"/>
    <w:rsid w:val="00155090"/>
    <w:rsid w:val="00156646"/>
    <w:rsid w:val="00162437"/>
    <w:rsid w:val="001639CF"/>
    <w:rsid w:val="0018372A"/>
    <w:rsid w:val="00190850"/>
    <w:rsid w:val="001923B1"/>
    <w:rsid w:val="001933B3"/>
    <w:rsid w:val="001A22CB"/>
    <w:rsid w:val="001A7EFF"/>
    <w:rsid w:val="001B12B5"/>
    <w:rsid w:val="001B55AD"/>
    <w:rsid w:val="001C19F9"/>
    <w:rsid w:val="001C5ED2"/>
    <w:rsid w:val="001E14D8"/>
    <w:rsid w:val="001E2A86"/>
    <w:rsid w:val="001E40FD"/>
    <w:rsid w:val="001F38C7"/>
    <w:rsid w:val="001F4C63"/>
    <w:rsid w:val="00201761"/>
    <w:rsid w:val="002071E5"/>
    <w:rsid w:val="002123A6"/>
    <w:rsid w:val="002136BB"/>
    <w:rsid w:val="00213985"/>
    <w:rsid w:val="00215B00"/>
    <w:rsid w:val="002267C5"/>
    <w:rsid w:val="002376F3"/>
    <w:rsid w:val="00242753"/>
    <w:rsid w:val="0024374E"/>
    <w:rsid w:val="00245684"/>
    <w:rsid w:val="002647DC"/>
    <w:rsid w:val="002748CA"/>
    <w:rsid w:val="00275D10"/>
    <w:rsid w:val="00277296"/>
    <w:rsid w:val="002A32A6"/>
    <w:rsid w:val="002A775D"/>
    <w:rsid w:val="002B2C52"/>
    <w:rsid w:val="002B6D58"/>
    <w:rsid w:val="002D22DD"/>
    <w:rsid w:val="002D663A"/>
    <w:rsid w:val="002D7FBE"/>
    <w:rsid w:val="002F101B"/>
    <w:rsid w:val="002F16F0"/>
    <w:rsid w:val="002F3C13"/>
    <w:rsid w:val="002F50F8"/>
    <w:rsid w:val="002F6211"/>
    <w:rsid w:val="00300469"/>
    <w:rsid w:val="00301A47"/>
    <w:rsid w:val="00303805"/>
    <w:rsid w:val="00303DEA"/>
    <w:rsid w:val="00305063"/>
    <w:rsid w:val="00307247"/>
    <w:rsid w:val="00311BC1"/>
    <w:rsid w:val="003160F6"/>
    <w:rsid w:val="003165D0"/>
    <w:rsid w:val="00336C19"/>
    <w:rsid w:val="00344F5A"/>
    <w:rsid w:val="00351947"/>
    <w:rsid w:val="00352EE4"/>
    <w:rsid w:val="00352F0A"/>
    <w:rsid w:val="00354AFA"/>
    <w:rsid w:val="003631D0"/>
    <w:rsid w:val="003765EA"/>
    <w:rsid w:val="00385948"/>
    <w:rsid w:val="0039207D"/>
    <w:rsid w:val="00392458"/>
    <w:rsid w:val="003945C1"/>
    <w:rsid w:val="00396E89"/>
    <w:rsid w:val="003A3514"/>
    <w:rsid w:val="003A6EC6"/>
    <w:rsid w:val="003B0683"/>
    <w:rsid w:val="003B07C7"/>
    <w:rsid w:val="003B0DB7"/>
    <w:rsid w:val="003F161C"/>
    <w:rsid w:val="003F1860"/>
    <w:rsid w:val="003F26BC"/>
    <w:rsid w:val="00406056"/>
    <w:rsid w:val="00412DD0"/>
    <w:rsid w:val="00423BFF"/>
    <w:rsid w:val="00424E1B"/>
    <w:rsid w:val="004348CA"/>
    <w:rsid w:val="00440F5E"/>
    <w:rsid w:val="00442A13"/>
    <w:rsid w:val="0044539A"/>
    <w:rsid w:val="00450A4D"/>
    <w:rsid w:val="004550FC"/>
    <w:rsid w:val="0045557A"/>
    <w:rsid w:val="004558EA"/>
    <w:rsid w:val="00457D7F"/>
    <w:rsid w:val="00462A55"/>
    <w:rsid w:val="00462C78"/>
    <w:rsid w:val="00465212"/>
    <w:rsid w:val="0046632D"/>
    <w:rsid w:val="00477023"/>
    <w:rsid w:val="004770BA"/>
    <w:rsid w:val="00480D44"/>
    <w:rsid w:val="0048241D"/>
    <w:rsid w:val="004965C2"/>
    <w:rsid w:val="004A2ABC"/>
    <w:rsid w:val="004A7DFF"/>
    <w:rsid w:val="004D4189"/>
    <w:rsid w:val="004E06B9"/>
    <w:rsid w:val="004E1CB1"/>
    <w:rsid w:val="004E65E5"/>
    <w:rsid w:val="004F13B7"/>
    <w:rsid w:val="004F2B66"/>
    <w:rsid w:val="004F35DB"/>
    <w:rsid w:val="00507111"/>
    <w:rsid w:val="0051465B"/>
    <w:rsid w:val="0051641F"/>
    <w:rsid w:val="005256B5"/>
    <w:rsid w:val="00525A2A"/>
    <w:rsid w:val="00525C37"/>
    <w:rsid w:val="00526625"/>
    <w:rsid w:val="00526A8C"/>
    <w:rsid w:val="00532407"/>
    <w:rsid w:val="00532C51"/>
    <w:rsid w:val="00541B82"/>
    <w:rsid w:val="00543ABD"/>
    <w:rsid w:val="00550D01"/>
    <w:rsid w:val="005520AB"/>
    <w:rsid w:val="005536C7"/>
    <w:rsid w:val="005612D2"/>
    <w:rsid w:val="005655F0"/>
    <w:rsid w:val="0056686F"/>
    <w:rsid w:val="005704D7"/>
    <w:rsid w:val="00574BD8"/>
    <w:rsid w:val="00575C34"/>
    <w:rsid w:val="005831A0"/>
    <w:rsid w:val="00583E73"/>
    <w:rsid w:val="00592378"/>
    <w:rsid w:val="00592DF9"/>
    <w:rsid w:val="005936DC"/>
    <w:rsid w:val="00595070"/>
    <w:rsid w:val="005A0308"/>
    <w:rsid w:val="005A4E1D"/>
    <w:rsid w:val="005B0856"/>
    <w:rsid w:val="005B402F"/>
    <w:rsid w:val="005C142D"/>
    <w:rsid w:val="005C2EB4"/>
    <w:rsid w:val="005C3A34"/>
    <w:rsid w:val="005C4EFE"/>
    <w:rsid w:val="005C7A32"/>
    <w:rsid w:val="005D3E22"/>
    <w:rsid w:val="005D3F18"/>
    <w:rsid w:val="005D79C4"/>
    <w:rsid w:val="005E253C"/>
    <w:rsid w:val="005E5892"/>
    <w:rsid w:val="005F00F1"/>
    <w:rsid w:val="005F1AE9"/>
    <w:rsid w:val="005F1D98"/>
    <w:rsid w:val="005F29A5"/>
    <w:rsid w:val="006130A9"/>
    <w:rsid w:val="006166EC"/>
    <w:rsid w:val="006200CA"/>
    <w:rsid w:val="006240CF"/>
    <w:rsid w:val="00631E7A"/>
    <w:rsid w:val="00635423"/>
    <w:rsid w:val="00646D1E"/>
    <w:rsid w:val="00651795"/>
    <w:rsid w:val="0065181E"/>
    <w:rsid w:val="00654097"/>
    <w:rsid w:val="006664BF"/>
    <w:rsid w:val="006870F2"/>
    <w:rsid w:val="006877B4"/>
    <w:rsid w:val="006905B5"/>
    <w:rsid w:val="006A29C4"/>
    <w:rsid w:val="006A3C44"/>
    <w:rsid w:val="006B71A4"/>
    <w:rsid w:val="006C493C"/>
    <w:rsid w:val="006C4A95"/>
    <w:rsid w:val="006D2AD1"/>
    <w:rsid w:val="006D3DCD"/>
    <w:rsid w:val="006D50FF"/>
    <w:rsid w:val="006E160D"/>
    <w:rsid w:val="006E7FCD"/>
    <w:rsid w:val="006F1773"/>
    <w:rsid w:val="007003AE"/>
    <w:rsid w:val="00711242"/>
    <w:rsid w:val="007125FD"/>
    <w:rsid w:val="00721658"/>
    <w:rsid w:val="00737D9B"/>
    <w:rsid w:val="00740134"/>
    <w:rsid w:val="00743ACB"/>
    <w:rsid w:val="0074660E"/>
    <w:rsid w:val="007516E0"/>
    <w:rsid w:val="00754766"/>
    <w:rsid w:val="00754B18"/>
    <w:rsid w:val="00756D09"/>
    <w:rsid w:val="00760742"/>
    <w:rsid w:val="00777A5C"/>
    <w:rsid w:val="007829D7"/>
    <w:rsid w:val="00790C14"/>
    <w:rsid w:val="007A210F"/>
    <w:rsid w:val="007A3773"/>
    <w:rsid w:val="007A4177"/>
    <w:rsid w:val="007D0ED5"/>
    <w:rsid w:val="007D168C"/>
    <w:rsid w:val="007D34C7"/>
    <w:rsid w:val="007D4785"/>
    <w:rsid w:val="007D4A41"/>
    <w:rsid w:val="007E172D"/>
    <w:rsid w:val="007E5819"/>
    <w:rsid w:val="007E5A33"/>
    <w:rsid w:val="007E76B8"/>
    <w:rsid w:val="007F0E80"/>
    <w:rsid w:val="007F5D6C"/>
    <w:rsid w:val="00805204"/>
    <w:rsid w:val="00807B0D"/>
    <w:rsid w:val="0081440E"/>
    <w:rsid w:val="008207C5"/>
    <w:rsid w:val="0083796F"/>
    <w:rsid w:val="00837E45"/>
    <w:rsid w:val="008513D1"/>
    <w:rsid w:val="00852C43"/>
    <w:rsid w:val="00852D23"/>
    <w:rsid w:val="00861C24"/>
    <w:rsid w:val="0088310A"/>
    <w:rsid w:val="008849E5"/>
    <w:rsid w:val="008939AC"/>
    <w:rsid w:val="0089579C"/>
    <w:rsid w:val="008A2FD5"/>
    <w:rsid w:val="008A71E5"/>
    <w:rsid w:val="008C0A48"/>
    <w:rsid w:val="008C2AF3"/>
    <w:rsid w:val="008D42E6"/>
    <w:rsid w:val="008D711C"/>
    <w:rsid w:val="008D73C0"/>
    <w:rsid w:val="008E21DC"/>
    <w:rsid w:val="008E49C6"/>
    <w:rsid w:val="008F515D"/>
    <w:rsid w:val="008F598B"/>
    <w:rsid w:val="00910993"/>
    <w:rsid w:val="00915CE8"/>
    <w:rsid w:val="009213C4"/>
    <w:rsid w:val="0093065C"/>
    <w:rsid w:val="00931BA2"/>
    <w:rsid w:val="0093219F"/>
    <w:rsid w:val="009406B0"/>
    <w:rsid w:val="00945278"/>
    <w:rsid w:val="00950518"/>
    <w:rsid w:val="0095142F"/>
    <w:rsid w:val="00954AC1"/>
    <w:rsid w:val="00956516"/>
    <w:rsid w:val="0097122D"/>
    <w:rsid w:val="009750C9"/>
    <w:rsid w:val="009754E5"/>
    <w:rsid w:val="009776DC"/>
    <w:rsid w:val="00980135"/>
    <w:rsid w:val="00981103"/>
    <w:rsid w:val="00981AA1"/>
    <w:rsid w:val="009859A5"/>
    <w:rsid w:val="00996A9A"/>
    <w:rsid w:val="009A2F1C"/>
    <w:rsid w:val="009A3DFA"/>
    <w:rsid w:val="009B224C"/>
    <w:rsid w:val="009B3047"/>
    <w:rsid w:val="009B470B"/>
    <w:rsid w:val="009C2E70"/>
    <w:rsid w:val="009C63AB"/>
    <w:rsid w:val="009C64A0"/>
    <w:rsid w:val="009C73C2"/>
    <w:rsid w:val="009E27BC"/>
    <w:rsid w:val="009F43CE"/>
    <w:rsid w:val="009F5B44"/>
    <w:rsid w:val="009F65D4"/>
    <w:rsid w:val="00A01951"/>
    <w:rsid w:val="00A06ABE"/>
    <w:rsid w:val="00A13710"/>
    <w:rsid w:val="00A1602D"/>
    <w:rsid w:val="00A16CB9"/>
    <w:rsid w:val="00A21042"/>
    <w:rsid w:val="00A22B74"/>
    <w:rsid w:val="00A24D92"/>
    <w:rsid w:val="00A27233"/>
    <w:rsid w:val="00A32E2E"/>
    <w:rsid w:val="00A445B1"/>
    <w:rsid w:val="00A46252"/>
    <w:rsid w:val="00A52184"/>
    <w:rsid w:val="00A536CC"/>
    <w:rsid w:val="00A578D2"/>
    <w:rsid w:val="00A607B4"/>
    <w:rsid w:val="00A6544F"/>
    <w:rsid w:val="00A70EFC"/>
    <w:rsid w:val="00A72A82"/>
    <w:rsid w:val="00A746E2"/>
    <w:rsid w:val="00A75436"/>
    <w:rsid w:val="00A90D04"/>
    <w:rsid w:val="00A9584A"/>
    <w:rsid w:val="00AA128E"/>
    <w:rsid w:val="00AA518C"/>
    <w:rsid w:val="00AB44B5"/>
    <w:rsid w:val="00AC69FD"/>
    <w:rsid w:val="00AD0599"/>
    <w:rsid w:val="00AD0D64"/>
    <w:rsid w:val="00AE1046"/>
    <w:rsid w:val="00AF6B1D"/>
    <w:rsid w:val="00B06824"/>
    <w:rsid w:val="00B1397D"/>
    <w:rsid w:val="00B16284"/>
    <w:rsid w:val="00B16662"/>
    <w:rsid w:val="00B16B7A"/>
    <w:rsid w:val="00B17849"/>
    <w:rsid w:val="00B243C4"/>
    <w:rsid w:val="00B2482C"/>
    <w:rsid w:val="00B40731"/>
    <w:rsid w:val="00B44EDA"/>
    <w:rsid w:val="00B57313"/>
    <w:rsid w:val="00B578D8"/>
    <w:rsid w:val="00B60C74"/>
    <w:rsid w:val="00B63F9D"/>
    <w:rsid w:val="00B64091"/>
    <w:rsid w:val="00B657B7"/>
    <w:rsid w:val="00B70349"/>
    <w:rsid w:val="00B719F0"/>
    <w:rsid w:val="00B75ED3"/>
    <w:rsid w:val="00B76545"/>
    <w:rsid w:val="00B81244"/>
    <w:rsid w:val="00B81F61"/>
    <w:rsid w:val="00B84C61"/>
    <w:rsid w:val="00B95634"/>
    <w:rsid w:val="00B95924"/>
    <w:rsid w:val="00BA27C6"/>
    <w:rsid w:val="00BA379C"/>
    <w:rsid w:val="00BA6F37"/>
    <w:rsid w:val="00BB00D3"/>
    <w:rsid w:val="00BE65B1"/>
    <w:rsid w:val="00BE67A7"/>
    <w:rsid w:val="00BF4ED4"/>
    <w:rsid w:val="00C03356"/>
    <w:rsid w:val="00C06EF2"/>
    <w:rsid w:val="00C146C1"/>
    <w:rsid w:val="00C16D6E"/>
    <w:rsid w:val="00C26461"/>
    <w:rsid w:val="00C44120"/>
    <w:rsid w:val="00C45397"/>
    <w:rsid w:val="00C453D5"/>
    <w:rsid w:val="00C50F74"/>
    <w:rsid w:val="00C60180"/>
    <w:rsid w:val="00C61869"/>
    <w:rsid w:val="00C70CE7"/>
    <w:rsid w:val="00C75B89"/>
    <w:rsid w:val="00C94410"/>
    <w:rsid w:val="00C97DF1"/>
    <w:rsid w:val="00CA1731"/>
    <w:rsid w:val="00CB5275"/>
    <w:rsid w:val="00CC0EA8"/>
    <w:rsid w:val="00CC7473"/>
    <w:rsid w:val="00CC7B63"/>
    <w:rsid w:val="00CD19F5"/>
    <w:rsid w:val="00CD4595"/>
    <w:rsid w:val="00CD7791"/>
    <w:rsid w:val="00CE3510"/>
    <w:rsid w:val="00CE4BE9"/>
    <w:rsid w:val="00CE5C78"/>
    <w:rsid w:val="00CF2134"/>
    <w:rsid w:val="00CF4410"/>
    <w:rsid w:val="00CF4DCE"/>
    <w:rsid w:val="00D03E41"/>
    <w:rsid w:val="00D075B5"/>
    <w:rsid w:val="00D146E5"/>
    <w:rsid w:val="00D3169E"/>
    <w:rsid w:val="00D3232F"/>
    <w:rsid w:val="00D37614"/>
    <w:rsid w:val="00D50279"/>
    <w:rsid w:val="00D54A25"/>
    <w:rsid w:val="00D55396"/>
    <w:rsid w:val="00D56A91"/>
    <w:rsid w:val="00D61598"/>
    <w:rsid w:val="00D630F9"/>
    <w:rsid w:val="00D66D68"/>
    <w:rsid w:val="00D71D1B"/>
    <w:rsid w:val="00D72D43"/>
    <w:rsid w:val="00D76C9A"/>
    <w:rsid w:val="00D8617A"/>
    <w:rsid w:val="00D90D10"/>
    <w:rsid w:val="00DB4CD5"/>
    <w:rsid w:val="00DB794F"/>
    <w:rsid w:val="00DD1D3F"/>
    <w:rsid w:val="00DD42BA"/>
    <w:rsid w:val="00DF5DB3"/>
    <w:rsid w:val="00E006DB"/>
    <w:rsid w:val="00E01CAB"/>
    <w:rsid w:val="00E022F7"/>
    <w:rsid w:val="00E03F72"/>
    <w:rsid w:val="00E0464B"/>
    <w:rsid w:val="00E04EB2"/>
    <w:rsid w:val="00E172C6"/>
    <w:rsid w:val="00E3648D"/>
    <w:rsid w:val="00E4622E"/>
    <w:rsid w:val="00E55525"/>
    <w:rsid w:val="00E56360"/>
    <w:rsid w:val="00E606A9"/>
    <w:rsid w:val="00E67F41"/>
    <w:rsid w:val="00E82D93"/>
    <w:rsid w:val="00E84A0C"/>
    <w:rsid w:val="00E9773D"/>
    <w:rsid w:val="00EA1C91"/>
    <w:rsid w:val="00EA249B"/>
    <w:rsid w:val="00EB37A6"/>
    <w:rsid w:val="00EB6086"/>
    <w:rsid w:val="00EC11D6"/>
    <w:rsid w:val="00EC3F08"/>
    <w:rsid w:val="00EC5433"/>
    <w:rsid w:val="00EC6058"/>
    <w:rsid w:val="00EC68F7"/>
    <w:rsid w:val="00EC6AE5"/>
    <w:rsid w:val="00ED0940"/>
    <w:rsid w:val="00ED1B8C"/>
    <w:rsid w:val="00ED5222"/>
    <w:rsid w:val="00EF6191"/>
    <w:rsid w:val="00EF7D73"/>
    <w:rsid w:val="00F16560"/>
    <w:rsid w:val="00F257D3"/>
    <w:rsid w:val="00F25A67"/>
    <w:rsid w:val="00F27D1D"/>
    <w:rsid w:val="00F42339"/>
    <w:rsid w:val="00F46A15"/>
    <w:rsid w:val="00F54331"/>
    <w:rsid w:val="00F94C3A"/>
    <w:rsid w:val="00FA32D8"/>
    <w:rsid w:val="00FB5C54"/>
    <w:rsid w:val="00FB6801"/>
    <w:rsid w:val="00FC4262"/>
    <w:rsid w:val="00FC6648"/>
    <w:rsid w:val="00FE0778"/>
    <w:rsid w:val="00FE2669"/>
    <w:rsid w:val="00FE6FCD"/>
    <w:rsid w:val="00FE704F"/>
    <w:rsid w:val="00FE73B1"/>
    <w:rsid w:val="00FF291F"/>
    <w:rsid w:val="00FF29FC"/>
    <w:rsid w:val="00FF45CA"/>
    <w:rsid w:val="00FF470A"/>
    <w:rsid w:val="00FF7B5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4B"/>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aliases w:val="Char Char Char Char Char"/>
    <w:link w:val="CharCharCharChar"/>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3">
    <w:name w:val="Body Text Indent 3"/>
    <w:basedOn w:val="Normal"/>
    <w:rsid w:val="00332805"/>
    <w:pPr>
      <w:spacing w:after="120"/>
      <w:ind w:left="283"/>
      <w:jc w:val="both"/>
    </w:pPr>
    <w:rPr>
      <w:sz w:val="16"/>
      <w:szCs w:val="16"/>
    </w:rPr>
  </w:style>
  <w:style w:type="table" w:styleId="TableGrid">
    <w:name w:val="Table Grid"/>
    <w:uiPriority w:val="59"/>
    <w:rsid w:val="00332805"/>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BodyText">
    <w:name w:val="Body Text"/>
    <w:basedOn w:val="Normal"/>
    <w:rsid w:val="00D630F9"/>
    <w:pPr>
      <w:spacing w:after="120"/>
      <w:jc w:val="left"/>
    </w:pPr>
  </w:style>
  <w:style w:type="paragraph" w:styleId="BodyTextIndent">
    <w:name w:val="Body Text Indent"/>
    <w:basedOn w:val="Normal"/>
    <w:rsid w:val="00D630F9"/>
    <w:pPr>
      <w:spacing w:after="120"/>
      <w:ind w:left="283"/>
      <w:jc w:val="both"/>
    </w:pPr>
  </w:style>
  <w:style w:type="paragraph" w:styleId="Footer">
    <w:name w:val="footer"/>
    <w:basedOn w:val="Normal"/>
    <w:rsid w:val="00D630F9"/>
    <w:pPr>
      <w:tabs>
        <w:tab w:val="center" w:pos="4536"/>
        <w:tab w:val="right" w:pos="9072"/>
      </w:tabs>
      <w:jc w:val="left"/>
    </w:pPr>
  </w:style>
  <w:style w:type="paragraph" w:customStyle="1" w:styleId="CharCharCharChar">
    <w:name w:val="Char Char Char Char"/>
    <w:basedOn w:val="Normal"/>
    <w:link w:val="DefaultParagraphFont"/>
    <w:rsid w:val="003165D0"/>
    <w:pPr>
      <w:spacing w:after="160" w:line="240" w:lineRule="exact"/>
      <w:jc w:val="left"/>
    </w:pPr>
    <w:rPr>
      <w:rFonts w:ascii="Tahoma" w:hAnsi="Tahoma"/>
      <w:sz w:val="20"/>
      <w:szCs w:val="20"/>
      <w:lang w:val="en-US"/>
    </w:rPr>
  </w:style>
  <w:style w:type="character" w:styleId="Hyperlink">
    <w:name w:val="Hyperlink"/>
    <w:basedOn w:val="DefaultParagraphFont"/>
    <w:rsid w:val="000D10B2"/>
    <w:rPr>
      <w:color w:val="0000FF"/>
      <w:u w:val="single"/>
    </w:rPr>
  </w:style>
  <w:style w:type="paragraph" w:styleId="NormalWeb">
    <w:name w:val="Normal (Web)"/>
    <w:basedOn w:val="Normal"/>
    <w:rsid w:val="000D10B2"/>
    <w:pPr>
      <w:spacing w:before="100" w:beforeAutospacing="1" w:after="100" w:afterAutospacing="1"/>
      <w:jc w:val="left"/>
    </w:pPr>
  </w:style>
  <w:style w:type="paragraph" w:styleId="FootnoteText">
    <w:name w:val="footnote text"/>
    <w:basedOn w:val="Normal"/>
    <w:semiHidden/>
    <w:rsid w:val="009C64A0"/>
    <w:pPr>
      <w:jc w:val="left"/>
    </w:pPr>
    <w:rPr>
      <w:sz w:val="20"/>
      <w:szCs w:val="20"/>
    </w:rPr>
  </w:style>
  <w:style w:type="character" w:styleId="FootnoteReference">
    <w:name w:val="footnote reference"/>
    <w:basedOn w:val="DefaultParagraphFont"/>
    <w:semiHidden/>
    <w:rsid w:val="009C64A0"/>
    <w:rPr>
      <w:vertAlign w:val="superscript"/>
    </w:rPr>
  </w:style>
  <w:style w:type="table" w:styleId="TableElegant">
    <w:name w:val="Table Elegant"/>
    <w:rsid w:val="00A746E2"/>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PageNumber">
    <w:name w:val="page number"/>
    <w:basedOn w:val="DefaultParagraphFont"/>
    <w:rsid w:val="006C4A95"/>
  </w:style>
  <w:style w:type="paragraph" w:styleId="Header">
    <w:name w:val="header"/>
    <w:basedOn w:val="Normal"/>
    <w:rsid w:val="00790C14"/>
    <w:pPr>
      <w:tabs>
        <w:tab w:val="center" w:pos="4536"/>
        <w:tab w:val="right" w:pos="9072"/>
      </w:tabs>
      <w:jc w:val="left"/>
    </w:pPr>
  </w:style>
  <w:style w:type="character" w:customStyle="1" w:styleId="ra">
    <w:name w:val="ra"/>
    <w:basedOn w:val="DefaultParagraphFont"/>
    <w:rsid w:val="00B95634"/>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emf"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8012</Words>
  <Characters>45675</Characters>
  <Application>Microsoft Office Word</Application>
  <DocSecurity>0</DocSecurity>
  <Lines>0</Lines>
  <Paragraphs>0</Paragraphs>
  <ScaleCrop>false</ScaleCrop>
  <Company/>
  <LinksUpToDate>false</LinksUpToDate>
  <CharactersWithSpaces>53580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Martina</dc:creator>
  <cp:lastModifiedBy>User</cp:lastModifiedBy>
  <cp:revision>2</cp:revision>
  <cp:lastPrinted>2007-06-07T11:57:00Z</cp:lastPrinted>
  <dcterms:created xsi:type="dcterms:W3CDTF">2007-06-07T12:16:00Z</dcterms:created>
  <dcterms:modified xsi:type="dcterms:W3CDTF">2007-06-07T12:16:00Z</dcterms:modified>
</cp:coreProperties>
</file>